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diagrams/layout3.xml" ContentType="application/vnd.openxmlformats-officedocument.drawingml.diagramLayou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201F" w:rsidRPr="005F003F" w:rsidRDefault="007C201F" w:rsidP="007C201F">
      <w:pPr>
        <w:keepNext/>
        <w:jc w:val="both"/>
        <w:outlineLvl w:val="0"/>
        <w:rPr>
          <w:rFonts w:ascii="Arial Narrow" w:hAnsi="Arial Narrow" w:cs="Arial"/>
          <w:b/>
          <w:bCs/>
          <w:color w:val="000080"/>
          <w:kern w:val="32"/>
          <w:sz w:val="40"/>
          <w:szCs w:val="34"/>
        </w:rPr>
      </w:pPr>
      <w:bookmarkStart w:id="0" w:name="_GoBack"/>
      <w:bookmarkEnd w:id="0"/>
      <w:r w:rsidRPr="00F66AEE">
        <w:rPr>
          <w:rFonts w:ascii="Arial Narrow" w:hAnsi="Arial Narrow" w:cs="Arial"/>
          <w:b/>
          <w:bCs/>
          <w:color w:val="000080"/>
          <w:kern w:val="32"/>
          <w:sz w:val="40"/>
          <w:szCs w:val="34"/>
        </w:rPr>
        <w:t>ΠΡΟΫΠΟΛΟΓΙΣΜΟΣ</w:t>
      </w:r>
      <w:r w:rsidRPr="005F003F">
        <w:rPr>
          <w:rFonts w:ascii="Arial Narrow" w:hAnsi="Arial Narrow" w:cs="Arial"/>
          <w:b/>
          <w:bCs/>
          <w:color w:val="000080"/>
          <w:kern w:val="32"/>
          <w:sz w:val="40"/>
          <w:szCs w:val="34"/>
        </w:rPr>
        <w:t xml:space="preserve"> </w:t>
      </w:r>
      <w:r>
        <w:rPr>
          <w:rFonts w:ascii="Arial Narrow" w:hAnsi="Arial Narrow" w:cs="Arial"/>
          <w:b/>
          <w:bCs/>
          <w:color w:val="000080"/>
          <w:kern w:val="32"/>
          <w:sz w:val="40"/>
          <w:szCs w:val="34"/>
        </w:rPr>
        <w:t>ΓΕΝΙΚΗΣ ΚΥΒΕΡΝΗΣΗΣ</w:t>
      </w:r>
    </w:p>
    <w:p w:rsidR="00DF3FC8" w:rsidRDefault="00DF3FC8" w:rsidP="00DF3FC8">
      <w:pPr>
        <w:jc w:val="both"/>
        <w:rPr>
          <w:b/>
          <w:sz w:val="22"/>
          <w:szCs w:val="22"/>
        </w:rPr>
      </w:pPr>
    </w:p>
    <w:p w:rsidR="00F47005" w:rsidRPr="00301426" w:rsidRDefault="00F47005" w:rsidP="00DF3FC8">
      <w:pPr>
        <w:jc w:val="both"/>
        <w:rPr>
          <w:b/>
          <w:sz w:val="22"/>
          <w:szCs w:val="22"/>
        </w:rPr>
      </w:pPr>
    </w:p>
    <w:p w:rsidR="004B0A49" w:rsidRPr="00301426" w:rsidRDefault="004B0A49" w:rsidP="00DF3FC8">
      <w:pPr>
        <w:jc w:val="both"/>
        <w:rPr>
          <w:b/>
          <w:sz w:val="22"/>
          <w:szCs w:val="22"/>
        </w:rPr>
      </w:pPr>
    </w:p>
    <w:p w:rsidR="00DF3FC8" w:rsidRPr="00124F5E" w:rsidRDefault="00DF3FC8" w:rsidP="00DF3FC8">
      <w:pPr>
        <w:shd w:val="clear" w:color="auto" w:fill="595959"/>
        <w:jc w:val="both"/>
        <w:rPr>
          <w:rFonts w:ascii="Arial Narrow" w:hAnsi="Arial Narrow"/>
          <w:b/>
          <w:color w:val="FFFFFF"/>
          <w:sz w:val="26"/>
          <w:szCs w:val="26"/>
        </w:rPr>
      </w:pPr>
      <w:r w:rsidRPr="00124F5E">
        <w:rPr>
          <w:rFonts w:ascii="Arial Narrow" w:hAnsi="Arial Narrow"/>
          <w:b/>
          <w:color w:val="FFFFFF"/>
          <w:sz w:val="26"/>
          <w:szCs w:val="26"/>
        </w:rPr>
        <w:t>1</w:t>
      </w:r>
      <w:r w:rsidRPr="009630FD">
        <w:rPr>
          <w:rFonts w:ascii="Arial Narrow" w:hAnsi="Arial Narrow"/>
          <w:b/>
          <w:color w:val="FFFFFF"/>
          <w:sz w:val="26"/>
          <w:szCs w:val="26"/>
        </w:rPr>
        <w:t>.</w:t>
      </w:r>
      <w:r w:rsidRPr="009630FD">
        <w:rPr>
          <w:rFonts w:ascii="Arial Narrow" w:hAnsi="Arial Narrow"/>
          <w:b/>
          <w:color w:val="FFFFFF"/>
          <w:sz w:val="26"/>
          <w:szCs w:val="26"/>
        </w:rPr>
        <w:tab/>
      </w:r>
      <w:r>
        <w:rPr>
          <w:rFonts w:ascii="Arial Narrow" w:hAnsi="Arial Narrow"/>
          <w:b/>
          <w:color w:val="FFFFFF"/>
          <w:sz w:val="26"/>
          <w:szCs w:val="26"/>
        </w:rPr>
        <w:t>Γενικά</w:t>
      </w:r>
    </w:p>
    <w:p w:rsidR="00DF3FC8" w:rsidRDefault="00DF3FC8" w:rsidP="00DF3FC8">
      <w:pPr>
        <w:jc w:val="both"/>
        <w:rPr>
          <w:sz w:val="22"/>
          <w:szCs w:val="22"/>
        </w:rPr>
      </w:pPr>
    </w:p>
    <w:p w:rsidR="00A712D0" w:rsidRDefault="00A712D0" w:rsidP="00013A09">
      <w:pPr>
        <w:contextualSpacing/>
        <w:jc w:val="both"/>
        <w:rPr>
          <w:sz w:val="22"/>
        </w:rPr>
      </w:pPr>
    </w:p>
    <w:p w:rsidR="004018BF" w:rsidRPr="00706087" w:rsidRDefault="004018BF" w:rsidP="00013A09">
      <w:pPr>
        <w:contextualSpacing/>
        <w:jc w:val="both"/>
        <w:rPr>
          <w:sz w:val="22"/>
        </w:rPr>
      </w:pPr>
      <w:r w:rsidRPr="00706087">
        <w:rPr>
          <w:sz w:val="22"/>
        </w:rPr>
        <w:t>Στο Μεσοπρόθεσμο Πλαίσιο Δημοσιονομικής Στρατηγικής 201</w:t>
      </w:r>
      <w:r w:rsidRPr="00BF0477">
        <w:rPr>
          <w:sz w:val="22"/>
        </w:rPr>
        <w:t>9</w:t>
      </w:r>
      <w:r w:rsidRPr="00706087">
        <w:rPr>
          <w:sz w:val="22"/>
        </w:rPr>
        <w:t>-202</w:t>
      </w:r>
      <w:r w:rsidRPr="00BF0477">
        <w:rPr>
          <w:sz w:val="22"/>
        </w:rPr>
        <w:t>2</w:t>
      </w:r>
      <w:r w:rsidRPr="00706087">
        <w:rPr>
          <w:sz w:val="22"/>
        </w:rPr>
        <w:t>, για το έτος 201</w:t>
      </w:r>
      <w:r w:rsidRPr="00BF0477">
        <w:rPr>
          <w:sz w:val="22"/>
        </w:rPr>
        <w:t>8</w:t>
      </w:r>
      <w:r w:rsidRPr="00706087">
        <w:rPr>
          <w:sz w:val="22"/>
        </w:rPr>
        <w:t>, το πρωτογ</w:t>
      </w:r>
      <w:r w:rsidRPr="00706087">
        <w:rPr>
          <w:sz w:val="22"/>
        </w:rPr>
        <w:t>ε</w:t>
      </w:r>
      <w:r w:rsidRPr="00706087">
        <w:rPr>
          <w:sz w:val="22"/>
        </w:rPr>
        <w:t xml:space="preserve">νές αποτέλεσμα της Γενικής Κυβέρνησης σε όρους Σύμβασης Χρηματοδοτικής Διευκόλυνσης (ΣΧΔ) </w:t>
      </w:r>
      <w:r w:rsidR="00445983">
        <w:rPr>
          <w:sz w:val="22"/>
        </w:rPr>
        <w:t xml:space="preserve">και με βάση τη νέα οικονομική ταξινόμηση </w:t>
      </w:r>
      <w:r w:rsidRPr="00706087">
        <w:rPr>
          <w:sz w:val="22"/>
        </w:rPr>
        <w:t xml:space="preserve">είχε προβλεφθεί ότι θα διαμορφωθεί σε πλεόνασμα ύψους </w:t>
      </w:r>
      <w:r w:rsidR="003805FF">
        <w:rPr>
          <w:sz w:val="22"/>
        </w:rPr>
        <w:t>6.52</w:t>
      </w:r>
      <w:r w:rsidR="003805FF" w:rsidRPr="003805FF">
        <w:rPr>
          <w:sz w:val="22"/>
        </w:rPr>
        <w:t>1</w:t>
      </w:r>
      <w:r w:rsidRPr="00E7548E">
        <w:rPr>
          <w:sz w:val="22"/>
        </w:rPr>
        <w:t xml:space="preserve"> </w:t>
      </w:r>
      <w:r w:rsidRPr="00706087">
        <w:rPr>
          <w:sz w:val="22"/>
        </w:rPr>
        <w:t xml:space="preserve">εκατ. ευρώ ή </w:t>
      </w:r>
      <w:r w:rsidRPr="00E7548E">
        <w:rPr>
          <w:sz w:val="22"/>
        </w:rPr>
        <w:t>3,56</w:t>
      </w:r>
      <w:r w:rsidRPr="00706087">
        <w:rPr>
          <w:sz w:val="22"/>
        </w:rPr>
        <w:t>% του ΑΕΠ, ενώ με βάση τη μεθοδολογία του Ευρωπαϊκού Συστήματος Λ</w:t>
      </w:r>
      <w:r w:rsidRPr="00706087">
        <w:rPr>
          <w:sz w:val="22"/>
        </w:rPr>
        <w:t>ο</w:t>
      </w:r>
      <w:r w:rsidRPr="00706087">
        <w:rPr>
          <w:sz w:val="22"/>
        </w:rPr>
        <w:t>γαριασμών (</w:t>
      </w:r>
      <w:r w:rsidRPr="00E7548E">
        <w:rPr>
          <w:sz w:val="22"/>
        </w:rPr>
        <w:t>ESA</w:t>
      </w:r>
      <w:r w:rsidRPr="00706087">
        <w:rPr>
          <w:sz w:val="22"/>
        </w:rPr>
        <w:t xml:space="preserve">) είχε προβλεφθεί πλεόνασμα ύψους </w:t>
      </w:r>
      <w:r w:rsidRPr="00E7548E">
        <w:rPr>
          <w:sz w:val="22"/>
        </w:rPr>
        <w:t>6.881 εκατ. ευρώ ή 3,8% του ΑΕΠ</w:t>
      </w:r>
      <w:r w:rsidRPr="00706087">
        <w:rPr>
          <w:sz w:val="22"/>
        </w:rPr>
        <w:t>.</w:t>
      </w:r>
      <w:r>
        <w:rPr>
          <w:sz w:val="22"/>
        </w:rPr>
        <w:t xml:space="preserve"> </w:t>
      </w:r>
    </w:p>
    <w:p w:rsidR="004018BF" w:rsidRPr="00706087" w:rsidRDefault="004018BF" w:rsidP="00013A09">
      <w:pPr>
        <w:contextualSpacing/>
        <w:jc w:val="both"/>
        <w:rPr>
          <w:sz w:val="22"/>
        </w:rPr>
      </w:pPr>
    </w:p>
    <w:p w:rsidR="009A7D46" w:rsidRPr="009A7D46" w:rsidRDefault="004018BF" w:rsidP="009A7D46">
      <w:pPr>
        <w:contextualSpacing/>
        <w:jc w:val="both"/>
        <w:rPr>
          <w:sz w:val="22"/>
        </w:rPr>
      </w:pPr>
      <w:r w:rsidRPr="00C976CB">
        <w:rPr>
          <w:sz w:val="22"/>
        </w:rPr>
        <w:t xml:space="preserve">Σύμφωνα με τα στοιχεία της εκτέλεσης του Προϋπολογισμού, το πρωτογενές αποτέλεσμα της Γενικής Κυβέρνησης </w:t>
      </w:r>
      <w:r w:rsidR="00882472">
        <w:rPr>
          <w:sz w:val="22"/>
        </w:rPr>
        <w:t xml:space="preserve">για το έτος 2018 </w:t>
      </w:r>
      <w:r w:rsidRPr="00C976CB">
        <w:rPr>
          <w:sz w:val="22"/>
        </w:rPr>
        <w:t xml:space="preserve">εκτιμάται ότι σε όρους </w:t>
      </w:r>
      <w:r w:rsidR="00510E92">
        <w:rPr>
          <w:sz w:val="22"/>
        </w:rPr>
        <w:t>Ενισχυμένης Εποπτείας</w:t>
      </w:r>
      <w:r w:rsidR="00445983">
        <w:rPr>
          <w:sz w:val="22"/>
        </w:rPr>
        <w:t xml:space="preserve"> </w:t>
      </w:r>
      <w:r w:rsidR="003805FF">
        <w:rPr>
          <w:sz w:val="22"/>
        </w:rPr>
        <w:t xml:space="preserve">θα διαμορφωθεί σε </w:t>
      </w:r>
      <w:r w:rsidR="003805FF" w:rsidRPr="003805FF">
        <w:rPr>
          <w:sz w:val="22"/>
        </w:rPr>
        <w:t>7.</w:t>
      </w:r>
      <w:r w:rsidR="00AC4B1E">
        <w:rPr>
          <w:sz w:val="22"/>
        </w:rPr>
        <w:t>3</w:t>
      </w:r>
      <w:r w:rsidR="003805FF" w:rsidRPr="003805FF">
        <w:rPr>
          <w:sz w:val="22"/>
        </w:rPr>
        <w:t>83</w:t>
      </w:r>
      <w:r w:rsidRPr="00C976CB">
        <w:rPr>
          <w:sz w:val="22"/>
        </w:rPr>
        <w:t xml:space="preserve"> εκατ.</w:t>
      </w:r>
      <w:r w:rsidR="003805FF">
        <w:rPr>
          <w:sz w:val="22"/>
        </w:rPr>
        <w:t xml:space="preserve"> ευρώ ή 3,</w:t>
      </w:r>
      <w:r w:rsidR="00AC4B1E">
        <w:rPr>
          <w:sz w:val="22"/>
        </w:rPr>
        <w:t>9</w:t>
      </w:r>
      <w:r w:rsidR="003805FF" w:rsidRPr="003805FF">
        <w:rPr>
          <w:sz w:val="22"/>
        </w:rPr>
        <w:t>8</w:t>
      </w:r>
      <w:r w:rsidRPr="00C976CB">
        <w:rPr>
          <w:sz w:val="22"/>
        </w:rPr>
        <w:t xml:space="preserve">% του ΑΕΠ, αυξημένο έναντι του στόχου </w:t>
      </w:r>
      <w:r w:rsidR="00AC4B1E">
        <w:rPr>
          <w:sz w:val="22"/>
        </w:rPr>
        <w:t>της ενισχυμένης εποπτείας κατά 8</w:t>
      </w:r>
      <w:r w:rsidR="003805FF">
        <w:rPr>
          <w:sz w:val="22"/>
        </w:rPr>
        <w:t>8</w:t>
      </w:r>
      <w:r w:rsidRPr="00C976CB">
        <w:rPr>
          <w:sz w:val="22"/>
        </w:rPr>
        <w:t>5 εκατ. ευ</w:t>
      </w:r>
      <w:r w:rsidR="00AC4B1E">
        <w:rPr>
          <w:sz w:val="22"/>
        </w:rPr>
        <w:t>ρώ ή 0,48</w:t>
      </w:r>
      <w:r w:rsidRPr="00C976CB">
        <w:rPr>
          <w:sz w:val="22"/>
        </w:rPr>
        <w:t>% του ΑΕΠ. Σε όρους ESA εκτ</w:t>
      </w:r>
      <w:r w:rsidR="00AC4B1E">
        <w:rPr>
          <w:sz w:val="22"/>
        </w:rPr>
        <w:t>ιμάται ότι θα διαμορφωθεί σε 7.573 εκατ. ευρώ ή 4,1</w:t>
      </w:r>
      <w:r w:rsidRPr="00C976CB">
        <w:rPr>
          <w:sz w:val="22"/>
        </w:rPr>
        <w:t>% του ΑΕΠ.</w:t>
      </w:r>
      <w:r w:rsidRPr="00706087">
        <w:rPr>
          <w:sz w:val="22"/>
        </w:rPr>
        <w:t xml:space="preserve"> </w:t>
      </w:r>
      <w:r w:rsidR="009A7D46" w:rsidRPr="009A7D46">
        <w:rPr>
          <w:sz w:val="22"/>
        </w:rPr>
        <w:t>Σημειώνεται ότι η εκτίμηση για το ύψος του ΑΕΠ το 2018 έχει μεταβληθεί σε σχ</w:t>
      </w:r>
      <w:r w:rsidR="009A7D46" w:rsidRPr="009A7D46">
        <w:rPr>
          <w:sz w:val="22"/>
        </w:rPr>
        <w:t>έ</w:t>
      </w:r>
      <w:r w:rsidR="009A7D46" w:rsidRPr="009A7D46">
        <w:rPr>
          <w:sz w:val="22"/>
        </w:rPr>
        <w:t xml:space="preserve">ση με το Μεσοπρόθεσμο Πλαίσιο Δημοσιονομικής Στρατηγικής 2019-2022 λόγω της πρόσφατης </w:t>
      </w:r>
      <w:r w:rsidR="009A7D46" w:rsidRPr="009A7D46">
        <w:rPr>
          <w:sz w:val="22"/>
        </w:rPr>
        <w:t>α</w:t>
      </w:r>
      <w:r w:rsidR="009A7D46" w:rsidRPr="009A7D46">
        <w:rPr>
          <w:sz w:val="22"/>
        </w:rPr>
        <w:t xml:space="preserve">ναθεώρησης του ΑΕΠ του 2017 από την ΕΛΣΤΑΤ. </w:t>
      </w:r>
    </w:p>
    <w:p w:rsidR="004018BF" w:rsidRPr="00AD0E77" w:rsidRDefault="004018BF" w:rsidP="00013A09">
      <w:pPr>
        <w:contextualSpacing/>
        <w:jc w:val="both"/>
        <w:rPr>
          <w:sz w:val="20"/>
        </w:rPr>
      </w:pPr>
    </w:p>
    <w:p w:rsidR="00A224AB" w:rsidRPr="00A224AB" w:rsidRDefault="009A7D46" w:rsidP="00013A09">
      <w:pPr>
        <w:contextualSpacing/>
        <w:jc w:val="both"/>
        <w:rPr>
          <w:sz w:val="20"/>
        </w:rPr>
      </w:pPr>
      <w:r w:rsidRPr="009A7D46">
        <w:rPr>
          <w:sz w:val="22"/>
        </w:rPr>
        <w:t>Στο πλαίσιο της αξιολόγησης των δημοσιονομικών προβλέψεων των κρατών μελών της ΕΕ κατά τη διαδικασία του Ευρωπαϊκού Εξαμήνου, θα πρέπει να υπολογίζεται πλέον και το διαρθρωτικό ισοζύγιο της γενικής κυβέρνησης. Για το 2018 το διαρθρωτικό ισο</w:t>
      </w:r>
      <w:r w:rsidR="00FC6084">
        <w:rPr>
          <w:sz w:val="22"/>
        </w:rPr>
        <w:t>ζύγιο εκτιμάται σε πλεόνασμα 4,1</w:t>
      </w:r>
      <w:r w:rsidRPr="009A7D46">
        <w:rPr>
          <w:sz w:val="22"/>
        </w:rPr>
        <w:t>% του ΑΕΠ. Η βελτίωση σε σχέση με</w:t>
      </w:r>
      <w:r w:rsidR="00BA21DE">
        <w:rPr>
          <w:sz w:val="22"/>
        </w:rPr>
        <w:t xml:space="preserve"> το αντίστοιχο μέγεθος που είχε</w:t>
      </w:r>
      <w:r w:rsidRPr="009A7D46">
        <w:rPr>
          <w:sz w:val="22"/>
        </w:rPr>
        <w:t xml:space="preserve"> αποτυπωθεί στο προσχέδιο του προ</w:t>
      </w:r>
      <w:r w:rsidRPr="009A7D46">
        <w:rPr>
          <w:sz w:val="22"/>
        </w:rPr>
        <w:t>ϋ</w:t>
      </w:r>
      <w:r w:rsidRPr="009A7D46">
        <w:rPr>
          <w:sz w:val="22"/>
        </w:rPr>
        <w:t>πολογισμού του 2019 οφείλεται κυρίως στην αναθεώρηση του παραγωγικού κενού (Output Gap) από την ΕΕ (</w:t>
      </w:r>
      <w:r w:rsidRPr="009A7D46">
        <w:rPr>
          <w:sz w:val="22"/>
          <w:lang w:val="en-GB"/>
        </w:rPr>
        <w:t>European</w:t>
      </w:r>
      <w:r w:rsidRPr="009A7D46">
        <w:rPr>
          <w:sz w:val="22"/>
        </w:rPr>
        <w:t xml:space="preserve"> Economic Forecast </w:t>
      </w:r>
      <w:r>
        <w:rPr>
          <w:sz w:val="22"/>
        </w:rPr>
        <w:t>-</w:t>
      </w:r>
      <w:r w:rsidRPr="009A7D46">
        <w:rPr>
          <w:sz w:val="22"/>
        </w:rPr>
        <w:t xml:space="preserve"> </w:t>
      </w:r>
      <w:r w:rsidRPr="009A7D46">
        <w:rPr>
          <w:sz w:val="22"/>
          <w:lang w:val="en-GB"/>
        </w:rPr>
        <w:t>Autumn</w:t>
      </w:r>
      <w:r w:rsidRPr="009A7D46">
        <w:rPr>
          <w:sz w:val="22"/>
        </w:rPr>
        <w:t xml:space="preserve"> 2018).</w:t>
      </w:r>
    </w:p>
    <w:p w:rsidR="00AC1AC3" w:rsidRDefault="00AC1AC3" w:rsidP="00AC1AC3">
      <w:pPr>
        <w:jc w:val="both"/>
        <w:rPr>
          <w:bCs/>
          <w:sz w:val="22"/>
          <w:szCs w:val="22"/>
        </w:rPr>
      </w:pPr>
    </w:p>
    <w:tbl>
      <w:tblPr>
        <w:tblW w:w="9002" w:type="dxa"/>
        <w:tblInd w:w="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280"/>
        <w:gridCol w:w="5746"/>
        <w:gridCol w:w="992"/>
        <w:gridCol w:w="1068"/>
        <w:gridCol w:w="916"/>
      </w:tblGrid>
      <w:tr w:rsidR="00AC1AC3" w:rsidRPr="007E66A1" w:rsidTr="002721EE">
        <w:trPr>
          <w:trHeight w:val="20"/>
        </w:trPr>
        <w:tc>
          <w:tcPr>
            <w:tcW w:w="9002" w:type="dxa"/>
            <w:gridSpan w:val="5"/>
            <w:shd w:val="clear" w:color="auto" w:fill="404040" w:themeFill="text1" w:themeFillTint="BF"/>
            <w:vAlign w:val="center"/>
            <w:hideMark/>
          </w:tcPr>
          <w:p w:rsidR="00AC1AC3" w:rsidRPr="00FD2A8D" w:rsidRDefault="00AC1AC3" w:rsidP="002721EE">
            <w:pPr>
              <w:spacing w:before="120"/>
              <w:jc w:val="center"/>
              <w:rPr>
                <w:rFonts w:ascii="Arial Narrow" w:hAnsi="Arial Narrow"/>
                <w:b/>
                <w:bCs/>
                <w:color w:val="FFFFFF" w:themeColor="background1"/>
              </w:rPr>
            </w:pPr>
            <w:bookmarkStart w:id="1" w:name="RANGE!A1:E22"/>
            <w:r w:rsidRPr="007E66A1">
              <w:rPr>
                <w:rFonts w:ascii="Arial Narrow" w:hAnsi="Arial Narrow"/>
                <w:b/>
                <w:bCs/>
                <w:color w:val="FFFFFF" w:themeColor="background1"/>
              </w:rPr>
              <w:t xml:space="preserve">Πίνακας 3.1  Αποτελέσματα </w:t>
            </w:r>
            <w:r>
              <w:rPr>
                <w:rFonts w:ascii="Arial Narrow" w:hAnsi="Arial Narrow"/>
                <w:b/>
                <w:bCs/>
                <w:color w:val="FFFFFF" w:themeColor="background1"/>
              </w:rPr>
              <w:t>Γενικής Κυβέρνησης περιόδου 201</w:t>
            </w:r>
            <w:r w:rsidRPr="00FD2A8D">
              <w:rPr>
                <w:rFonts w:ascii="Arial Narrow" w:hAnsi="Arial Narrow"/>
                <w:b/>
                <w:bCs/>
                <w:color w:val="FFFFFF" w:themeColor="background1"/>
              </w:rPr>
              <w:t>7</w:t>
            </w:r>
            <w:r>
              <w:rPr>
                <w:rFonts w:ascii="Arial Narrow" w:hAnsi="Arial Narrow"/>
                <w:b/>
                <w:bCs/>
                <w:color w:val="FFFFFF" w:themeColor="background1"/>
              </w:rPr>
              <w:t xml:space="preserve"> – 201</w:t>
            </w:r>
            <w:r w:rsidRPr="00FD2A8D">
              <w:rPr>
                <w:rFonts w:ascii="Arial Narrow" w:hAnsi="Arial Narrow"/>
                <w:b/>
                <w:bCs/>
                <w:color w:val="FFFFFF" w:themeColor="background1"/>
              </w:rPr>
              <w:t>9</w:t>
            </w:r>
          </w:p>
          <w:p w:rsidR="00AC1AC3" w:rsidRPr="007E66A1" w:rsidRDefault="00AC1AC3" w:rsidP="002721EE">
            <w:pPr>
              <w:spacing w:after="120"/>
              <w:jc w:val="center"/>
              <w:rPr>
                <w:rFonts w:ascii="Arial Narrow" w:hAnsi="Arial Narrow"/>
                <w:b/>
                <w:bCs/>
                <w:color w:val="FFFFFF" w:themeColor="background1"/>
              </w:rPr>
            </w:pPr>
            <w:r w:rsidRPr="007E66A1">
              <w:rPr>
                <w:rFonts w:ascii="Arial Narrow" w:hAnsi="Arial Narrow"/>
                <w:b/>
                <w:bCs/>
                <w:color w:val="FFFFFF" w:themeColor="background1"/>
              </w:rPr>
              <w:t>(σε εκατ. ευρώ)</w:t>
            </w:r>
            <w:bookmarkEnd w:id="1"/>
          </w:p>
        </w:tc>
      </w:tr>
      <w:tr w:rsidR="00AC1AC3" w:rsidRPr="007E66A1" w:rsidTr="002721EE">
        <w:trPr>
          <w:trHeight w:val="20"/>
        </w:trPr>
        <w:tc>
          <w:tcPr>
            <w:tcW w:w="280" w:type="dxa"/>
            <w:tcBorders>
              <w:bottom w:val="single" w:sz="4" w:space="0" w:color="auto"/>
            </w:tcBorders>
            <w:shd w:val="clear" w:color="auto" w:fill="auto"/>
            <w:vAlign w:val="center"/>
            <w:hideMark/>
          </w:tcPr>
          <w:p w:rsidR="00AC1AC3" w:rsidRPr="007E66A1" w:rsidRDefault="00AC1AC3" w:rsidP="002721EE">
            <w:pPr>
              <w:jc w:val="right"/>
              <w:rPr>
                <w:rFonts w:ascii="Arial Narrow" w:hAnsi="Arial Narrow"/>
                <w:b/>
                <w:bCs/>
                <w:sz w:val="16"/>
                <w:szCs w:val="20"/>
              </w:rPr>
            </w:pPr>
            <w:r w:rsidRPr="007E66A1">
              <w:rPr>
                <w:rFonts w:ascii="Arial Narrow" w:hAnsi="Arial Narrow"/>
                <w:b/>
                <w:bCs/>
                <w:sz w:val="16"/>
                <w:szCs w:val="20"/>
              </w:rPr>
              <w:t> </w:t>
            </w:r>
          </w:p>
        </w:tc>
        <w:tc>
          <w:tcPr>
            <w:tcW w:w="5746" w:type="dxa"/>
            <w:tcBorders>
              <w:bottom w:val="single" w:sz="4" w:space="0" w:color="auto"/>
            </w:tcBorders>
            <w:shd w:val="clear" w:color="auto" w:fill="auto"/>
            <w:vAlign w:val="center"/>
            <w:hideMark/>
          </w:tcPr>
          <w:p w:rsidR="00AC1AC3" w:rsidRPr="007E66A1" w:rsidRDefault="00AC1AC3" w:rsidP="002721EE">
            <w:pPr>
              <w:rPr>
                <w:rFonts w:ascii="Arial Narrow" w:hAnsi="Arial Narrow"/>
                <w:sz w:val="16"/>
                <w:szCs w:val="20"/>
              </w:rPr>
            </w:pPr>
            <w:r w:rsidRPr="007E66A1">
              <w:rPr>
                <w:rFonts w:ascii="Arial Narrow" w:hAnsi="Arial Narrow"/>
                <w:sz w:val="16"/>
                <w:szCs w:val="20"/>
              </w:rPr>
              <w:t> </w:t>
            </w:r>
          </w:p>
        </w:tc>
        <w:tc>
          <w:tcPr>
            <w:tcW w:w="992" w:type="dxa"/>
            <w:tcBorders>
              <w:bottom w:val="single" w:sz="4" w:space="0" w:color="auto"/>
            </w:tcBorders>
            <w:shd w:val="clear" w:color="auto" w:fill="auto"/>
            <w:vAlign w:val="center"/>
            <w:hideMark/>
          </w:tcPr>
          <w:p w:rsidR="00AC1AC3" w:rsidRPr="007E66A1" w:rsidRDefault="00AC1AC3" w:rsidP="002721EE">
            <w:pPr>
              <w:jc w:val="center"/>
              <w:rPr>
                <w:rFonts w:ascii="Arial Narrow" w:hAnsi="Arial Narrow"/>
                <w:sz w:val="16"/>
                <w:szCs w:val="20"/>
              </w:rPr>
            </w:pPr>
            <w:r w:rsidRPr="007E66A1">
              <w:rPr>
                <w:rFonts w:ascii="Arial Narrow" w:hAnsi="Arial Narrow"/>
                <w:sz w:val="16"/>
                <w:szCs w:val="20"/>
              </w:rPr>
              <w:t> </w:t>
            </w:r>
          </w:p>
        </w:tc>
        <w:tc>
          <w:tcPr>
            <w:tcW w:w="1068" w:type="dxa"/>
            <w:tcBorders>
              <w:bottom w:val="single" w:sz="4" w:space="0" w:color="auto"/>
            </w:tcBorders>
            <w:shd w:val="clear" w:color="auto" w:fill="auto"/>
            <w:vAlign w:val="center"/>
            <w:hideMark/>
          </w:tcPr>
          <w:p w:rsidR="00AC1AC3" w:rsidRPr="007E66A1" w:rsidRDefault="00AC1AC3" w:rsidP="002721EE">
            <w:pPr>
              <w:jc w:val="center"/>
              <w:rPr>
                <w:rFonts w:ascii="Arial Narrow" w:hAnsi="Arial Narrow"/>
                <w:sz w:val="16"/>
                <w:szCs w:val="20"/>
              </w:rPr>
            </w:pPr>
            <w:r w:rsidRPr="007E66A1">
              <w:rPr>
                <w:rFonts w:ascii="Arial Narrow" w:hAnsi="Arial Narrow"/>
                <w:sz w:val="16"/>
                <w:szCs w:val="20"/>
              </w:rPr>
              <w:t> </w:t>
            </w:r>
          </w:p>
        </w:tc>
        <w:tc>
          <w:tcPr>
            <w:tcW w:w="916" w:type="dxa"/>
            <w:tcBorders>
              <w:bottom w:val="single" w:sz="4" w:space="0" w:color="auto"/>
            </w:tcBorders>
            <w:shd w:val="clear" w:color="auto" w:fill="auto"/>
            <w:vAlign w:val="center"/>
            <w:hideMark/>
          </w:tcPr>
          <w:p w:rsidR="00AC1AC3" w:rsidRPr="007E66A1" w:rsidRDefault="00AC1AC3" w:rsidP="002721EE">
            <w:pPr>
              <w:jc w:val="center"/>
              <w:rPr>
                <w:rFonts w:ascii="Arial Narrow" w:hAnsi="Arial Narrow"/>
                <w:sz w:val="16"/>
                <w:szCs w:val="20"/>
              </w:rPr>
            </w:pPr>
            <w:r w:rsidRPr="007E66A1">
              <w:rPr>
                <w:rFonts w:ascii="Arial Narrow" w:hAnsi="Arial Narrow"/>
                <w:sz w:val="16"/>
                <w:szCs w:val="20"/>
              </w:rPr>
              <w:t> </w:t>
            </w:r>
          </w:p>
        </w:tc>
      </w:tr>
      <w:tr w:rsidR="00AC1AC3" w:rsidRPr="007E66A1" w:rsidTr="002721EE">
        <w:trPr>
          <w:trHeight w:val="340"/>
        </w:trPr>
        <w:tc>
          <w:tcPr>
            <w:tcW w:w="6026" w:type="dxa"/>
            <w:gridSpan w:val="2"/>
            <w:tcBorders>
              <w:top w:val="single" w:sz="4" w:space="0" w:color="auto"/>
              <w:bottom w:val="single" w:sz="4" w:space="0" w:color="auto"/>
              <w:right w:val="single" w:sz="4" w:space="0" w:color="auto"/>
            </w:tcBorders>
            <w:shd w:val="clear" w:color="auto" w:fill="auto"/>
            <w:vAlign w:val="center"/>
            <w:hideMark/>
          </w:tcPr>
          <w:p w:rsidR="00AC1AC3" w:rsidRPr="007E66A1" w:rsidRDefault="00AC1AC3" w:rsidP="002721EE">
            <w:pPr>
              <w:jc w:val="center"/>
              <w:rPr>
                <w:rFonts w:ascii="Arial Narrow" w:hAnsi="Arial Narrow"/>
                <w:b/>
                <w:bCs/>
                <w:sz w:val="16"/>
                <w:szCs w:val="16"/>
              </w:rPr>
            </w:pPr>
            <w:r w:rsidRPr="007E66A1">
              <w:rPr>
                <w:rFonts w:ascii="Arial Narrow" w:hAnsi="Arial Narrow"/>
                <w:b/>
                <w:bCs/>
                <w:sz w:val="16"/>
                <w:szCs w:val="16"/>
              </w:rPr>
              <w:t xml:space="preserve">Γενική Κυβέρνηση κατά </w:t>
            </w:r>
            <w:r w:rsidRPr="007E66A1">
              <w:rPr>
                <w:rFonts w:ascii="Arial Narrow" w:hAnsi="Arial Narrow"/>
                <w:b/>
                <w:bCs/>
                <w:sz w:val="16"/>
                <w:szCs w:val="16"/>
                <w:lang w:val="en-GB"/>
              </w:rPr>
              <w:t>ESA</w:t>
            </w:r>
            <w:r w:rsidRPr="007E66A1">
              <w:rPr>
                <w:rFonts w:ascii="Arial Narrow" w:hAnsi="Arial Narrow"/>
                <w:b/>
                <w:bCs/>
                <w:sz w:val="16"/>
                <w:szCs w:val="16"/>
              </w:rPr>
              <w:t xml:space="preserve"> ανά υποτομέα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AC3" w:rsidRPr="00FD2A8D" w:rsidRDefault="00AC1AC3" w:rsidP="002721EE">
            <w:pPr>
              <w:jc w:val="center"/>
              <w:rPr>
                <w:rFonts w:ascii="Arial Narrow" w:hAnsi="Arial Narrow"/>
                <w:b/>
                <w:bCs/>
                <w:sz w:val="16"/>
                <w:szCs w:val="16"/>
                <w:lang w:val="en-US"/>
              </w:rPr>
            </w:pPr>
            <w:r>
              <w:rPr>
                <w:rFonts w:ascii="Arial Narrow" w:hAnsi="Arial Narrow"/>
                <w:b/>
                <w:bCs/>
                <w:sz w:val="16"/>
                <w:szCs w:val="16"/>
              </w:rPr>
              <w:t>201</w:t>
            </w:r>
            <w:r>
              <w:rPr>
                <w:rFonts w:ascii="Arial Narrow" w:hAnsi="Arial Narrow"/>
                <w:b/>
                <w:bCs/>
                <w:sz w:val="16"/>
                <w:szCs w:val="16"/>
                <w:lang w:val="en-US"/>
              </w:rPr>
              <w:t>7</w:t>
            </w:r>
          </w:p>
          <w:p w:rsidR="00AC1AC3" w:rsidRPr="009D0CE8" w:rsidRDefault="00AC1AC3" w:rsidP="002721EE">
            <w:pPr>
              <w:jc w:val="center"/>
              <w:rPr>
                <w:rFonts w:ascii="Arial Narrow" w:hAnsi="Arial Narrow"/>
                <w:b/>
                <w:bCs/>
                <w:sz w:val="16"/>
                <w:szCs w:val="16"/>
              </w:rPr>
            </w:pPr>
            <w:r>
              <w:rPr>
                <w:rFonts w:ascii="Arial Narrow" w:hAnsi="Arial Narrow"/>
                <w:b/>
                <w:bCs/>
                <w:sz w:val="16"/>
                <w:szCs w:val="16"/>
              </w:rPr>
              <w:t>Πραγματ/σεις</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AC3" w:rsidRPr="00FD2A8D" w:rsidRDefault="00AC1AC3" w:rsidP="002721EE">
            <w:pPr>
              <w:jc w:val="center"/>
              <w:rPr>
                <w:rFonts w:ascii="Arial Narrow" w:hAnsi="Arial Narrow"/>
                <w:b/>
                <w:bCs/>
                <w:sz w:val="16"/>
                <w:szCs w:val="16"/>
                <w:lang w:val="en-US"/>
              </w:rPr>
            </w:pPr>
            <w:r>
              <w:rPr>
                <w:rFonts w:ascii="Arial Narrow" w:hAnsi="Arial Narrow"/>
                <w:b/>
                <w:bCs/>
                <w:sz w:val="16"/>
                <w:szCs w:val="16"/>
              </w:rPr>
              <w:t>201</w:t>
            </w:r>
            <w:r>
              <w:rPr>
                <w:rFonts w:ascii="Arial Narrow" w:hAnsi="Arial Narrow"/>
                <w:b/>
                <w:bCs/>
                <w:sz w:val="16"/>
                <w:szCs w:val="16"/>
                <w:lang w:val="en-US"/>
              </w:rPr>
              <w:t>8</w:t>
            </w:r>
          </w:p>
          <w:p w:rsidR="00AC1AC3" w:rsidRPr="007E66A1" w:rsidRDefault="00AC1AC3" w:rsidP="002721EE">
            <w:pPr>
              <w:jc w:val="center"/>
              <w:rPr>
                <w:rFonts w:ascii="Arial Narrow" w:hAnsi="Arial Narrow"/>
                <w:b/>
                <w:bCs/>
                <w:sz w:val="16"/>
                <w:szCs w:val="16"/>
              </w:rPr>
            </w:pPr>
            <w:r w:rsidRPr="007E66A1">
              <w:rPr>
                <w:rFonts w:ascii="Arial Narrow" w:hAnsi="Arial Narrow"/>
                <w:b/>
                <w:bCs/>
                <w:sz w:val="16"/>
                <w:szCs w:val="16"/>
              </w:rPr>
              <w:t>Εκτίμηση</w:t>
            </w:r>
          </w:p>
        </w:tc>
        <w:tc>
          <w:tcPr>
            <w:tcW w:w="916" w:type="dxa"/>
            <w:tcBorders>
              <w:top w:val="single" w:sz="4" w:space="0" w:color="auto"/>
              <w:left w:val="single" w:sz="4" w:space="0" w:color="auto"/>
              <w:bottom w:val="single" w:sz="4" w:space="0" w:color="auto"/>
            </w:tcBorders>
            <w:shd w:val="clear" w:color="auto" w:fill="auto"/>
            <w:vAlign w:val="center"/>
            <w:hideMark/>
          </w:tcPr>
          <w:p w:rsidR="00AC1AC3" w:rsidRPr="00FD2A8D" w:rsidRDefault="00AC1AC3" w:rsidP="002721EE">
            <w:pPr>
              <w:jc w:val="center"/>
              <w:rPr>
                <w:rFonts w:ascii="Arial Narrow" w:hAnsi="Arial Narrow"/>
                <w:b/>
                <w:bCs/>
                <w:sz w:val="16"/>
                <w:szCs w:val="16"/>
                <w:lang w:val="en-US"/>
              </w:rPr>
            </w:pPr>
            <w:r>
              <w:rPr>
                <w:rFonts w:ascii="Arial Narrow" w:hAnsi="Arial Narrow"/>
                <w:b/>
                <w:bCs/>
                <w:sz w:val="16"/>
                <w:szCs w:val="16"/>
              </w:rPr>
              <w:t>201</w:t>
            </w:r>
            <w:r>
              <w:rPr>
                <w:rFonts w:ascii="Arial Narrow" w:hAnsi="Arial Narrow"/>
                <w:b/>
                <w:bCs/>
                <w:sz w:val="16"/>
                <w:szCs w:val="16"/>
                <w:lang w:val="en-US"/>
              </w:rPr>
              <w:t>9</w:t>
            </w:r>
          </w:p>
          <w:p w:rsidR="00AC1AC3" w:rsidRPr="007E66A1" w:rsidRDefault="00AC1AC3" w:rsidP="002721EE">
            <w:pPr>
              <w:jc w:val="center"/>
              <w:rPr>
                <w:rFonts w:ascii="Arial Narrow" w:hAnsi="Arial Narrow"/>
                <w:b/>
                <w:bCs/>
                <w:sz w:val="16"/>
                <w:szCs w:val="16"/>
              </w:rPr>
            </w:pPr>
            <w:r w:rsidRPr="007E66A1">
              <w:rPr>
                <w:rFonts w:ascii="Arial Narrow" w:hAnsi="Arial Narrow"/>
                <w:b/>
                <w:bCs/>
                <w:sz w:val="16"/>
                <w:szCs w:val="16"/>
              </w:rPr>
              <w:t>Πρόβλεψη</w:t>
            </w:r>
          </w:p>
        </w:tc>
      </w:tr>
      <w:tr w:rsidR="00D42318" w:rsidRPr="007E66A1" w:rsidTr="00D42318">
        <w:trPr>
          <w:trHeight w:val="283"/>
        </w:trPr>
        <w:tc>
          <w:tcPr>
            <w:tcW w:w="280" w:type="dxa"/>
            <w:tcBorders>
              <w:top w:val="single" w:sz="4" w:space="0" w:color="auto"/>
            </w:tcBorders>
            <w:shd w:val="clear" w:color="auto" w:fill="auto"/>
            <w:hideMark/>
          </w:tcPr>
          <w:p w:rsidR="00D42318" w:rsidRPr="007E66A1" w:rsidRDefault="00D42318" w:rsidP="002721EE">
            <w:pPr>
              <w:jc w:val="right"/>
              <w:rPr>
                <w:rFonts w:ascii="Arial Narrow" w:hAnsi="Arial Narrow"/>
                <w:b/>
                <w:bCs/>
                <w:sz w:val="16"/>
                <w:szCs w:val="16"/>
              </w:rPr>
            </w:pPr>
            <w:r w:rsidRPr="007E66A1">
              <w:rPr>
                <w:rFonts w:ascii="Arial Narrow" w:hAnsi="Arial Narrow"/>
                <w:b/>
                <w:bCs/>
                <w:sz w:val="16"/>
                <w:szCs w:val="16"/>
              </w:rPr>
              <w:t>1.</w:t>
            </w:r>
          </w:p>
        </w:tc>
        <w:tc>
          <w:tcPr>
            <w:tcW w:w="5746" w:type="dxa"/>
            <w:tcBorders>
              <w:top w:val="single" w:sz="4" w:space="0" w:color="auto"/>
            </w:tcBorders>
            <w:shd w:val="clear" w:color="auto" w:fill="auto"/>
            <w:vAlign w:val="center"/>
            <w:hideMark/>
          </w:tcPr>
          <w:p w:rsidR="00D42318" w:rsidRDefault="00D42318" w:rsidP="002721EE">
            <w:pPr>
              <w:rPr>
                <w:rFonts w:ascii="Arial Narrow" w:hAnsi="Arial Narrow"/>
                <w:sz w:val="16"/>
                <w:szCs w:val="16"/>
              </w:rPr>
            </w:pPr>
            <w:r w:rsidRPr="007E66A1">
              <w:rPr>
                <w:rFonts w:ascii="Arial Narrow" w:hAnsi="Arial Narrow"/>
                <w:sz w:val="16"/>
                <w:szCs w:val="16"/>
              </w:rPr>
              <w:t>Ισοζύγιο Κρατικού Προϋπολογισμού</w:t>
            </w:r>
          </w:p>
          <w:p w:rsidR="00D42318" w:rsidRPr="007E66A1" w:rsidRDefault="00D42318" w:rsidP="002721EE">
            <w:pPr>
              <w:rPr>
                <w:rFonts w:ascii="Arial Narrow" w:hAnsi="Arial Narrow"/>
                <w:sz w:val="16"/>
                <w:szCs w:val="16"/>
              </w:rPr>
            </w:pPr>
            <w:r w:rsidRPr="007E66A1">
              <w:rPr>
                <w:rFonts w:ascii="Arial Narrow" w:hAnsi="Arial Narrow"/>
                <w:sz w:val="16"/>
                <w:szCs w:val="16"/>
              </w:rPr>
              <w:t xml:space="preserve">(Βουλή, Υπουργεία, Περιφερειακές Υπηρεσίες Υπουργείων και Αποκεντρωμένες Διοικήσεις) </w:t>
            </w:r>
          </w:p>
        </w:tc>
        <w:tc>
          <w:tcPr>
            <w:tcW w:w="992" w:type="dxa"/>
            <w:tcBorders>
              <w:top w:val="single" w:sz="4" w:space="0" w:color="auto"/>
            </w:tcBorders>
            <w:shd w:val="clear" w:color="auto" w:fill="auto"/>
            <w:vAlign w:val="center"/>
            <w:hideMark/>
          </w:tcPr>
          <w:p w:rsidR="00D42318" w:rsidRDefault="00D42318" w:rsidP="009372B3">
            <w:pPr>
              <w:ind w:right="170"/>
              <w:jc w:val="right"/>
              <w:rPr>
                <w:rFonts w:ascii="Arial Narrow" w:hAnsi="Arial Narrow"/>
                <w:color w:val="000000"/>
                <w:sz w:val="16"/>
                <w:szCs w:val="16"/>
              </w:rPr>
            </w:pPr>
            <w:r>
              <w:rPr>
                <w:rFonts w:ascii="Arial Narrow" w:hAnsi="Arial Narrow"/>
                <w:color w:val="000000"/>
                <w:sz w:val="16"/>
                <w:szCs w:val="16"/>
              </w:rPr>
              <w:t>-7.336</w:t>
            </w:r>
          </w:p>
        </w:tc>
        <w:tc>
          <w:tcPr>
            <w:tcW w:w="1068" w:type="dxa"/>
            <w:tcBorders>
              <w:top w:val="single" w:sz="4" w:space="0" w:color="auto"/>
            </w:tcBorders>
            <w:shd w:val="clear" w:color="auto" w:fill="auto"/>
            <w:vAlign w:val="center"/>
            <w:hideMark/>
          </w:tcPr>
          <w:p w:rsidR="00D42318" w:rsidRDefault="00FB4244" w:rsidP="009372B3">
            <w:pPr>
              <w:ind w:right="170"/>
              <w:jc w:val="right"/>
              <w:rPr>
                <w:rFonts w:ascii="Arial Narrow" w:hAnsi="Arial Narrow"/>
                <w:color w:val="000000"/>
                <w:sz w:val="16"/>
                <w:szCs w:val="16"/>
              </w:rPr>
            </w:pPr>
            <w:r>
              <w:rPr>
                <w:rFonts w:ascii="Arial Narrow" w:hAnsi="Arial Narrow"/>
                <w:color w:val="000000"/>
                <w:sz w:val="16"/>
                <w:szCs w:val="16"/>
              </w:rPr>
              <w:t>-4.65</w:t>
            </w:r>
            <w:r w:rsidR="00D42318">
              <w:rPr>
                <w:rFonts w:ascii="Arial Narrow" w:hAnsi="Arial Narrow"/>
                <w:color w:val="000000"/>
                <w:sz w:val="16"/>
                <w:szCs w:val="16"/>
              </w:rPr>
              <w:t>7</w:t>
            </w:r>
          </w:p>
        </w:tc>
        <w:tc>
          <w:tcPr>
            <w:tcW w:w="916" w:type="dxa"/>
            <w:tcBorders>
              <w:top w:val="single" w:sz="4" w:space="0" w:color="auto"/>
            </w:tcBorders>
            <w:shd w:val="clear" w:color="auto" w:fill="auto"/>
            <w:vAlign w:val="center"/>
            <w:hideMark/>
          </w:tcPr>
          <w:p w:rsidR="00D42318" w:rsidRDefault="00D42318" w:rsidP="00FB4244">
            <w:pPr>
              <w:ind w:right="170"/>
              <w:jc w:val="right"/>
              <w:rPr>
                <w:rFonts w:ascii="Arial Narrow" w:hAnsi="Arial Narrow"/>
                <w:color w:val="000000"/>
                <w:sz w:val="16"/>
                <w:szCs w:val="16"/>
              </w:rPr>
            </w:pPr>
            <w:r>
              <w:rPr>
                <w:rFonts w:ascii="Arial Narrow" w:hAnsi="Arial Narrow"/>
                <w:color w:val="000000"/>
                <w:sz w:val="16"/>
                <w:szCs w:val="16"/>
              </w:rPr>
              <w:t>-3.1</w:t>
            </w:r>
            <w:r w:rsidR="00FB4244">
              <w:rPr>
                <w:rFonts w:ascii="Arial Narrow" w:hAnsi="Arial Narrow"/>
                <w:color w:val="000000"/>
                <w:sz w:val="16"/>
                <w:szCs w:val="16"/>
              </w:rPr>
              <w:t>50</w:t>
            </w:r>
          </w:p>
        </w:tc>
      </w:tr>
      <w:tr w:rsidR="00D42318" w:rsidRPr="007E66A1" w:rsidTr="00D42318">
        <w:trPr>
          <w:trHeight w:val="283"/>
        </w:trPr>
        <w:tc>
          <w:tcPr>
            <w:tcW w:w="280" w:type="dxa"/>
            <w:shd w:val="clear" w:color="auto" w:fill="auto"/>
            <w:hideMark/>
          </w:tcPr>
          <w:p w:rsidR="00D42318" w:rsidRPr="007E66A1" w:rsidRDefault="00D42318" w:rsidP="002721EE">
            <w:pPr>
              <w:jc w:val="right"/>
              <w:rPr>
                <w:rFonts w:ascii="Arial Narrow" w:hAnsi="Arial Narrow"/>
                <w:b/>
                <w:bCs/>
                <w:sz w:val="16"/>
                <w:szCs w:val="16"/>
              </w:rPr>
            </w:pPr>
            <w:r w:rsidRPr="007E66A1">
              <w:rPr>
                <w:rFonts w:ascii="Arial Narrow" w:hAnsi="Arial Narrow"/>
                <w:b/>
                <w:bCs/>
                <w:sz w:val="16"/>
                <w:szCs w:val="16"/>
              </w:rPr>
              <w:t>2.</w:t>
            </w:r>
          </w:p>
        </w:tc>
        <w:tc>
          <w:tcPr>
            <w:tcW w:w="5746" w:type="dxa"/>
            <w:shd w:val="clear" w:color="auto" w:fill="auto"/>
            <w:vAlign w:val="center"/>
            <w:hideMark/>
          </w:tcPr>
          <w:p w:rsidR="00D42318" w:rsidRDefault="00D42318" w:rsidP="002721EE">
            <w:pPr>
              <w:rPr>
                <w:rFonts w:ascii="Arial Narrow" w:hAnsi="Arial Narrow"/>
                <w:sz w:val="16"/>
                <w:szCs w:val="16"/>
              </w:rPr>
            </w:pPr>
            <w:r w:rsidRPr="007E66A1">
              <w:rPr>
                <w:rFonts w:ascii="Arial Narrow" w:hAnsi="Arial Narrow"/>
                <w:sz w:val="16"/>
                <w:szCs w:val="16"/>
              </w:rPr>
              <w:t>Ισοζύγιο Κεντρικής Κυβέρνησης</w:t>
            </w:r>
          </w:p>
          <w:p w:rsidR="00D42318" w:rsidRPr="007E66A1" w:rsidRDefault="00D42318" w:rsidP="002721EE">
            <w:pPr>
              <w:rPr>
                <w:rFonts w:ascii="Arial Narrow" w:hAnsi="Arial Narrow"/>
                <w:sz w:val="16"/>
                <w:szCs w:val="16"/>
              </w:rPr>
            </w:pPr>
            <w:r w:rsidRPr="007E66A1">
              <w:rPr>
                <w:rFonts w:ascii="Arial Narrow" w:hAnsi="Arial Narrow"/>
                <w:sz w:val="16"/>
                <w:szCs w:val="16"/>
              </w:rPr>
              <w:t>(Κράτος, ΝΠ, ΔΕΚΟ ταξινομημένες εντός της Γενικής</w:t>
            </w:r>
            <w:r>
              <w:rPr>
                <w:rFonts w:ascii="Arial Narrow" w:hAnsi="Arial Narrow"/>
                <w:sz w:val="16"/>
                <w:szCs w:val="16"/>
              </w:rPr>
              <w:t xml:space="preserve"> </w:t>
            </w:r>
            <w:r w:rsidRPr="007E66A1">
              <w:rPr>
                <w:rFonts w:ascii="Arial Narrow" w:hAnsi="Arial Narrow"/>
                <w:sz w:val="16"/>
                <w:szCs w:val="16"/>
              </w:rPr>
              <w:t>Κυβέρνησης και νοσοκομεία)</w:t>
            </w:r>
          </w:p>
        </w:tc>
        <w:tc>
          <w:tcPr>
            <w:tcW w:w="992" w:type="dxa"/>
            <w:shd w:val="clear" w:color="auto" w:fill="auto"/>
            <w:vAlign w:val="center"/>
            <w:hideMark/>
          </w:tcPr>
          <w:p w:rsidR="00D42318" w:rsidRDefault="00D42318" w:rsidP="009372B3">
            <w:pPr>
              <w:ind w:right="170"/>
              <w:jc w:val="right"/>
              <w:rPr>
                <w:rFonts w:ascii="Arial Narrow" w:hAnsi="Arial Narrow"/>
                <w:sz w:val="16"/>
                <w:szCs w:val="16"/>
              </w:rPr>
            </w:pPr>
            <w:r>
              <w:rPr>
                <w:rFonts w:ascii="Arial Narrow" w:hAnsi="Arial Narrow"/>
                <w:sz w:val="16"/>
                <w:szCs w:val="16"/>
              </w:rPr>
              <w:t>-2.092</w:t>
            </w:r>
          </w:p>
        </w:tc>
        <w:tc>
          <w:tcPr>
            <w:tcW w:w="1068" w:type="dxa"/>
            <w:shd w:val="clear" w:color="auto" w:fill="auto"/>
            <w:vAlign w:val="center"/>
            <w:hideMark/>
          </w:tcPr>
          <w:p w:rsidR="00D42318" w:rsidRDefault="00FB4244" w:rsidP="009372B3">
            <w:pPr>
              <w:ind w:right="170"/>
              <w:jc w:val="right"/>
              <w:rPr>
                <w:rFonts w:ascii="Arial Narrow" w:hAnsi="Arial Narrow"/>
                <w:color w:val="000000"/>
                <w:sz w:val="16"/>
                <w:szCs w:val="16"/>
              </w:rPr>
            </w:pPr>
            <w:r>
              <w:rPr>
                <w:rFonts w:ascii="Arial Narrow" w:hAnsi="Arial Narrow"/>
                <w:color w:val="000000"/>
                <w:sz w:val="16"/>
                <w:szCs w:val="16"/>
              </w:rPr>
              <w:t>-1.44</w:t>
            </w:r>
            <w:r w:rsidR="00D42318">
              <w:rPr>
                <w:rFonts w:ascii="Arial Narrow" w:hAnsi="Arial Narrow"/>
                <w:color w:val="000000"/>
                <w:sz w:val="16"/>
                <w:szCs w:val="16"/>
              </w:rPr>
              <w:t>4</w:t>
            </w:r>
          </w:p>
        </w:tc>
        <w:tc>
          <w:tcPr>
            <w:tcW w:w="916" w:type="dxa"/>
            <w:shd w:val="clear" w:color="auto" w:fill="auto"/>
            <w:vAlign w:val="center"/>
            <w:hideMark/>
          </w:tcPr>
          <w:p w:rsidR="00D42318" w:rsidRDefault="00D42318" w:rsidP="00FB4244">
            <w:pPr>
              <w:ind w:right="170"/>
              <w:jc w:val="right"/>
              <w:rPr>
                <w:rFonts w:ascii="Arial Narrow" w:hAnsi="Arial Narrow"/>
                <w:color w:val="000000"/>
                <w:sz w:val="16"/>
                <w:szCs w:val="16"/>
              </w:rPr>
            </w:pPr>
            <w:r>
              <w:rPr>
                <w:rFonts w:ascii="Arial Narrow" w:hAnsi="Arial Narrow"/>
                <w:color w:val="000000"/>
                <w:sz w:val="16"/>
                <w:szCs w:val="16"/>
              </w:rPr>
              <w:t>-</w:t>
            </w:r>
            <w:r w:rsidR="00FB4244">
              <w:rPr>
                <w:rFonts w:ascii="Arial Narrow" w:hAnsi="Arial Narrow"/>
                <w:color w:val="000000"/>
                <w:sz w:val="16"/>
                <w:szCs w:val="16"/>
              </w:rPr>
              <w:t>78</w:t>
            </w:r>
            <w:r>
              <w:rPr>
                <w:rFonts w:ascii="Arial Narrow" w:hAnsi="Arial Narrow"/>
                <w:color w:val="000000"/>
                <w:sz w:val="16"/>
                <w:szCs w:val="16"/>
              </w:rPr>
              <w:t>4</w:t>
            </w:r>
          </w:p>
        </w:tc>
      </w:tr>
      <w:tr w:rsidR="00D42318" w:rsidRPr="007E66A1" w:rsidTr="00D42318">
        <w:trPr>
          <w:trHeight w:val="283"/>
        </w:trPr>
        <w:tc>
          <w:tcPr>
            <w:tcW w:w="280" w:type="dxa"/>
            <w:shd w:val="clear" w:color="auto" w:fill="auto"/>
            <w:vAlign w:val="center"/>
            <w:hideMark/>
          </w:tcPr>
          <w:p w:rsidR="00D42318" w:rsidRPr="007E66A1" w:rsidRDefault="00D42318" w:rsidP="002721EE">
            <w:pPr>
              <w:jc w:val="right"/>
              <w:rPr>
                <w:rFonts w:ascii="Arial Narrow" w:hAnsi="Arial Narrow"/>
                <w:b/>
                <w:bCs/>
                <w:sz w:val="16"/>
                <w:szCs w:val="16"/>
              </w:rPr>
            </w:pPr>
            <w:r w:rsidRPr="007E66A1">
              <w:rPr>
                <w:rFonts w:ascii="Arial Narrow" w:hAnsi="Arial Narrow"/>
                <w:b/>
                <w:bCs/>
                <w:sz w:val="16"/>
                <w:szCs w:val="16"/>
              </w:rPr>
              <w:t>3.</w:t>
            </w:r>
          </w:p>
        </w:tc>
        <w:tc>
          <w:tcPr>
            <w:tcW w:w="5746" w:type="dxa"/>
            <w:shd w:val="clear" w:color="auto" w:fill="auto"/>
            <w:vAlign w:val="center"/>
            <w:hideMark/>
          </w:tcPr>
          <w:p w:rsidR="00D42318" w:rsidRPr="007E66A1" w:rsidRDefault="00D42318" w:rsidP="002721EE">
            <w:pPr>
              <w:rPr>
                <w:rFonts w:ascii="Arial Narrow" w:hAnsi="Arial Narrow"/>
                <w:sz w:val="16"/>
                <w:szCs w:val="16"/>
              </w:rPr>
            </w:pPr>
            <w:r w:rsidRPr="007E66A1">
              <w:rPr>
                <w:rFonts w:ascii="Arial Narrow" w:hAnsi="Arial Narrow"/>
                <w:sz w:val="16"/>
                <w:szCs w:val="16"/>
              </w:rPr>
              <w:t>Ισοζύγιο Οργανισμών Τοπικής Αυτοδιοίκησης (ΟΤΑ)</w:t>
            </w:r>
          </w:p>
        </w:tc>
        <w:tc>
          <w:tcPr>
            <w:tcW w:w="992" w:type="dxa"/>
            <w:shd w:val="clear" w:color="auto" w:fill="auto"/>
            <w:vAlign w:val="center"/>
            <w:hideMark/>
          </w:tcPr>
          <w:p w:rsidR="00D42318" w:rsidRDefault="00D42318" w:rsidP="009372B3">
            <w:pPr>
              <w:ind w:right="170"/>
              <w:jc w:val="right"/>
              <w:rPr>
                <w:rFonts w:ascii="Arial Narrow" w:hAnsi="Arial Narrow"/>
                <w:color w:val="000000"/>
                <w:sz w:val="16"/>
                <w:szCs w:val="16"/>
              </w:rPr>
            </w:pPr>
            <w:r>
              <w:rPr>
                <w:rFonts w:ascii="Arial Narrow" w:hAnsi="Arial Narrow"/>
                <w:color w:val="000000"/>
                <w:sz w:val="16"/>
                <w:szCs w:val="16"/>
              </w:rPr>
              <w:t>679</w:t>
            </w:r>
          </w:p>
        </w:tc>
        <w:tc>
          <w:tcPr>
            <w:tcW w:w="1068" w:type="dxa"/>
            <w:shd w:val="clear" w:color="auto" w:fill="auto"/>
            <w:vAlign w:val="center"/>
            <w:hideMark/>
          </w:tcPr>
          <w:p w:rsidR="00D42318" w:rsidRDefault="00FB4244" w:rsidP="009372B3">
            <w:pPr>
              <w:ind w:right="170"/>
              <w:jc w:val="right"/>
              <w:rPr>
                <w:rFonts w:ascii="Arial Narrow" w:hAnsi="Arial Narrow"/>
                <w:color w:val="000000"/>
                <w:sz w:val="16"/>
                <w:szCs w:val="16"/>
              </w:rPr>
            </w:pPr>
            <w:r>
              <w:rPr>
                <w:rFonts w:ascii="Arial Narrow" w:hAnsi="Arial Narrow"/>
                <w:color w:val="000000"/>
                <w:sz w:val="16"/>
                <w:szCs w:val="16"/>
              </w:rPr>
              <w:t>43</w:t>
            </w:r>
            <w:r w:rsidR="00D42318">
              <w:rPr>
                <w:rFonts w:ascii="Arial Narrow" w:hAnsi="Arial Narrow"/>
                <w:color w:val="000000"/>
                <w:sz w:val="16"/>
                <w:szCs w:val="16"/>
              </w:rPr>
              <w:t>8</w:t>
            </w:r>
          </w:p>
        </w:tc>
        <w:tc>
          <w:tcPr>
            <w:tcW w:w="916" w:type="dxa"/>
            <w:shd w:val="clear" w:color="auto" w:fill="auto"/>
            <w:vAlign w:val="center"/>
            <w:hideMark/>
          </w:tcPr>
          <w:p w:rsidR="00D42318" w:rsidRDefault="00D42318" w:rsidP="00D42318">
            <w:pPr>
              <w:ind w:right="170"/>
              <w:jc w:val="right"/>
              <w:rPr>
                <w:rFonts w:ascii="Arial Narrow" w:hAnsi="Arial Narrow"/>
                <w:color w:val="000000"/>
                <w:sz w:val="16"/>
                <w:szCs w:val="16"/>
              </w:rPr>
            </w:pPr>
            <w:r>
              <w:rPr>
                <w:rFonts w:ascii="Arial Narrow" w:hAnsi="Arial Narrow"/>
                <w:color w:val="000000"/>
                <w:sz w:val="16"/>
                <w:szCs w:val="16"/>
              </w:rPr>
              <w:t>244</w:t>
            </w:r>
          </w:p>
        </w:tc>
      </w:tr>
      <w:tr w:rsidR="00D42318" w:rsidRPr="007E66A1" w:rsidTr="00D42318">
        <w:trPr>
          <w:trHeight w:val="283"/>
        </w:trPr>
        <w:tc>
          <w:tcPr>
            <w:tcW w:w="280" w:type="dxa"/>
            <w:shd w:val="clear" w:color="auto" w:fill="auto"/>
            <w:vAlign w:val="center"/>
            <w:hideMark/>
          </w:tcPr>
          <w:p w:rsidR="00D42318" w:rsidRPr="007E66A1" w:rsidRDefault="00D42318" w:rsidP="002721EE">
            <w:pPr>
              <w:jc w:val="right"/>
              <w:rPr>
                <w:rFonts w:ascii="Arial Narrow" w:hAnsi="Arial Narrow"/>
                <w:b/>
                <w:bCs/>
                <w:sz w:val="16"/>
                <w:szCs w:val="16"/>
              </w:rPr>
            </w:pPr>
            <w:r w:rsidRPr="007E66A1">
              <w:rPr>
                <w:rFonts w:ascii="Arial Narrow" w:hAnsi="Arial Narrow"/>
                <w:b/>
                <w:bCs/>
                <w:sz w:val="16"/>
                <w:szCs w:val="16"/>
              </w:rPr>
              <w:t>4.</w:t>
            </w:r>
          </w:p>
        </w:tc>
        <w:tc>
          <w:tcPr>
            <w:tcW w:w="5746" w:type="dxa"/>
            <w:shd w:val="clear" w:color="auto" w:fill="auto"/>
            <w:vAlign w:val="center"/>
            <w:hideMark/>
          </w:tcPr>
          <w:p w:rsidR="00D42318" w:rsidRPr="007E66A1" w:rsidRDefault="00D42318" w:rsidP="002721EE">
            <w:pPr>
              <w:rPr>
                <w:rFonts w:ascii="Arial Narrow" w:hAnsi="Arial Narrow"/>
                <w:sz w:val="16"/>
                <w:szCs w:val="16"/>
              </w:rPr>
            </w:pPr>
            <w:r w:rsidRPr="007E66A1">
              <w:rPr>
                <w:rFonts w:ascii="Arial Narrow" w:hAnsi="Arial Narrow"/>
                <w:sz w:val="16"/>
                <w:szCs w:val="16"/>
              </w:rPr>
              <w:t>Ισοζύγιο Οργανισμών Κο</w:t>
            </w:r>
            <w:r>
              <w:rPr>
                <w:rFonts w:ascii="Arial Narrow" w:hAnsi="Arial Narrow"/>
                <w:sz w:val="16"/>
                <w:szCs w:val="16"/>
              </w:rPr>
              <w:t>ινωνικής Ασφάλισης (ΟΚΑ) εκτός ν</w:t>
            </w:r>
            <w:r w:rsidRPr="007E66A1">
              <w:rPr>
                <w:rFonts w:ascii="Arial Narrow" w:hAnsi="Arial Narrow"/>
                <w:sz w:val="16"/>
                <w:szCs w:val="16"/>
              </w:rPr>
              <w:t>οσοκομείων</w:t>
            </w:r>
          </w:p>
        </w:tc>
        <w:tc>
          <w:tcPr>
            <w:tcW w:w="992" w:type="dxa"/>
            <w:shd w:val="clear" w:color="auto" w:fill="auto"/>
            <w:vAlign w:val="center"/>
            <w:hideMark/>
          </w:tcPr>
          <w:p w:rsidR="00D42318" w:rsidRDefault="00D42318" w:rsidP="009372B3">
            <w:pPr>
              <w:ind w:right="170"/>
              <w:jc w:val="right"/>
              <w:rPr>
                <w:rFonts w:ascii="Arial Narrow" w:hAnsi="Arial Narrow"/>
                <w:color w:val="000000"/>
                <w:sz w:val="16"/>
                <w:szCs w:val="16"/>
              </w:rPr>
            </w:pPr>
            <w:r>
              <w:rPr>
                <w:rFonts w:ascii="Arial Narrow" w:hAnsi="Arial Narrow"/>
                <w:color w:val="000000"/>
                <w:sz w:val="16"/>
                <w:szCs w:val="16"/>
              </w:rPr>
              <w:t>2.805</w:t>
            </w:r>
          </w:p>
        </w:tc>
        <w:tc>
          <w:tcPr>
            <w:tcW w:w="1068" w:type="dxa"/>
            <w:shd w:val="clear" w:color="auto" w:fill="auto"/>
            <w:vAlign w:val="center"/>
            <w:hideMark/>
          </w:tcPr>
          <w:p w:rsidR="00D42318" w:rsidRDefault="00D42318" w:rsidP="009372B3">
            <w:pPr>
              <w:ind w:right="170"/>
              <w:jc w:val="right"/>
              <w:rPr>
                <w:rFonts w:ascii="Arial Narrow" w:hAnsi="Arial Narrow"/>
                <w:color w:val="000000"/>
                <w:sz w:val="16"/>
                <w:szCs w:val="16"/>
              </w:rPr>
            </w:pPr>
            <w:r>
              <w:rPr>
                <w:rFonts w:ascii="Arial Narrow" w:hAnsi="Arial Narrow"/>
                <w:color w:val="000000"/>
                <w:sz w:val="16"/>
                <w:szCs w:val="16"/>
              </w:rPr>
              <w:t>2.177</w:t>
            </w:r>
          </w:p>
        </w:tc>
        <w:tc>
          <w:tcPr>
            <w:tcW w:w="916" w:type="dxa"/>
            <w:shd w:val="clear" w:color="auto" w:fill="auto"/>
            <w:vAlign w:val="center"/>
            <w:hideMark/>
          </w:tcPr>
          <w:p w:rsidR="00D42318" w:rsidRDefault="00D42318" w:rsidP="00D42318">
            <w:pPr>
              <w:ind w:right="170"/>
              <w:jc w:val="right"/>
              <w:rPr>
                <w:rFonts w:ascii="Arial Narrow" w:hAnsi="Arial Narrow"/>
                <w:color w:val="000000"/>
                <w:sz w:val="16"/>
                <w:szCs w:val="16"/>
              </w:rPr>
            </w:pPr>
            <w:r>
              <w:rPr>
                <w:rFonts w:ascii="Arial Narrow" w:hAnsi="Arial Narrow"/>
                <w:color w:val="000000"/>
                <w:sz w:val="16"/>
                <w:szCs w:val="16"/>
              </w:rPr>
              <w:t>1.673</w:t>
            </w:r>
          </w:p>
        </w:tc>
      </w:tr>
      <w:tr w:rsidR="00D42318" w:rsidRPr="007E66A1" w:rsidTr="00D42318">
        <w:trPr>
          <w:trHeight w:val="283"/>
        </w:trPr>
        <w:tc>
          <w:tcPr>
            <w:tcW w:w="280" w:type="dxa"/>
            <w:shd w:val="clear" w:color="auto" w:fill="BFBFBF" w:themeFill="background1" w:themeFillShade="BF"/>
            <w:vAlign w:val="center"/>
            <w:hideMark/>
          </w:tcPr>
          <w:p w:rsidR="00D42318" w:rsidRPr="007E66A1" w:rsidRDefault="00D42318" w:rsidP="002721EE">
            <w:pPr>
              <w:spacing w:before="60" w:after="60"/>
              <w:jc w:val="right"/>
              <w:rPr>
                <w:rFonts w:ascii="Arial Narrow" w:hAnsi="Arial Narrow"/>
                <w:b/>
                <w:bCs/>
                <w:sz w:val="16"/>
                <w:szCs w:val="16"/>
              </w:rPr>
            </w:pPr>
            <w:r w:rsidRPr="007E66A1">
              <w:rPr>
                <w:rFonts w:ascii="Arial Narrow" w:hAnsi="Arial Narrow"/>
                <w:b/>
                <w:bCs/>
                <w:sz w:val="16"/>
                <w:szCs w:val="16"/>
              </w:rPr>
              <w:t>5.</w:t>
            </w:r>
          </w:p>
        </w:tc>
        <w:tc>
          <w:tcPr>
            <w:tcW w:w="5746" w:type="dxa"/>
            <w:shd w:val="clear" w:color="auto" w:fill="BFBFBF" w:themeFill="background1" w:themeFillShade="BF"/>
            <w:vAlign w:val="center"/>
            <w:hideMark/>
          </w:tcPr>
          <w:p w:rsidR="00D42318" w:rsidRPr="007E66A1" w:rsidRDefault="00D42318" w:rsidP="002721EE">
            <w:pPr>
              <w:spacing w:before="60" w:after="60"/>
              <w:rPr>
                <w:rFonts w:ascii="Arial Narrow" w:hAnsi="Arial Narrow"/>
                <w:b/>
                <w:bCs/>
                <w:sz w:val="16"/>
                <w:szCs w:val="16"/>
              </w:rPr>
            </w:pPr>
            <w:r w:rsidRPr="007E66A1">
              <w:rPr>
                <w:rFonts w:ascii="Arial Narrow" w:hAnsi="Arial Narrow"/>
                <w:b/>
                <w:bCs/>
                <w:sz w:val="16"/>
                <w:szCs w:val="16"/>
              </w:rPr>
              <w:t>Ισοζύγιο Γενικής Κυβέρνησης (2+3+4)</w:t>
            </w:r>
          </w:p>
        </w:tc>
        <w:tc>
          <w:tcPr>
            <w:tcW w:w="992" w:type="dxa"/>
            <w:shd w:val="clear" w:color="auto" w:fill="BFBFBF" w:themeFill="background1" w:themeFillShade="BF"/>
            <w:vAlign w:val="center"/>
            <w:hideMark/>
          </w:tcPr>
          <w:p w:rsidR="00D42318" w:rsidRDefault="00D42318" w:rsidP="009372B3">
            <w:pPr>
              <w:ind w:right="170"/>
              <w:jc w:val="right"/>
              <w:rPr>
                <w:rFonts w:ascii="Arial Narrow" w:hAnsi="Arial Narrow"/>
                <w:b/>
                <w:bCs/>
                <w:sz w:val="16"/>
                <w:szCs w:val="16"/>
              </w:rPr>
            </w:pPr>
            <w:r>
              <w:rPr>
                <w:rFonts w:ascii="Arial Narrow" w:hAnsi="Arial Narrow"/>
                <w:b/>
                <w:bCs/>
                <w:sz w:val="16"/>
                <w:szCs w:val="16"/>
              </w:rPr>
              <w:t>1.392</w:t>
            </w:r>
          </w:p>
        </w:tc>
        <w:tc>
          <w:tcPr>
            <w:tcW w:w="1068" w:type="dxa"/>
            <w:shd w:val="clear" w:color="auto" w:fill="BFBFBF" w:themeFill="background1" w:themeFillShade="BF"/>
            <w:vAlign w:val="center"/>
            <w:hideMark/>
          </w:tcPr>
          <w:p w:rsidR="00D42318" w:rsidRDefault="00FB4244" w:rsidP="009372B3">
            <w:pPr>
              <w:ind w:right="170"/>
              <w:jc w:val="right"/>
              <w:rPr>
                <w:rFonts w:ascii="Arial Narrow" w:hAnsi="Arial Narrow"/>
                <w:b/>
                <w:bCs/>
                <w:sz w:val="16"/>
                <w:szCs w:val="16"/>
              </w:rPr>
            </w:pPr>
            <w:r>
              <w:rPr>
                <w:rFonts w:ascii="Arial Narrow" w:hAnsi="Arial Narrow"/>
                <w:b/>
                <w:bCs/>
                <w:sz w:val="16"/>
                <w:szCs w:val="16"/>
              </w:rPr>
              <w:t>1.171</w:t>
            </w:r>
          </w:p>
        </w:tc>
        <w:tc>
          <w:tcPr>
            <w:tcW w:w="916" w:type="dxa"/>
            <w:shd w:val="clear" w:color="auto" w:fill="BFBFBF" w:themeFill="background1" w:themeFillShade="BF"/>
            <w:vAlign w:val="center"/>
            <w:hideMark/>
          </w:tcPr>
          <w:p w:rsidR="00D42318" w:rsidRDefault="00D42318" w:rsidP="00FB4244">
            <w:pPr>
              <w:ind w:right="170"/>
              <w:jc w:val="right"/>
              <w:rPr>
                <w:rFonts w:ascii="Arial Narrow" w:hAnsi="Arial Narrow"/>
                <w:b/>
                <w:bCs/>
                <w:sz w:val="16"/>
                <w:szCs w:val="16"/>
              </w:rPr>
            </w:pPr>
            <w:r>
              <w:rPr>
                <w:rFonts w:ascii="Arial Narrow" w:hAnsi="Arial Narrow"/>
                <w:b/>
                <w:bCs/>
                <w:sz w:val="16"/>
                <w:szCs w:val="16"/>
              </w:rPr>
              <w:t>1.</w:t>
            </w:r>
            <w:r w:rsidR="00FB4244">
              <w:rPr>
                <w:rFonts w:ascii="Arial Narrow" w:hAnsi="Arial Narrow"/>
                <w:b/>
                <w:bCs/>
                <w:sz w:val="16"/>
                <w:szCs w:val="16"/>
              </w:rPr>
              <w:t>132</w:t>
            </w:r>
          </w:p>
        </w:tc>
      </w:tr>
      <w:tr w:rsidR="00D42318" w:rsidRPr="007E66A1" w:rsidTr="00D42318">
        <w:trPr>
          <w:trHeight w:val="283"/>
        </w:trPr>
        <w:tc>
          <w:tcPr>
            <w:tcW w:w="280" w:type="dxa"/>
            <w:shd w:val="clear" w:color="auto" w:fill="auto"/>
            <w:vAlign w:val="center"/>
            <w:hideMark/>
          </w:tcPr>
          <w:p w:rsidR="00D42318" w:rsidRPr="007E66A1" w:rsidRDefault="00D42318" w:rsidP="002721EE">
            <w:pPr>
              <w:jc w:val="right"/>
              <w:rPr>
                <w:rFonts w:ascii="Arial Narrow" w:hAnsi="Arial Narrow"/>
                <w:b/>
                <w:bCs/>
                <w:sz w:val="16"/>
                <w:szCs w:val="16"/>
              </w:rPr>
            </w:pPr>
          </w:p>
        </w:tc>
        <w:tc>
          <w:tcPr>
            <w:tcW w:w="5746" w:type="dxa"/>
            <w:shd w:val="clear" w:color="auto" w:fill="auto"/>
            <w:vAlign w:val="center"/>
            <w:hideMark/>
          </w:tcPr>
          <w:p w:rsidR="00D42318" w:rsidRPr="007E66A1" w:rsidRDefault="00D42318" w:rsidP="002721EE">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D42318" w:rsidRDefault="00D42318" w:rsidP="009372B3">
            <w:pPr>
              <w:ind w:right="170"/>
              <w:jc w:val="right"/>
              <w:rPr>
                <w:rFonts w:ascii="Arial Narrow" w:hAnsi="Arial Narrow"/>
                <w:i/>
                <w:iCs/>
                <w:sz w:val="16"/>
                <w:szCs w:val="16"/>
              </w:rPr>
            </w:pPr>
            <w:r>
              <w:rPr>
                <w:rFonts w:ascii="Arial Narrow" w:hAnsi="Arial Narrow"/>
                <w:i/>
                <w:iCs/>
                <w:sz w:val="16"/>
                <w:szCs w:val="16"/>
              </w:rPr>
              <w:t>0,8%</w:t>
            </w:r>
          </w:p>
        </w:tc>
        <w:tc>
          <w:tcPr>
            <w:tcW w:w="1068" w:type="dxa"/>
            <w:shd w:val="clear" w:color="auto" w:fill="auto"/>
            <w:vAlign w:val="center"/>
            <w:hideMark/>
          </w:tcPr>
          <w:p w:rsidR="00D42318" w:rsidRDefault="00FB4244" w:rsidP="009372B3">
            <w:pPr>
              <w:ind w:right="170"/>
              <w:jc w:val="right"/>
              <w:rPr>
                <w:rFonts w:ascii="Arial Narrow" w:hAnsi="Arial Narrow"/>
                <w:i/>
                <w:iCs/>
                <w:sz w:val="16"/>
                <w:szCs w:val="16"/>
              </w:rPr>
            </w:pPr>
            <w:r>
              <w:rPr>
                <w:rFonts w:ascii="Arial Narrow" w:hAnsi="Arial Narrow"/>
                <w:i/>
                <w:iCs/>
                <w:sz w:val="16"/>
                <w:szCs w:val="16"/>
              </w:rPr>
              <w:t>0,6</w:t>
            </w:r>
            <w:r w:rsidR="00D42318">
              <w:rPr>
                <w:rFonts w:ascii="Arial Narrow" w:hAnsi="Arial Narrow"/>
                <w:i/>
                <w:iCs/>
                <w:sz w:val="16"/>
                <w:szCs w:val="16"/>
              </w:rPr>
              <w:t>%</w:t>
            </w:r>
          </w:p>
        </w:tc>
        <w:tc>
          <w:tcPr>
            <w:tcW w:w="916" w:type="dxa"/>
            <w:shd w:val="clear" w:color="auto" w:fill="auto"/>
            <w:vAlign w:val="center"/>
            <w:hideMark/>
          </w:tcPr>
          <w:p w:rsidR="00D42318" w:rsidRDefault="00D42318" w:rsidP="00D42318">
            <w:pPr>
              <w:ind w:right="170"/>
              <w:jc w:val="right"/>
              <w:rPr>
                <w:rFonts w:ascii="Arial Narrow" w:hAnsi="Arial Narrow"/>
                <w:i/>
                <w:iCs/>
                <w:sz w:val="16"/>
                <w:szCs w:val="16"/>
              </w:rPr>
            </w:pPr>
            <w:r>
              <w:rPr>
                <w:rFonts w:ascii="Arial Narrow" w:hAnsi="Arial Narrow"/>
                <w:i/>
                <w:iCs/>
                <w:sz w:val="16"/>
                <w:szCs w:val="16"/>
              </w:rPr>
              <w:t>0,6%</w:t>
            </w:r>
          </w:p>
        </w:tc>
      </w:tr>
      <w:tr w:rsidR="00D42318" w:rsidRPr="007E66A1" w:rsidTr="00D42318">
        <w:trPr>
          <w:trHeight w:val="283"/>
        </w:trPr>
        <w:tc>
          <w:tcPr>
            <w:tcW w:w="280" w:type="dxa"/>
            <w:shd w:val="clear" w:color="auto" w:fill="auto"/>
            <w:vAlign w:val="center"/>
            <w:hideMark/>
          </w:tcPr>
          <w:p w:rsidR="00D42318" w:rsidRPr="007E66A1" w:rsidRDefault="00D42318" w:rsidP="002721EE">
            <w:pPr>
              <w:jc w:val="right"/>
              <w:rPr>
                <w:rFonts w:ascii="Arial Narrow" w:hAnsi="Arial Narrow"/>
                <w:b/>
                <w:bCs/>
                <w:sz w:val="16"/>
                <w:szCs w:val="16"/>
              </w:rPr>
            </w:pPr>
            <w:r w:rsidRPr="007E66A1">
              <w:rPr>
                <w:rFonts w:ascii="Arial Narrow" w:hAnsi="Arial Narrow"/>
                <w:b/>
                <w:bCs/>
                <w:sz w:val="16"/>
                <w:szCs w:val="16"/>
              </w:rPr>
              <w:t>6.</w:t>
            </w:r>
          </w:p>
        </w:tc>
        <w:tc>
          <w:tcPr>
            <w:tcW w:w="5746" w:type="dxa"/>
            <w:shd w:val="clear" w:color="auto" w:fill="auto"/>
            <w:vAlign w:val="center"/>
            <w:hideMark/>
          </w:tcPr>
          <w:p w:rsidR="00D42318" w:rsidRPr="007E66A1" w:rsidRDefault="00D42318" w:rsidP="002721EE">
            <w:pPr>
              <w:rPr>
                <w:rFonts w:ascii="Arial Narrow" w:hAnsi="Arial Narrow"/>
                <w:sz w:val="16"/>
                <w:szCs w:val="16"/>
              </w:rPr>
            </w:pPr>
            <w:r w:rsidRPr="007E66A1">
              <w:rPr>
                <w:rFonts w:ascii="Arial Narrow" w:hAnsi="Arial Narrow"/>
                <w:sz w:val="16"/>
                <w:szCs w:val="16"/>
              </w:rPr>
              <w:t>Ενοποιημένοι τόκοι Γενικής Κυβέρνησης</w:t>
            </w:r>
          </w:p>
        </w:tc>
        <w:tc>
          <w:tcPr>
            <w:tcW w:w="992" w:type="dxa"/>
            <w:shd w:val="clear" w:color="auto" w:fill="auto"/>
            <w:vAlign w:val="center"/>
            <w:hideMark/>
          </w:tcPr>
          <w:p w:rsidR="00D42318" w:rsidRDefault="00D42318" w:rsidP="009372B3">
            <w:pPr>
              <w:ind w:right="170"/>
              <w:jc w:val="right"/>
              <w:rPr>
                <w:rFonts w:ascii="Arial Narrow" w:hAnsi="Arial Narrow"/>
                <w:sz w:val="16"/>
                <w:szCs w:val="16"/>
              </w:rPr>
            </w:pPr>
            <w:r>
              <w:rPr>
                <w:rFonts w:ascii="Arial Narrow" w:hAnsi="Arial Narrow"/>
                <w:sz w:val="16"/>
                <w:szCs w:val="16"/>
              </w:rPr>
              <w:t>5.618</w:t>
            </w:r>
          </w:p>
        </w:tc>
        <w:tc>
          <w:tcPr>
            <w:tcW w:w="1068" w:type="dxa"/>
            <w:shd w:val="clear" w:color="auto" w:fill="auto"/>
            <w:vAlign w:val="center"/>
            <w:hideMark/>
          </w:tcPr>
          <w:p w:rsidR="00D42318" w:rsidRDefault="00D42318" w:rsidP="009372B3">
            <w:pPr>
              <w:ind w:right="170"/>
              <w:jc w:val="right"/>
              <w:rPr>
                <w:rFonts w:ascii="Arial Narrow" w:hAnsi="Arial Narrow"/>
                <w:sz w:val="16"/>
                <w:szCs w:val="16"/>
              </w:rPr>
            </w:pPr>
            <w:r>
              <w:rPr>
                <w:rFonts w:ascii="Arial Narrow" w:hAnsi="Arial Narrow"/>
                <w:sz w:val="16"/>
                <w:szCs w:val="16"/>
              </w:rPr>
              <w:t>6.403</w:t>
            </w:r>
          </w:p>
        </w:tc>
        <w:tc>
          <w:tcPr>
            <w:tcW w:w="916" w:type="dxa"/>
            <w:shd w:val="clear" w:color="auto" w:fill="auto"/>
            <w:vAlign w:val="center"/>
            <w:hideMark/>
          </w:tcPr>
          <w:p w:rsidR="00D42318" w:rsidRDefault="00D42318" w:rsidP="00D42318">
            <w:pPr>
              <w:ind w:right="170"/>
              <w:jc w:val="right"/>
              <w:rPr>
                <w:rFonts w:ascii="Arial Narrow" w:hAnsi="Arial Narrow"/>
                <w:sz w:val="16"/>
                <w:szCs w:val="16"/>
              </w:rPr>
            </w:pPr>
            <w:r>
              <w:rPr>
                <w:rFonts w:ascii="Arial Narrow" w:hAnsi="Arial Narrow"/>
                <w:sz w:val="16"/>
                <w:szCs w:val="16"/>
              </w:rPr>
              <w:t>6.302</w:t>
            </w:r>
          </w:p>
        </w:tc>
      </w:tr>
      <w:tr w:rsidR="00D42318" w:rsidRPr="007E66A1" w:rsidTr="00D42318">
        <w:trPr>
          <w:trHeight w:val="283"/>
        </w:trPr>
        <w:tc>
          <w:tcPr>
            <w:tcW w:w="280" w:type="dxa"/>
            <w:shd w:val="clear" w:color="auto" w:fill="auto"/>
            <w:vAlign w:val="center"/>
            <w:hideMark/>
          </w:tcPr>
          <w:p w:rsidR="00D42318" w:rsidRPr="007E66A1" w:rsidRDefault="00D42318" w:rsidP="002721EE">
            <w:pPr>
              <w:jc w:val="right"/>
              <w:rPr>
                <w:rFonts w:ascii="Arial Narrow" w:hAnsi="Arial Narrow"/>
                <w:b/>
                <w:bCs/>
                <w:sz w:val="16"/>
                <w:szCs w:val="16"/>
              </w:rPr>
            </w:pPr>
          </w:p>
        </w:tc>
        <w:tc>
          <w:tcPr>
            <w:tcW w:w="5746" w:type="dxa"/>
            <w:shd w:val="clear" w:color="auto" w:fill="auto"/>
            <w:vAlign w:val="center"/>
            <w:hideMark/>
          </w:tcPr>
          <w:p w:rsidR="00D42318" w:rsidRPr="007E66A1" w:rsidRDefault="00D42318" w:rsidP="002721EE">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D42318" w:rsidRDefault="00D42318" w:rsidP="009372B3">
            <w:pPr>
              <w:ind w:right="170"/>
              <w:jc w:val="right"/>
              <w:rPr>
                <w:rFonts w:ascii="Arial Narrow" w:hAnsi="Arial Narrow"/>
                <w:i/>
                <w:iCs/>
                <w:sz w:val="16"/>
                <w:szCs w:val="16"/>
              </w:rPr>
            </w:pPr>
            <w:r>
              <w:rPr>
                <w:rFonts w:ascii="Arial Narrow" w:hAnsi="Arial Narrow"/>
                <w:i/>
                <w:iCs/>
                <w:sz w:val="16"/>
                <w:szCs w:val="16"/>
              </w:rPr>
              <w:t>3,1%</w:t>
            </w:r>
          </w:p>
        </w:tc>
        <w:tc>
          <w:tcPr>
            <w:tcW w:w="1068" w:type="dxa"/>
            <w:shd w:val="clear" w:color="auto" w:fill="auto"/>
            <w:vAlign w:val="center"/>
            <w:hideMark/>
          </w:tcPr>
          <w:p w:rsidR="00D42318" w:rsidRDefault="00D42318" w:rsidP="009372B3">
            <w:pPr>
              <w:ind w:right="170"/>
              <w:jc w:val="right"/>
              <w:rPr>
                <w:rFonts w:ascii="Arial Narrow" w:hAnsi="Arial Narrow"/>
                <w:i/>
                <w:iCs/>
                <w:sz w:val="16"/>
                <w:szCs w:val="16"/>
              </w:rPr>
            </w:pPr>
            <w:r>
              <w:rPr>
                <w:rFonts w:ascii="Arial Narrow" w:hAnsi="Arial Narrow"/>
                <w:i/>
                <w:iCs/>
                <w:sz w:val="16"/>
                <w:szCs w:val="16"/>
              </w:rPr>
              <w:t>3,4%</w:t>
            </w:r>
          </w:p>
        </w:tc>
        <w:tc>
          <w:tcPr>
            <w:tcW w:w="916" w:type="dxa"/>
            <w:shd w:val="clear" w:color="auto" w:fill="auto"/>
            <w:vAlign w:val="center"/>
            <w:hideMark/>
          </w:tcPr>
          <w:p w:rsidR="00D42318" w:rsidRDefault="00D42318" w:rsidP="00D42318">
            <w:pPr>
              <w:ind w:right="170"/>
              <w:jc w:val="right"/>
              <w:rPr>
                <w:rFonts w:ascii="Arial Narrow" w:hAnsi="Arial Narrow"/>
                <w:i/>
                <w:iCs/>
                <w:sz w:val="16"/>
                <w:szCs w:val="16"/>
              </w:rPr>
            </w:pPr>
            <w:r>
              <w:rPr>
                <w:rFonts w:ascii="Arial Narrow" w:hAnsi="Arial Narrow"/>
                <w:i/>
                <w:iCs/>
                <w:sz w:val="16"/>
                <w:szCs w:val="16"/>
              </w:rPr>
              <w:t>3,3%</w:t>
            </w:r>
          </w:p>
        </w:tc>
      </w:tr>
      <w:tr w:rsidR="00D42318" w:rsidRPr="007E66A1" w:rsidTr="00D42318">
        <w:trPr>
          <w:trHeight w:val="283"/>
        </w:trPr>
        <w:tc>
          <w:tcPr>
            <w:tcW w:w="280" w:type="dxa"/>
            <w:shd w:val="clear" w:color="auto" w:fill="BFBFBF" w:themeFill="background1" w:themeFillShade="BF"/>
            <w:vAlign w:val="center"/>
            <w:hideMark/>
          </w:tcPr>
          <w:p w:rsidR="00D42318" w:rsidRPr="007E66A1" w:rsidRDefault="00D42318" w:rsidP="002721EE">
            <w:pPr>
              <w:spacing w:before="60" w:after="60"/>
              <w:jc w:val="right"/>
              <w:rPr>
                <w:rFonts w:ascii="Arial Narrow" w:hAnsi="Arial Narrow"/>
                <w:b/>
                <w:bCs/>
                <w:sz w:val="16"/>
                <w:szCs w:val="16"/>
              </w:rPr>
            </w:pPr>
            <w:r w:rsidRPr="007E66A1">
              <w:rPr>
                <w:rFonts w:ascii="Arial Narrow" w:hAnsi="Arial Narrow"/>
                <w:b/>
                <w:bCs/>
                <w:sz w:val="16"/>
                <w:szCs w:val="16"/>
              </w:rPr>
              <w:t>7.</w:t>
            </w:r>
          </w:p>
        </w:tc>
        <w:tc>
          <w:tcPr>
            <w:tcW w:w="5746" w:type="dxa"/>
            <w:shd w:val="clear" w:color="auto" w:fill="BFBFBF" w:themeFill="background1" w:themeFillShade="BF"/>
            <w:vAlign w:val="center"/>
            <w:hideMark/>
          </w:tcPr>
          <w:p w:rsidR="00D42318" w:rsidRPr="007E66A1" w:rsidRDefault="00D42318" w:rsidP="002721EE">
            <w:pPr>
              <w:spacing w:before="60" w:after="60"/>
              <w:rPr>
                <w:rFonts w:ascii="Arial Narrow" w:hAnsi="Arial Narrow"/>
                <w:b/>
                <w:bCs/>
                <w:sz w:val="16"/>
                <w:szCs w:val="16"/>
              </w:rPr>
            </w:pPr>
            <w:r w:rsidRPr="007E66A1">
              <w:rPr>
                <w:rFonts w:ascii="Arial Narrow" w:hAnsi="Arial Narrow"/>
                <w:b/>
                <w:bCs/>
                <w:sz w:val="16"/>
                <w:szCs w:val="16"/>
              </w:rPr>
              <w:t xml:space="preserve">Πρωτογενές αποτέλεσμα Γενικής Κυβέρνησης σύμφωνα με τη μεθοδολογία </w:t>
            </w:r>
            <w:r w:rsidRPr="007E66A1">
              <w:rPr>
                <w:rFonts w:ascii="Arial Narrow" w:hAnsi="Arial Narrow"/>
                <w:b/>
                <w:bCs/>
                <w:sz w:val="16"/>
                <w:szCs w:val="16"/>
                <w:lang w:val="en-US"/>
              </w:rPr>
              <w:t>ESA</w:t>
            </w:r>
            <w:r w:rsidRPr="007E66A1">
              <w:rPr>
                <w:rFonts w:ascii="Arial Narrow" w:hAnsi="Arial Narrow"/>
                <w:b/>
                <w:bCs/>
                <w:sz w:val="16"/>
                <w:szCs w:val="16"/>
              </w:rPr>
              <w:t xml:space="preserve"> (5+6)</w:t>
            </w:r>
          </w:p>
        </w:tc>
        <w:tc>
          <w:tcPr>
            <w:tcW w:w="992" w:type="dxa"/>
            <w:shd w:val="clear" w:color="auto" w:fill="BFBFBF" w:themeFill="background1" w:themeFillShade="BF"/>
            <w:vAlign w:val="center"/>
            <w:hideMark/>
          </w:tcPr>
          <w:p w:rsidR="00D42318" w:rsidRDefault="00D42318" w:rsidP="009372B3">
            <w:pPr>
              <w:ind w:right="170"/>
              <w:jc w:val="right"/>
              <w:rPr>
                <w:rFonts w:ascii="Arial Narrow" w:hAnsi="Arial Narrow"/>
                <w:b/>
                <w:bCs/>
                <w:sz w:val="16"/>
                <w:szCs w:val="16"/>
              </w:rPr>
            </w:pPr>
            <w:r>
              <w:rPr>
                <w:rFonts w:ascii="Arial Narrow" w:hAnsi="Arial Narrow"/>
                <w:b/>
                <w:bCs/>
                <w:sz w:val="16"/>
                <w:szCs w:val="16"/>
              </w:rPr>
              <w:t>7.010</w:t>
            </w:r>
          </w:p>
        </w:tc>
        <w:tc>
          <w:tcPr>
            <w:tcW w:w="1068" w:type="dxa"/>
            <w:shd w:val="clear" w:color="auto" w:fill="BFBFBF" w:themeFill="background1" w:themeFillShade="BF"/>
            <w:vAlign w:val="center"/>
            <w:hideMark/>
          </w:tcPr>
          <w:p w:rsidR="00D42318" w:rsidRDefault="00D42318" w:rsidP="00FB4244">
            <w:pPr>
              <w:ind w:right="170"/>
              <w:jc w:val="right"/>
              <w:rPr>
                <w:rFonts w:ascii="Arial Narrow" w:hAnsi="Arial Narrow"/>
                <w:b/>
                <w:bCs/>
                <w:sz w:val="16"/>
                <w:szCs w:val="16"/>
              </w:rPr>
            </w:pPr>
            <w:r>
              <w:rPr>
                <w:rFonts w:ascii="Arial Narrow" w:hAnsi="Arial Narrow"/>
                <w:b/>
                <w:bCs/>
                <w:sz w:val="16"/>
                <w:szCs w:val="16"/>
              </w:rPr>
              <w:t>7.</w:t>
            </w:r>
            <w:r w:rsidR="00FB4244">
              <w:rPr>
                <w:rFonts w:ascii="Arial Narrow" w:hAnsi="Arial Narrow"/>
                <w:b/>
                <w:bCs/>
                <w:sz w:val="16"/>
                <w:szCs w:val="16"/>
              </w:rPr>
              <w:t>5</w:t>
            </w:r>
            <w:r>
              <w:rPr>
                <w:rFonts w:ascii="Arial Narrow" w:hAnsi="Arial Narrow"/>
                <w:b/>
                <w:bCs/>
                <w:sz w:val="16"/>
                <w:szCs w:val="16"/>
              </w:rPr>
              <w:t>73</w:t>
            </w:r>
          </w:p>
        </w:tc>
        <w:tc>
          <w:tcPr>
            <w:tcW w:w="916" w:type="dxa"/>
            <w:shd w:val="clear" w:color="auto" w:fill="BFBFBF" w:themeFill="background1" w:themeFillShade="BF"/>
            <w:vAlign w:val="center"/>
            <w:hideMark/>
          </w:tcPr>
          <w:p w:rsidR="00D42318" w:rsidRDefault="00D42318" w:rsidP="00FB4244">
            <w:pPr>
              <w:ind w:right="170"/>
              <w:jc w:val="right"/>
              <w:rPr>
                <w:rFonts w:ascii="Arial Narrow" w:hAnsi="Arial Narrow"/>
                <w:b/>
                <w:bCs/>
                <w:sz w:val="16"/>
                <w:szCs w:val="16"/>
              </w:rPr>
            </w:pPr>
            <w:r>
              <w:rPr>
                <w:rFonts w:ascii="Arial Narrow" w:hAnsi="Arial Narrow"/>
                <w:b/>
                <w:bCs/>
                <w:sz w:val="16"/>
                <w:szCs w:val="16"/>
              </w:rPr>
              <w:t>7.</w:t>
            </w:r>
            <w:r w:rsidR="00FB4244">
              <w:rPr>
                <w:rFonts w:ascii="Arial Narrow" w:hAnsi="Arial Narrow"/>
                <w:b/>
                <w:bCs/>
                <w:sz w:val="16"/>
                <w:szCs w:val="16"/>
              </w:rPr>
              <w:t>43</w:t>
            </w:r>
            <w:r>
              <w:rPr>
                <w:rFonts w:ascii="Arial Narrow" w:hAnsi="Arial Narrow"/>
                <w:b/>
                <w:bCs/>
                <w:sz w:val="16"/>
                <w:szCs w:val="16"/>
              </w:rPr>
              <w:t>4</w:t>
            </w:r>
          </w:p>
        </w:tc>
      </w:tr>
      <w:tr w:rsidR="00D42318" w:rsidRPr="007E66A1" w:rsidTr="00D42318">
        <w:trPr>
          <w:trHeight w:val="283"/>
        </w:trPr>
        <w:tc>
          <w:tcPr>
            <w:tcW w:w="280" w:type="dxa"/>
            <w:shd w:val="clear" w:color="auto" w:fill="auto"/>
            <w:hideMark/>
          </w:tcPr>
          <w:p w:rsidR="00D42318" w:rsidRPr="007E66A1" w:rsidRDefault="00D42318" w:rsidP="002721EE">
            <w:pPr>
              <w:jc w:val="right"/>
              <w:rPr>
                <w:rFonts w:ascii="Arial Narrow" w:hAnsi="Arial Narrow"/>
                <w:b/>
                <w:bCs/>
                <w:sz w:val="16"/>
                <w:szCs w:val="16"/>
              </w:rPr>
            </w:pPr>
          </w:p>
        </w:tc>
        <w:tc>
          <w:tcPr>
            <w:tcW w:w="5746" w:type="dxa"/>
            <w:shd w:val="clear" w:color="auto" w:fill="auto"/>
            <w:vAlign w:val="center"/>
            <w:hideMark/>
          </w:tcPr>
          <w:p w:rsidR="00D42318" w:rsidRPr="007E66A1" w:rsidRDefault="00D42318" w:rsidP="002721EE">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D42318" w:rsidRDefault="00D42318" w:rsidP="009372B3">
            <w:pPr>
              <w:ind w:right="170"/>
              <w:jc w:val="right"/>
              <w:rPr>
                <w:rFonts w:ascii="Arial Narrow" w:hAnsi="Arial Narrow"/>
                <w:i/>
                <w:iCs/>
                <w:sz w:val="16"/>
                <w:szCs w:val="16"/>
              </w:rPr>
            </w:pPr>
            <w:r>
              <w:rPr>
                <w:rFonts w:ascii="Arial Narrow" w:hAnsi="Arial Narrow"/>
                <w:i/>
                <w:iCs/>
                <w:sz w:val="16"/>
                <w:szCs w:val="16"/>
              </w:rPr>
              <w:t>3,9%</w:t>
            </w:r>
          </w:p>
        </w:tc>
        <w:tc>
          <w:tcPr>
            <w:tcW w:w="1068" w:type="dxa"/>
            <w:shd w:val="clear" w:color="auto" w:fill="auto"/>
            <w:vAlign w:val="center"/>
            <w:hideMark/>
          </w:tcPr>
          <w:p w:rsidR="00D42318" w:rsidRDefault="00FB4244" w:rsidP="009372B3">
            <w:pPr>
              <w:ind w:right="170"/>
              <w:jc w:val="right"/>
              <w:rPr>
                <w:rFonts w:ascii="Arial Narrow" w:hAnsi="Arial Narrow"/>
                <w:i/>
                <w:iCs/>
                <w:sz w:val="16"/>
                <w:szCs w:val="16"/>
              </w:rPr>
            </w:pPr>
            <w:r>
              <w:rPr>
                <w:rFonts w:ascii="Arial Narrow" w:hAnsi="Arial Narrow"/>
                <w:i/>
                <w:iCs/>
                <w:sz w:val="16"/>
                <w:szCs w:val="16"/>
              </w:rPr>
              <w:t>4,1</w:t>
            </w:r>
            <w:r w:rsidR="00D42318">
              <w:rPr>
                <w:rFonts w:ascii="Arial Narrow" w:hAnsi="Arial Narrow"/>
                <w:i/>
                <w:iCs/>
                <w:sz w:val="16"/>
                <w:szCs w:val="16"/>
              </w:rPr>
              <w:t>%</w:t>
            </w:r>
          </w:p>
        </w:tc>
        <w:tc>
          <w:tcPr>
            <w:tcW w:w="916" w:type="dxa"/>
            <w:shd w:val="clear" w:color="auto" w:fill="auto"/>
            <w:vAlign w:val="center"/>
            <w:hideMark/>
          </w:tcPr>
          <w:p w:rsidR="00D42318" w:rsidRDefault="00C6791B" w:rsidP="00D42318">
            <w:pPr>
              <w:ind w:right="170"/>
              <w:jc w:val="right"/>
              <w:rPr>
                <w:rFonts w:ascii="Arial Narrow" w:hAnsi="Arial Narrow"/>
                <w:i/>
                <w:iCs/>
                <w:sz w:val="16"/>
                <w:szCs w:val="16"/>
              </w:rPr>
            </w:pPr>
            <w:r>
              <w:rPr>
                <w:rFonts w:ascii="Arial Narrow" w:hAnsi="Arial Narrow"/>
                <w:i/>
                <w:iCs/>
                <w:sz w:val="16"/>
                <w:szCs w:val="16"/>
              </w:rPr>
              <w:t>3,9</w:t>
            </w:r>
            <w:r w:rsidR="00D42318">
              <w:rPr>
                <w:rFonts w:ascii="Arial Narrow" w:hAnsi="Arial Narrow"/>
                <w:i/>
                <w:iCs/>
                <w:sz w:val="16"/>
                <w:szCs w:val="16"/>
              </w:rPr>
              <w:t>%</w:t>
            </w:r>
          </w:p>
        </w:tc>
      </w:tr>
      <w:tr w:rsidR="00D42318" w:rsidRPr="007E66A1" w:rsidTr="00D42318">
        <w:trPr>
          <w:trHeight w:val="283"/>
        </w:trPr>
        <w:tc>
          <w:tcPr>
            <w:tcW w:w="280" w:type="dxa"/>
            <w:shd w:val="clear" w:color="auto" w:fill="BFBFBF" w:themeFill="background1" w:themeFillShade="BF"/>
            <w:hideMark/>
          </w:tcPr>
          <w:p w:rsidR="00D42318" w:rsidRPr="007E66A1" w:rsidRDefault="00D42318" w:rsidP="002721EE">
            <w:pPr>
              <w:jc w:val="right"/>
              <w:rPr>
                <w:rFonts w:ascii="Arial Narrow" w:hAnsi="Arial Narrow"/>
                <w:b/>
                <w:bCs/>
                <w:sz w:val="16"/>
                <w:szCs w:val="16"/>
              </w:rPr>
            </w:pPr>
            <w:r w:rsidRPr="007E66A1">
              <w:rPr>
                <w:rFonts w:ascii="Arial Narrow" w:hAnsi="Arial Narrow"/>
                <w:b/>
                <w:bCs/>
                <w:sz w:val="16"/>
                <w:szCs w:val="16"/>
              </w:rPr>
              <w:t>8.</w:t>
            </w:r>
          </w:p>
        </w:tc>
        <w:tc>
          <w:tcPr>
            <w:tcW w:w="5746" w:type="dxa"/>
            <w:shd w:val="clear" w:color="auto" w:fill="BFBFBF" w:themeFill="background1" w:themeFillShade="BF"/>
            <w:vAlign w:val="center"/>
            <w:hideMark/>
          </w:tcPr>
          <w:p w:rsidR="00D42318" w:rsidRPr="00FD2A8D" w:rsidRDefault="00D42318" w:rsidP="002721EE">
            <w:pPr>
              <w:rPr>
                <w:rFonts w:ascii="Arial Narrow" w:hAnsi="Arial Narrow"/>
                <w:b/>
                <w:bCs/>
                <w:sz w:val="16"/>
                <w:szCs w:val="16"/>
              </w:rPr>
            </w:pPr>
            <w:r w:rsidRPr="007E66A1">
              <w:rPr>
                <w:rFonts w:ascii="Arial Narrow" w:hAnsi="Arial Narrow"/>
                <w:b/>
                <w:bCs/>
                <w:sz w:val="16"/>
                <w:szCs w:val="16"/>
              </w:rPr>
              <w:t xml:space="preserve">Πρωτογενές αποτέλεσμα Γενικής Κυβέρνησης σύμφωνα με τη μεθοδολογία </w:t>
            </w:r>
            <w:r>
              <w:rPr>
                <w:rFonts w:ascii="Arial Narrow" w:hAnsi="Arial Narrow"/>
                <w:b/>
                <w:bCs/>
                <w:sz w:val="16"/>
                <w:szCs w:val="16"/>
              </w:rPr>
              <w:t>της ενισχυμ</w:t>
            </w:r>
            <w:r>
              <w:rPr>
                <w:rFonts w:ascii="Arial Narrow" w:hAnsi="Arial Narrow"/>
                <w:b/>
                <w:bCs/>
                <w:sz w:val="16"/>
                <w:szCs w:val="16"/>
              </w:rPr>
              <w:t>έ</w:t>
            </w:r>
            <w:r>
              <w:rPr>
                <w:rFonts w:ascii="Arial Narrow" w:hAnsi="Arial Narrow"/>
                <w:b/>
                <w:bCs/>
                <w:sz w:val="16"/>
                <w:szCs w:val="16"/>
              </w:rPr>
              <w:t>νης εποπτείας</w:t>
            </w:r>
          </w:p>
        </w:tc>
        <w:tc>
          <w:tcPr>
            <w:tcW w:w="992" w:type="dxa"/>
            <w:shd w:val="clear" w:color="auto" w:fill="BFBFBF" w:themeFill="background1" w:themeFillShade="BF"/>
            <w:vAlign w:val="center"/>
            <w:hideMark/>
          </w:tcPr>
          <w:p w:rsidR="00D42318" w:rsidRDefault="00D42318" w:rsidP="009372B3">
            <w:pPr>
              <w:ind w:right="170"/>
              <w:jc w:val="right"/>
              <w:rPr>
                <w:rFonts w:ascii="Arial Narrow" w:hAnsi="Arial Narrow"/>
                <w:b/>
                <w:bCs/>
                <w:sz w:val="16"/>
                <w:szCs w:val="16"/>
              </w:rPr>
            </w:pPr>
            <w:r>
              <w:rPr>
                <w:rFonts w:ascii="Arial Narrow" w:hAnsi="Arial Narrow"/>
                <w:b/>
                <w:bCs/>
                <w:sz w:val="16"/>
                <w:szCs w:val="16"/>
              </w:rPr>
              <w:t>7.442</w:t>
            </w:r>
          </w:p>
        </w:tc>
        <w:tc>
          <w:tcPr>
            <w:tcW w:w="1068" w:type="dxa"/>
            <w:shd w:val="clear" w:color="auto" w:fill="BFBFBF" w:themeFill="background1" w:themeFillShade="BF"/>
            <w:vAlign w:val="center"/>
            <w:hideMark/>
          </w:tcPr>
          <w:p w:rsidR="00D42318" w:rsidRDefault="004D0E49" w:rsidP="009372B3">
            <w:pPr>
              <w:ind w:right="170"/>
              <w:jc w:val="right"/>
              <w:rPr>
                <w:rFonts w:ascii="Arial Narrow" w:hAnsi="Arial Narrow"/>
                <w:b/>
                <w:bCs/>
                <w:sz w:val="16"/>
                <w:szCs w:val="16"/>
              </w:rPr>
            </w:pPr>
            <w:r>
              <w:rPr>
                <w:rFonts w:ascii="Arial Narrow" w:hAnsi="Arial Narrow"/>
                <w:b/>
                <w:bCs/>
                <w:sz w:val="16"/>
                <w:szCs w:val="16"/>
              </w:rPr>
              <w:t>7.3</w:t>
            </w:r>
            <w:r w:rsidR="00D42318">
              <w:rPr>
                <w:rFonts w:ascii="Arial Narrow" w:hAnsi="Arial Narrow"/>
                <w:b/>
                <w:bCs/>
                <w:sz w:val="16"/>
                <w:szCs w:val="16"/>
              </w:rPr>
              <w:t>83</w:t>
            </w:r>
          </w:p>
        </w:tc>
        <w:tc>
          <w:tcPr>
            <w:tcW w:w="916" w:type="dxa"/>
            <w:shd w:val="clear" w:color="auto" w:fill="BFBFBF" w:themeFill="background1" w:themeFillShade="BF"/>
            <w:vAlign w:val="center"/>
            <w:hideMark/>
          </w:tcPr>
          <w:p w:rsidR="00D42318" w:rsidRDefault="004D0E49" w:rsidP="00D42318">
            <w:pPr>
              <w:ind w:right="170"/>
              <w:jc w:val="right"/>
              <w:rPr>
                <w:rFonts w:ascii="Arial Narrow" w:hAnsi="Arial Narrow"/>
                <w:b/>
                <w:bCs/>
                <w:sz w:val="16"/>
                <w:szCs w:val="16"/>
              </w:rPr>
            </w:pPr>
            <w:r>
              <w:rPr>
                <w:rFonts w:ascii="Arial Narrow" w:hAnsi="Arial Narrow"/>
                <w:b/>
                <w:bCs/>
                <w:sz w:val="16"/>
                <w:szCs w:val="16"/>
              </w:rPr>
              <w:t>6.94</w:t>
            </w:r>
            <w:r w:rsidR="00D42318">
              <w:rPr>
                <w:rFonts w:ascii="Arial Narrow" w:hAnsi="Arial Narrow"/>
                <w:b/>
                <w:bCs/>
                <w:sz w:val="16"/>
                <w:szCs w:val="16"/>
              </w:rPr>
              <w:t>5</w:t>
            </w:r>
          </w:p>
        </w:tc>
      </w:tr>
      <w:tr w:rsidR="00D42318" w:rsidRPr="007E66A1" w:rsidTr="00D42318">
        <w:trPr>
          <w:trHeight w:val="283"/>
        </w:trPr>
        <w:tc>
          <w:tcPr>
            <w:tcW w:w="280" w:type="dxa"/>
            <w:shd w:val="clear" w:color="auto" w:fill="auto"/>
            <w:hideMark/>
          </w:tcPr>
          <w:p w:rsidR="00D42318" w:rsidRPr="007E66A1" w:rsidRDefault="00D42318" w:rsidP="002721EE">
            <w:pPr>
              <w:jc w:val="right"/>
              <w:rPr>
                <w:rFonts w:ascii="Arial Narrow" w:hAnsi="Arial Narrow"/>
                <w:b/>
                <w:bCs/>
                <w:sz w:val="16"/>
                <w:szCs w:val="16"/>
              </w:rPr>
            </w:pPr>
          </w:p>
        </w:tc>
        <w:tc>
          <w:tcPr>
            <w:tcW w:w="5746" w:type="dxa"/>
            <w:shd w:val="clear" w:color="auto" w:fill="auto"/>
            <w:vAlign w:val="center"/>
            <w:hideMark/>
          </w:tcPr>
          <w:p w:rsidR="00D42318" w:rsidRPr="007E66A1" w:rsidRDefault="00D42318" w:rsidP="002721EE">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D42318" w:rsidRDefault="00D42318" w:rsidP="009372B3">
            <w:pPr>
              <w:ind w:right="170"/>
              <w:jc w:val="right"/>
              <w:rPr>
                <w:rFonts w:ascii="Arial Narrow" w:hAnsi="Arial Narrow"/>
                <w:b/>
                <w:bCs/>
                <w:sz w:val="16"/>
                <w:szCs w:val="16"/>
              </w:rPr>
            </w:pPr>
            <w:r>
              <w:rPr>
                <w:rFonts w:ascii="Arial Narrow" w:hAnsi="Arial Narrow"/>
                <w:b/>
                <w:bCs/>
                <w:sz w:val="16"/>
                <w:szCs w:val="16"/>
              </w:rPr>
              <w:t>4,1%</w:t>
            </w:r>
          </w:p>
        </w:tc>
        <w:tc>
          <w:tcPr>
            <w:tcW w:w="1068" w:type="dxa"/>
            <w:shd w:val="clear" w:color="auto" w:fill="auto"/>
            <w:vAlign w:val="center"/>
            <w:hideMark/>
          </w:tcPr>
          <w:p w:rsidR="00D42318" w:rsidRDefault="00065156" w:rsidP="009372B3">
            <w:pPr>
              <w:ind w:right="170"/>
              <w:jc w:val="right"/>
              <w:rPr>
                <w:rFonts w:ascii="Arial Narrow" w:hAnsi="Arial Narrow"/>
                <w:b/>
                <w:bCs/>
                <w:sz w:val="16"/>
                <w:szCs w:val="16"/>
              </w:rPr>
            </w:pPr>
            <w:r>
              <w:rPr>
                <w:rFonts w:ascii="Arial Narrow" w:hAnsi="Arial Narrow"/>
                <w:b/>
                <w:bCs/>
                <w:sz w:val="16"/>
                <w:szCs w:val="16"/>
              </w:rPr>
              <w:t>4,0</w:t>
            </w:r>
            <w:r w:rsidR="00D42318">
              <w:rPr>
                <w:rFonts w:ascii="Arial Narrow" w:hAnsi="Arial Narrow"/>
                <w:b/>
                <w:bCs/>
                <w:sz w:val="16"/>
                <w:szCs w:val="16"/>
              </w:rPr>
              <w:t>%</w:t>
            </w:r>
          </w:p>
        </w:tc>
        <w:tc>
          <w:tcPr>
            <w:tcW w:w="916" w:type="dxa"/>
            <w:shd w:val="clear" w:color="auto" w:fill="auto"/>
            <w:vAlign w:val="center"/>
            <w:hideMark/>
          </w:tcPr>
          <w:p w:rsidR="00D42318" w:rsidRDefault="00D42318" w:rsidP="00D42318">
            <w:pPr>
              <w:ind w:right="170"/>
              <w:jc w:val="right"/>
              <w:rPr>
                <w:rFonts w:ascii="Arial Narrow" w:hAnsi="Arial Narrow"/>
                <w:b/>
                <w:bCs/>
                <w:sz w:val="16"/>
                <w:szCs w:val="16"/>
              </w:rPr>
            </w:pPr>
            <w:r>
              <w:rPr>
                <w:rFonts w:ascii="Arial Narrow" w:hAnsi="Arial Narrow"/>
                <w:b/>
                <w:bCs/>
                <w:sz w:val="16"/>
                <w:szCs w:val="16"/>
              </w:rPr>
              <w:t>3,6%</w:t>
            </w:r>
          </w:p>
        </w:tc>
      </w:tr>
      <w:tr w:rsidR="00D42318" w:rsidRPr="007E66A1" w:rsidTr="00D42318">
        <w:trPr>
          <w:trHeight w:val="283"/>
        </w:trPr>
        <w:tc>
          <w:tcPr>
            <w:tcW w:w="280" w:type="dxa"/>
            <w:shd w:val="clear" w:color="auto" w:fill="BFBFBF" w:themeFill="background1" w:themeFillShade="BF"/>
            <w:hideMark/>
          </w:tcPr>
          <w:p w:rsidR="00D42318" w:rsidRPr="007E66A1" w:rsidRDefault="00D42318" w:rsidP="002721EE">
            <w:pPr>
              <w:spacing w:before="60" w:after="60"/>
              <w:jc w:val="right"/>
              <w:rPr>
                <w:rFonts w:ascii="Arial Narrow" w:hAnsi="Arial Narrow"/>
                <w:b/>
                <w:bCs/>
                <w:sz w:val="16"/>
                <w:szCs w:val="16"/>
              </w:rPr>
            </w:pPr>
            <w:r w:rsidRPr="007E66A1">
              <w:rPr>
                <w:rFonts w:ascii="Arial Narrow" w:hAnsi="Arial Narrow"/>
                <w:b/>
                <w:bCs/>
                <w:sz w:val="16"/>
                <w:szCs w:val="16"/>
              </w:rPr>
              <w:t>9.</w:t>
            </w:r>
          </w:p>
        </w:tc>
        <w:tc>
          <w:tcPr>
            <w:tcW w:w="5746" w:type="dxa"/>
            <w:shd w:val="clear" w:color="auto" w:fill="BFBFBF" w:themeFill="background1" w:themeFillShade="BF"/>
            <w:vAlign w:val="center"/>
            <w:hideMark/>
          </w:tcPr>
          <w:p w:rsidR="00D42318" w:rsidRPr="007E66A1" w:rsidRDefault="00D42318" w:rsidP="002721EE">
            <w:pPr>
              <w:spacing w:before="60" w:after="60"/>
              <w:rPr>
                <w:rFonts w:ascii="Arial Narrow" w:hAnsi="Arial Narrow"/>
                <w:b/>
                <w:bCs/>
                <w:sz w:val="16"/>
                <w:szCs w:val="16"/>
              </w:rPr>
            </w:pPr>
            <w:r w:rsidRPr="007E66A1">
              <w:rPr>
                <w:rFonts w:ascii="Arial Narrow" w:hAnsi="Arial Narrow"/>
                <w:b/>
                <w:bCs/>
                <w:sz w:val="16"/>
                <w:szCs w:val="16"/>
              </w:rPr>
              <w:t xml:space="preserve">Ενοποιημένο Χρέος Γενικής Κυβέρνησης </w:t>
            </w:r>
          </w:p>
        </w:tc>
        <w:tc>
          <w:tcPr>
            <w:tcW w:w="992" w:type="dxa"/>
            <w:shd w:val="clear" w:color="auto" w:fill="BFBFBF" w:themeFill="background1" w:themeFillShade="BF"/>
            <w:vAlign w:val="center"/>
            <w:hideMark/>
          </w:tcPr>
          <w:p w:rsidR="00D42318" w:rsidRDefault="00D42318" w:rsidP="009372B3">
            <w:pPr>
              <w:ind w:right="170"/>
              <w:jc w:val="right"/>
              <w:rPr>
                <w:rFonts w:ascii="Arial Narrow" w:hAnsi="Arial Narrow"/>
                <w:b/>
                <w:bCs/>
                <w:sz w:val="16"/>
                <w:szCs w:val="16"/>
              </w:rPr>
            </w:pPr>
            <w:r>
              <w:rPr>
                <w:rFonts w:ascii="Arial Narrow" w:hAnsi="Arial Narrow"/>
                <w:b/>
                <w:bCs/>
                <w:sz w:val="16"/>
                <w:szCs w:val="16"/>
              </w:rPr>
              <w:t>317.414</w:t>
            </w:r>
          </w:p>
        </w:tc>
        <w:tc>
          <w:tcPr>
            <w:tcW w:w="1068" w:type="dxa"/>
            <w:shd w:val="clear" w:color="auto" w:fill="BFBFBF" w:themeFill="background1" w:themeFillShade="BF"/>
            <w:vAlign w:val="center"/>
            <w:hideMark/>
          </w:tcPr>
          <w:p w:rsidR="00D42318" w:rsidRDefault="00D42318" w:rsidP="009372B3">
            <w:pPr>
              <w:ind w:right="170"/>
              <w:jc w:val="right"/>
              <w:rPr>
                <w:rFonts w:ascii="Arial Narrow" w:hAnsi="Arial Narrow"/>
                <w:b/>
                <w:bCs/>
                <w:sz w:val="16"/>
                <w:szCs w:val="16"/>
              </w:rPr>
            </w:pPr>
            <w:r>
              <w:rPr>
                <w:rFonts w:ascii="Arial Narrow" w:hAnsi="Arial Narrow"/>
                <w:b/>
                <w:bCs/>
                <w:sz w:val="16"/>
                <w:szCs w:val="16"/>
              </w:rPr>
              <w:t>335.000</w:t>
            </w:r>
          </w:p>
        </w:tc>
        <w:tc>
          <w:tcPr>
            <w:tcW w:w="916" w:type="dxa"/>
            <w:shd w:val="clear" w:color="auto" w:fill="BFBFBF" w:themeFill="background1" w:themeFillShade="BF"/>
            <w:vAlign w:val="center"/>
            <w:hideMark/>
          </w:tcPr>
          <w:p w:rsidR="00D42318" w:rsidRDefault="00D42318" w:rsidP="00D42318">
            <w:pPr>
              <w:ind w:right="170"/>
              <w:jc w:val="right"/>
              <w:rPr>
                <w:rFonts w:ascii="Arial Narrow" w:hAnsi="Arial Narrow"/>
                <w:b/>
                <w:bCs/>
                <w:sz w:val="16"/>
                <w:szCs w:val="16"/>
              </w:rPr>
            </w:pPr>
            <w:r>
              <w:rPr>
                <w:rFonts w:ascii="Arial Narrow" w:hAnsi="Arial Narrow"/>
                <w:b/>
                <w:bCs/>
                <w:sz w:val="16"/>
                <w:szCs w:val="16"/>
              </w:rPr>
              <w:t>323.500</w:t>
            </w:r>
          </w:p>
        </w:tc>
      </w:tr>
      <w:tr w:rsidR="00D42318" w:rsidRPr="007E66A1" w:rsidTr="00D42318">
        <w:trPr>
          <w:trHeight w:val="283"/>
        </w:trPr>
        <w:tc>
          <w:tcPr>
            <w:tcW w:w="280" w:type="dxa"/>
            <w:shd w:val="clear" w:color="auto" w:fill="auto"/>
            <w:vAlign w:val="center"/>
            <w:hideMark/>
          </w:tcPr>
          <w:p w:rsidR="00D42318" w:rsidRPr="007E66A1" w:rsidRDefault="00D42318" w:rsidP="002721EE">
            <w:pPr>
              <w:jc w:val="right"/>
              <w:rPr>
                <w:rFonts w:ascii="Arial Narrow" w:hAnsi="Arial Narrow"/>
                <w:b/>
                <w:bCs/>
                <w:sz w:val="16"/>
                <w:szCs w:val="16"/>
              </w:rPr>
            </w:pPr>
          </w:p>
        </w:tc>
        <w:tc>
          <w:tcPr>
            <w:tcW w:w="5746" w:type="dxa"/>
            <w:shd w:val="clear" w:color="auto" w:fill="auto"/>
            <w:vAlign w:val="center"/>
            <w:hideMark/>
          </w:tcPr>
          <w:p w:rsidR="00D42318" w:rsidRPr="007E66A1" w:rsidRDefault="00D42318" w:rsidP="002721EE">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D42318" w:rsidRDefault="00D42318" w:rsidP="009372B3">
            <w:pPr>
              <w:ind w:right="170"/>
              <w:jc w:val="right"/>
              <w:rPr>
                <w:rFonts w:ascii="Arial Narrow" w:hAnsi="Arial Narrow"/>
                <w:b/>
                <w:bCs/>
                <w:sz w:val="16"/>
                <w:szCs w:val="16"/>
              </w:rPr>
            </w:pPr>
            <w:r>
              <w:rPr>
                <w:rFonts w:ascii="Arial Narrow" w:hAnsi="Arial Narrow"/>
                <w:b/>
                <w:bCs/>
                <w:sz w:val="16"/>
                <w:szCs w:val="16"/>
              </w:rPr>
              <w:t>176,1%</w:t>
            </w:r>
          </w:p>
        </w:tc>
        <w:tc>
          <w:tcPr>
            <w:tcW w:w="1068" w:type="dxa"/>
            <w:shd w:val="clear" w:color="auto" w:fill="auto"/>
            <w:vAlign w:val="center"/>
            <w:hideMark/>
          </w:tcPr>
          <w:p w:rsidR="00D42318" w:rsidRDefault="00D42318" w:rsidP="009372B3">
            <w:pPr>
              <w:ind w:right="170"/>
              <w:jc w:val="right"/>
              <w:rPr>
                <w:rFonts w:ascii="Arial Narrow" w:hAnsi="Arial Narrow"/>
                <w:b/>
                <w:bCs/>
                <w:sz w:val="16"/>
                <w:szCs w:val="16"/>
              </w:rPr>
            </w:pPr>
            <w:r>
              <w:rPr>
                <w:rFonts w:ascii="Arial Narrow" w:hAnsi="Arial Narrow"/>
                <w:b/>
                <w:bCs/>
                <w:sz w:val="16"/>
                <w:szCs w:val="16"/>
              </w:rPr>
              <w:t>180,4%</w:t>
            </w:r>
          </w:p>
        </w:tc>
        <w:tc>
          <w:tcPr>
            <w:tcW w:w="916" w:type="dxa"/>
            <w:shd w:val="clear" w:color="auto" w:fill="auto"/>
            <w:vAlign w:val="center"/>
            <w:hideMark/>
          </w:tcPr>
          <w:p w:rsidR="00D42318" w:rsidRDefault="00D42318" w:rsidP="00D42318">
            <w:pPr>
              <w:ind w:right="170"/>
              <w:jc w:val="right"/>
              <w:rPr>
                <w:rFonts w:ascii="Arial Narrow" w:hAnsi="Arial Narrow"/>
                <w:b/>
                <w:bCs/>
                <w:sz w:val="16"/>
                <w:szCs w:val="16"/>
              </w:rPr>
            </w:pPr>
            <w:r>
              <w:rPr>
                <w:rFonts w:ascii="Arial Narrow" w:hAnsi="Arial Narrow"/>
                <w:b/>
                <w:bCs/>
                <w:sz w:val="16"/>
                <w:szCs w:val="16"/>
              </w:rPr>
              <w:t>167,8%</w:t>
            </w:r>
          </w:p>
        </w:tc>
      </w:tr>
      <w:tr w:rsidR="00D42318" w:rsidRPr="007E66A1" w:rsidTr="00D42318">
        <w:trPr>
          <w:trHeight w:val="283"/>
        </w:trPr>
        <w:tc>
          <w:tcPr>
            <w:tcW w:w="280" w:type="dxa"/>
            <w:shd w:val="clear" w:color="auto" w:fill="BFBFBF" w:themeFill="background1" w:themeFillShade="BF"/>
            <w:vAlign w:val="center"/>
            <w:hideMark/>
          </w:tcPr>
          <w:p w:rsidR="00D42318" w:rsidRPr="007E66A1" w:rsidRDefault="00D42318" w:rsidP="002721EE">
            <w:pPr>
              <w:spacing w:before="60" w:after="60"/>
              <w:jc w:val="right"/>
              <w:rPr>
                <w:rFonts w:ascii="Arial Narrow" w:hAnsi="Arial Narrow"/>
                <w:b/>
                <w:bCs/>
                <w:sz w:val="16"/>
                <w:szCs w:val="16"/>
              </w:rPr>
            </w:pPr>
          </w:p>
        </w:tc>
        <w:tc>
          <w:tcPr>
            <w:tcW w:w="5746" w:type="dxa"/>
            <w:shd w:val="clear" w:color="auto" w:fill="BFBFBF" w:themeFill="background1" w:themeFillShade="BF"/>
            <w:vAlign w:val="center"/>
            <w:hideMark/>
          </w:tcPr>
          <w:p w:rsidR="00D42318" w:rsidRPr="007E66A1" w:rsidRDefault="00D42318" w:rsidP="002721EE">
            <w:pPr>
              <w:spacing w:before="60" w:after="60"/>
              <w:rPr>
                <w:rFonts w:ascii="Arial Narrow" w:hAnsi="Arial Narrow"/>
                <w:b/>
                <w:bCs/>
                <w:sz w:val="16"/>
                <w:szCs w:val="16"/>
              </w:rPr>
            </w:pPr>
            <w:r w:rsidRPr="007E66A1">
              <w:rPr>
                <w:rFonts w:ascii="Arial Narrow" w:hAnsi="Arial Narrow"/>
                <w:b/>
                <w:bCs/>
                <w:sz w:val="16"/>
                <w:szCs w:val="16"/>
              </w:rPr>
              <w:t>ΑΕΠ</w:t>
            </w:r>
          </w:p>
        </w:tc>
        <w:tc>
          <w:tcPr>
            <w:tcW w:w="992" w:type="dxa"/>
            <w:shd w:val="clear" w:color="auto" w:fill="BFBFBF" w:themeFill="background1" w:themeFillShade="BF"/>
            <w:vAlign w:val="center"/>
            <w:hideMark/>
          </w:tcPr>
          <w:p w:rsidR="00D42318" w:rsidRDefault="00D42318" w:rsidP="009372B3">
            <w:pPr>
              <w:ind w:right="170"/>
              <w:jc w:val="right"/>
              <w:rPr>
                <w:rFonts w:ascii="Arial Narrow" w:hAnsi="Arial Narrow"/>
                <w:b/>
                <w:bCs/>
                <w:color w:val="000000"/>
                <w:sz w:val="16"/>
                <w:szCs w:val="16"/>
              </w:rPr>
            </w:pPr>
            <w:r>
              <w:rPr>
                <w:rFonts w:ascii="Arial Narrow" w:hAnsi="Arial Narrow"/>
                <w:b/>
                <w:bCs/>
                <w:color w:val="000000"/>
                <w:sz w:val="16"/>
                <w:szCs w:val="16"/>
              </w:rPr>
              <w:t>180.218</w:t>
            </w:r>
          </w:p>
        </w:tc>
        <w:tc>
          <w:tcPr>
            <w:tcW w:w="1068" w:type="dxa"/>
            <w:shd w:val="clear" w:color="auto" w:fill="BFBFBF" w:themeFill="background1" w:themeFillShade="BF"/>
            <w:vAlign w:val="center"/>
            <w:hideMark/>
          </w:tcPr>
          <w:p w:rsidR="00D42318" w:rsidRDefault="00D42318" w:rsidP="009372B3">
            <w:pPr>
              <w:ind w:right="170"/>
              <w:jc w:val="right"/>
              <w:rPr>
                <w:rFonts w:ascii="Arial Narrow" w:hAnsi="Arial Narrow"/>
                <w:b/>
                <w:bCs/>
                <w:color w:val="000000"/>
                <w:sz w:val="16"/>
                <w:szCs w:val="16"/>
              </w:rPr>
            </w:pPr>
            <w:r>
              <w:rPr>
                <w:rFonts w:ascii="Arial Narrow" w:hAnsi="Arial Narrow"/>
                <w:b/>
                <w:bCs/>
                <w:color w:val="000000"/>
                <w:sz w:val="16"/>
                <w:szCs w:val="16"/>
              </w:rPr>
              <w:t>185.658</w:t>
            </w:r>
          </w:p>
        </w:tc>
        <w:tc>
          <w:tcPr>
            <w:tcW w:w="916" w:type="dxa"/>
            <w:shd w:val="clear" w:color="auto" w:fill="BFBFBF" w:themeFill="background1" w:themeFillShade="BF"/>
            <w:vAlign w:val="center"/>
            <w:hideMark/>
          </w:tcPr>
          <w:p w:rsidR="00D42318" w:rsidRDefault="00D42318" w:rsidP="00D42318">
            <w:pPr>
              <w:ind w:right="170"/>
              <w:jc w:val="right"/>
              <w:rPr>
                <w:rFonts w:ascii="Arial Narrow" w:hAnsi="Arial Narrow"/>
                <w:b/>
                <w:bCs/>
                <w:color w:val="000000"/>
                <w:sz w:val="16"/>
                <w:szCs w:val="16"/>
              </w:rPr>
            </w:pPr>
            <w:r>
              <w:rPr>
                <w:rFonts w:ascii="Arial Narrow" w:hAnsi="Arial Narrow"/>
                <w:b/>
                <w:bCs/>
                <w:color w:val="000000"/>
                <w:sz w:val="16"/>
                <w:szCs w:val="16"/>
              </w:rPr>
              <w:t>192.749</w:t>
            </w:r>
          </w:p>
        </w:tc>
      </w:tr>
    </w:tbl>
    <w:p w:rsidR="00AC1AC3" w:rsidRDefault="00AC1AC3" w:rsidP="00AC1AC3">
      <w:pPr>
        <w:tabs>
          <w:tab w:val="left" w:pos="378"/>
          <w:tab w:val="left" w:pos="5678"/>
          <w:tab w:val="left" w:pos="6938"/>
          <w:tab w:val="left" w:pos="8158"/>
        </w:tabs>
        <w:ind w:left="98"/>
        <w:rPr>
          <w:rFonts w:ascii="Arial Narrow" w:hAnsi="Arial Narrow"/>
          <w:b/>
          <w:color w:val="000080"/>
          <w:sz w:val="10"/>
        </w:rPr>
      </w:pPr>
    </w:p>
    <w:p w:rsidR="00AC1AC3" w:rsidRDefault="00AC1AC3" w:rsidP="00AC1AC3">
      <w:pPr>
        <w:tabs>
          <w:tab w:val="left" w:pos="378"/>
          <w:tab w:val="left" w:pos="5678"/>
          <w:tab w:val="left" w:pos="6938"/>
          <w:tab w:val="left" w:pos="8158"/>
        </w:tabs>
        <w:ind w:left="98"/>
        <w:rPr>
          <w:rFonts w:ascii="Arial Narrow" w:hAnsi="Arial Narrow"/>
          <w:b/>
          <w:color w:val="000080"/>
          <w:sz w:val="10"/>
        </w:rPr>
      </w:pPr>
    </w:p>
    <w:p w:rsidR="00AC1AC3" w:rsidRDefault="00B45152" w:rsidP="00AC1AC3">
      <w:pPr>
        <w:contextualSpacing/>
        <w:jc w:val="both"/>
        <w:rPr>
          <w:sz w:val="22"/>
        </w:rPr>
      </w:pPr>
      <w:r w:rsidRPr="00B45152">
        <w:rPr>
          <w:b/>
          <w:sz w:val="22"/>
          <w:szCs w:val="22"/>
        </w:rPr>
      </w:r>
      <w:r w:rsidRPr="00B45152">
        <w:rPr>
          <w:b/>
          <w:sz w:val="22"/>
          <w:szCs w:val="22"/>
        </w:rPr>
        <w:pict>
          <v:shapetype id="_x0000_t202" coordsize="21600,21600" o:spt="202" path="m,l,21600r21600,l21600,xe">
            <v:stroke joinstyle="miter"/>
            <v:path gradientshapeok="t" o:connecttype="rect"/>
          </v:shapetype>
          <v:shape id="_x0000_s1026" type="#_x0000_t202" style="width:445.25pt;height:13.9pt;mso-position-horizontal-relative:char;mso-position-vertical-relative:line" strokecolor="navy" strokeweight="1pt">
            <v:textbox style="mso-next-textbox:#_x0000_s1026;mso-direction-alt:auto" inset=",.3mm,,.3mm">
              <w:txbxContent>
                <w:p w:rsidR="002061C2" w:rsidRPr="008D2CCB" w:rsidRDefault="002061C2" w:rsidP="00AC1AC3">
                  <w:pPr>
                    <w:autoSpaceDE w:val="0"/>
                    <w:autoSpaceDN w:val="0"/>
                    <w:adjustRightInd w:val="0"/>
                    <w:ind w:left="-11" w:firstLine="142"/>
                    <w:jc w:val="center"/>
                    <w:rPr>
                      <w:rFonts w:ascii="Arial Narrow" w:hAnsi="Arial Narrow"/>
                      <w:b/>
                      <w:color w:val="000080"/>
                      <w:sz w:val="20"/>
                    </w:rPr>
                  </w:pPr>
                  <w:r w:rsidRPr="008D2CCB">
                    <w:rPr>
                      <w:rFonts w:ascii="Arial Narrow" w:hAnsi="Arial Narrow"/>
                      <w:b/>
                      <w:color w:val="000080"/>
                      <w:sz w:val="18"/>
                    </w:rPr>
                    <w:t>Σημείωση:  Τυχόν διαφορές ποσών και ποσοστών στους πίνακες που ακολουθούν οφείλονται σε στρογγυλοποιήσεις</w:t>
                  </w:r>
                  <w:r w:rsidRPr="008D2CCB">
                    <w:rPr>
                      <w:rFonts w:ascii="Arial Narrow" w:hAnsi="Arial Narrow"/>
                      <w:b/>
                      <w:color w:val="000080"/>
                      <w:sz w:val="20"/>
                    </w:rPr>
                    <w:t>.</w:t>
                  </w:r>
                </w:p>
              </w:txbxContent>
            </v:textbox>
            <w10:wrap type="none"/>
            <w10:anchorlock/>
          </v:shape>
        </w:pict>
      </w:r>
    </w:p>
    <w:p w:rsidR="00A712D0" w:rsidRDefault="00A712D0" w:rsidP="00A712D0">
      <w:pPr>
        <w:contextualSpacing/>
        <w:jc w:val="both"/>
        <w:rPr>
          <w:sz w:val="22"/>
        </w:rPr>
      </w:pPr>
    </w:p>
    <w:p w:rsidR="0082641A" w:rsidRDefault="0082641A" w:rsidP="0082641A">
      <w:pPr>
        <w:spacing w:line="228" w:lineRule="auto"/>
        <w:contextualSpacing/>
        <w:jc w:val="both"/>
        <w:rPr>
          <w:sz w:val="22"/>
        </w:rPr>
      </w:pPr>
      <w:r w:rsidRPr="00067286">
        <w:rPr>
          <w:sz w:val="22"/>
        </w:rPr>
        <w:t xml:space="preserve">Η δημοσιονομική στρατηγική για το έτος 2018 είχε </w:t>
      </w:r>
      <w:r>
        <w:rPr>
          <w:sz w:val="22"/>
        </w:rPr>
        <w:t>δύο βασικές επιδιώξεις. Πρώτον, την επίτευξη των δεδηλωμένων δημοσιονομικών στόχων, έτσι ώστε να εμπεδωθεί η διεθνής αξιοπιστία στα ελληνικά δημόσια οικονομικά και να δημιουργηθούν οι προϋποθέσεις για την επιστροφή της χώρας στις δι</w:t>
      </w:r>
      <w:r>
        <w:rPr>
          <w:sz w:val="22"/>
        </w:rPr>
        <w:t>ε</w:t>
      </w:r>
      <w:r>
        <w:rPr>
          <w:sz w:val="22"/>
        </w:rPr>
        <w:t xml:space="preserve">θνείς αγορές κεφαλαίων με τρόπο διατηρήσιμο και, δεύτερον, τη διατήρηση της κοινωνικής συνοχής με την ανάπτυξη παρεμβάσεων κοινωνικής πολιτικής, ειδικά στον κρίσιμο τομέα αντιμετώπισης της παιδικής φτώχειας, μέσω δράσεων όπως: </w:t>
      </w:r>
    </w:p>
    <w:p w:rsidR="00A712D0" w:rsidRPr="00C976CB" w:rsidRDefault="00A712D0" w:rsidP="00A712D0">
      <w:pPr>
        <w:contextualSpacing/>
        <w:jc w:val="both"/>
        <w:rPr>
          <w:sz w:val="22"/>
        </w:rPr>
      </w:pPr>
    </w:p>
    <w:p w:rsidR="004018BF" w:rsidRPr="00C976CB" w:rsidRDefault="004018BF" w:rsidP="006556BD">
      <w:pPr>
        <w:numPr>
          <w:ilvl w:val="0"/>
          <w:numId w:val="13"/>
        </w:numPr>
        <w:ind w:left="284" w:hanging="284"/>
        <w:jc w:val="both"/>
        <w:rPr>
          <w:sz w:val="22"/>
        </w:rPr>
      </w:pPr>
      <w:r w:rsidRPr="00C976CB">
        <w:rPr>
          <w:sz w:val="22"/>
        </w:rPr>
        <w:t xml:space="preserve">η ολοκλήρωση της υλοποίησης του προγράμματος εξόφλησης ληξιπρόθεσμων υποχρεώσεων των φορέων της Γενικής Κυβέρνησης </w:t>
      </w:r>
      <w:r w:rsidR="00132672">
        <w:rPr>
          <w:sz w:val="22"/>
        </w:rPr>
        <w:t>για την ενίσχυση της</w:t>
      </w:r>
      <w:r w:rsidRPr="00C976CB">
        <w:rPr>
          <w:sz w:val="22"/>
        </w:rPr>
        <w:t xml:space="preserve"> πραγματική</w:t>
      </w:r>
      <w:r w:rsidR="00132672">
        <w:rPr>
          <w:sz w:val="22"/>
        </w:rPr>
        <w:t>ς</w:t>
      </w:r>
      <w:r w:rsidRPr="00C976CB">
        <w:rPr>
          <w:sz w:val="22"/>
        </w:rPr>
        <w:t xml:space="preserve"> οικονομία</w:t>
      </w:r>
      <w:r w:rsidR="00132672">
        <w:rPr>
          <w:sz w:val="22"/>
        </w:rPr>
        <w:t>ς</w:t>
      </w:r>
      <w:r w:rsidRPr="00C976CB">
        <w:rPr>
          <w:sz w:val="22"/>
        </w:rPr>
        <w:t xml:space="preserve">, </w:t>
      </w:r>
    </w:p>
    <w:p w:rsidR="004018BF" w:rsidRPr="00C976CB" w:rsidRDefault="004018BF" w:rsidP="006556BD">
      <w:pPr>
        <w:numPr>
          <w:ilvl w:val="0"/>
          <w:numId w:val="13"/>
        </w:numPr>
        <w:ind w:left="284" w:hanging="284"/>
        <w:jc w:val="both"/>
        <w:rPr>
          <w:sz w:val="22"/>
        </w:rPr>
      </w:pPr>
      <w:r w:rsidRPr="00C976CB">
        <w:rPr>
          <w:sz w:val="22"/>
        </w:rPr>
        <w:t>η πλήρης εφαρμογή του Κοινωνικού Εισοδήματος Αλληλεγγύης (ΚΕΑ) με σκοπό την προστασία των ευάλωτων κοινωνικών ομάδων,</w:t>
      </w:r>
    </w:p>
    <w:p w:rsidR="004018BF" w:rsidRPr="00C976CB" w:rsidRDefault="004018BF" w:rsidP="006556BD">
      <w:pPr>
        <w:numPr>
          <w:ilvl w:val="0"/>
          <w:numId w:val="13"/>
        </w:numPr>
        <w:ind w:left="284" w:hanging="284"/>
        <w:jc w:val="both"/>
        <w:rPr>
          <w:sz w:val="22"/>
        </w:rPr>
      </w:pPr>
      <w:r w:rsidRPr="00C976CB">
        <w:rPr>
          <w:sz w:val="22"/>
        </w:rPr>
        <w:t>η ενίσχυση κατά 260 εκατ. ευρώ του προϋπολογισμού των οικογενειακών επιδομάτων,</w:t>
      </w:r>
    </w:p>
    <w:p w:rsidR="004018BF" w:rsidRPr="00C976CB" w:rsidRDefault="004018BF" w:rsidP="006556BD">
      <w:pPr>
        <w:numPr>
          <w:ilvl w:val="0"/>
          <w:numId w:val="13"/>
        </w:numPr>
        <w:ind w:left="284" w:hanging="284"/>
        <w:jc w:val="both"/>
        <w:rPr>
          <w:sz w:val="22"/>
        </w:rPr>
      </w:pPr>
      <w:r w:rsidRPr="00C976CB">
        <w:rPr>
          <w:sz w:val="22"/>
        </w:rPr>
        <w:t>η περαιτέρω ενίσχυση της φορολογικής συμμόρφωσης, μέσω της εντατικοποίησης των φορολογ</w:t>
      </w:r>
      <w:r w:rsidRPr="00C976CB">
        <w:rPr>
          <w:sz w:val="22"/>
        </w:rPr>
        <w:t>ι</w:t>
      </w:r>
      <w:r w:rsidRPr="00C976CB">
        <w:rPr>
          <w:sz w:val="22"/>
        </w:rPr>
        <w:t>κών ελέγχων και της παροχής κινήτρων στους φορολογούμενους για ηλεκτρονικές πληρωμές (συμμετοχή σε κληρώσεις με χρηματικά έπαθλα, διαμόρφωση αφορολογήτου με βάση το ύψος των ετήσιων ηλεκτρονικών πληρωμών),</w:t>
      </w:r>
    </w:p>
    <w:p w:rsidR="004018BF" w:rsidRPr="00C976CB" w:rsidRDefault="004018BF" w:rsidP="006556BD">
      <w:pPr>
        <w:numPr>
          <w:ilvl w:val="0"/>
          <w:numId w:val="13"/>
        </w:numPr>
        <w:ind w:left="284" w:hanging="284"/>
        <w:jc w:val="both"/>
        <w:rPr>
          <w:sz w:val="22"/>
        </w:rPr>
      </w:pPr>
      <w:r w:rsidRPr="00C976CB">
        <w:rPr>
          <w:sz w:val="22"/>
        </w:rPr>
        <w:t>η έναρξη λειτουργίας του Οργανισμού Προνοιακών Επιδομάτων και Κοινωνικής Αλληλεγγύης (ΟΠΕΚΑ) για την αποτελεσματικότερη εφαρμογή δράσεων για την οικονομική στήριξη και κο</w:t>
      </w:r>
      <w:r w:rsidRPr="00C976CB">
        <w:rPr>
          <w:sz w:val="22"/>
        </w:rPr>
        <w:t>ι</w:t>
      </w:r>
      <w:r w:rsidRPr="00C976CB">
        <w:rPr>
          <w:sz w:val="22"/>
        </w:rPr>
        <w:t>νωνική ένταξη οικογενειών και ευπαθών ομάδων, όπως το επίδομα παιδιού, το ΚΕΑ</w:t>
      </w:r>
      <w:r w:rsidR="00E87DF9">
        <w:rPr>
          <w:sz w:val="22"/>
        </w:rPr>
        <w:t xml:space="preserve"> και</w:t>
      </w:r>
      <w:r w:rsidRPr="00C976CB">
        <w:rPr>
          <w:sz w:val="22"/>
        </w:rPr>
        <w:t xml:space="preserve"> το επίδ</w:t>
      </w:r>
      <w:r w:rsidRPr="00C976CB">
        <w:rPr>
          <w:sz w:val="22"/>
        </w:rPr>
        <w:t>ο</w:t>
      </w:r>
      <w:r w:rsidRPr="00C976CB">
        <w:rPr>
          <w:sz w:val="22"/>
        </w:rPr>
        <w:t>μα κοινωνικής αλληλεγγύης ανασφάλιστων υπερηλίκων</w:t>
      </w:r>
      <w:r w:rsidR="00E87DF9">
        <w:rPr>
          <w:sz w:val="22"/>
        </w:rPr>
        <w:t>,</w:t>
      </w:r>
    </w:p>
    <w:p w:rsidR="004018BF" w:rsidRPr="00C976CB" w:rsidRDefault="004018BF" w:rsidP="006556BD">
      <w:pPr>
        <w:numPr>
          <w:ilvl w:val="0"/>
          <w:numId w:val="13"/>
        </w:numPr>
        <w:ind w:left="284" w:hanging="284"/>
        <w:jc w:val="both"/>
        <w:rPr>
          <w:sz w:val="22"/>
        </w:rPr>
      </w:pPr>
      <w:r w:rsidRPr="00C976CB">
        <w:rPr>
          <w:sz w:val="22"/>
        </w:rPr>
        <w:t>η εφαρμογή κανόνα προσλήψεων-αποχωρήσεων 1:3 στο σύνολο της Γενικής Κυβέρνησης,</w:t>
      </w:r>
    </w:p>
    <w:p w:rsidR="004018BF" w:rsidRPr="00C976CB" w:rsidRDefault="004018BF" w:rsidP="006556BD">
      <w:pPr>
        <w:numPr>
          <w:ilvl w:val="0"/>
          <w:numId w:val="13"/>
        </w:numPr>
        <w:ind w:left="284" w:hanging="284"/>
        <w:jc w:val="both"/>
        <w:rPr>
          <w:sz w:val="22"/>
        </w:rPr>
      </w:pPr>
      <w:r w:rsidRPr="00C976CB">
        <w:rPr>
          <w:sz w:val="22"/>
        </w:rPr>
        <w:t>η συνέχιση της εφαρμογής του προγράμματος αποκρατικοποιήσεων,</w:t>
      </w:r>
    </w:p>
    <w:p w:rsidR="004018BF" w:rsidRPr="00C976CB" w:rsidRDefault="004018BF" w:rsidP="006556BD">
      <w:pPr>
        <w:numPr>
          <w:ilvl w:val="0"/>
          <w:numId w:val="13"/>
        </w:numPr>
        <w:ind w:left="284" w:hanging="284"/>
        <w:jc w:val="both"/>
        <w:rPr>
          <w:sz w:val="22"/>
        </w:rPr>
      </w:pPr>
      <w:r w:rsidRPr="00C976CB">
        <w:rPr>
          <w:sz w:val="22"/>
        </w:rPr>
        <w:t>η επισκόπηση δαπανών στα Υπουργεία και στους εποπτευόμενους φορείς τους, προκειμένου να αυξηθεί η αποτελεσματικότητα των δημοσίων δαπανών και να ενισχυθούν οι δαπάνες σε τομείς με υψηλή κοινωνική αποτελεσματικότητα,</w:t>
      </w:r>
    </w:p>
    <w:p w:rsidR="004018BF" w:rsidRPr="00C976CB" w:rsidRDefault="004018BF" w:rsidP="006556BD">
      <w:pPr>
        <w:numPr>
          <w:ilvl w:val="0"/>
          <w:numId w:val="13"/>
        </w:numPr>
        <w:ind w:left="284" w:hanging="284"/>
        <w:jc w:val="both"/>
        <w:rPr>
          <w:sz w:val="22"/>
        </w:rPr>
      </w:pPr>
      <w:r w:rsidRPr="00C976CB">
        <w:rPr>
          <w:sz w:val="22"/>
        </w:rPr>
        <w:t xml:space="preserve">η διαμόρφωση νέου </w:t>
      </w:r>
      <w:r w:rsidR="009C2EB4">
        <w:rPr>
          <w:sz w:val="22"/>
        </w:rPr>
        <w:t xml:space="preserve">ενιαίου </w:t>
      </w:r>
      <w:r w:rsidR="00510E92">
        <w:rPr>
          <w:sz w:val="22"/>
        </w:rPr>
        <w:t>πλαισίου</w:t>
      </w:r>
      <w:r w:rsidR="000B734E" w:rsidRPr="000B734E">
        <w:rPr>
          <w:sz w:val="22"/>
        </w:rPr>
        <w:t xml:space="preserve"> </w:t>
      </w:r>
      <w:r w:rsidR="000B734E">
        <w:rPr>
          <w:sz w:val="22"/>
        </w:rPr>
        <w:t>κανόνων</w:t>
      </w:r>
      <w:r w:rsidR="00510E92">
        <w:rPr>
          <w:sz w:val="22"/>
        </w:rPr>
        <w:t xml:space="preserve"> λογιστικής και </w:t>
      </w:r>
      <w:r w:rsidR="000B734E">
        <w:rPr>
          <w:sz w:val="22"/>
        </w:rPr>
        <w:t xml:space="preserve">νέας </w:t>
      </w:r>
      <w:r w:rsidR="00510E92">
        <w:rPr>
          <w:sz w:val="22"/>
        </w:rPr>
        <w:t xml:space="preserve">οικονομικής ταξινόμησης, </w:t>
      </w:r>
      <w:r w:rsidRPr="00C976CB">
        <w:rPr>
          <w:sz w:val="22"/>
        </w:rPr>
        <w:t xml:space="preserve">με σκοπό </w:t>
      </w:r>
      <w:r w:rsidR="005B32FD">
        <w:rPr>
          <w:sz w:val="22"/>
        </w:rPr>
        <w:t xml:space="preserve">τη σταδιακή εφαρμογή </w:t>
      </w:r>
      <w:r w:rsidRPr="00C976CB">
        <w:rPr>
          <w:sz w:val="22"/>
        </w:rPr>
        <w:t xml:space="preserve">στο σύνολο της Γενικής Κυβέρνησης, </w:t>
      </w:r>
    </w:p>
    <w:p w:rsidR="004018BF" w:rsidRPr="00C976CB" w:rsidRDefault="004018BF" w:rsidP="006556BD">
      <w:pPr>
        <w:numPr>
          <w:ilvl w:val="0"/>
          <w:numId w:val="13"/>
        </w:numPr>
        <w:ind w:left="284" w:hanging="284"/>
        <w:jc w:val="both"/>
        <w:rPr>
          <w:sz w:val="22"/>
        </w:rPr>
      </w:pPr>
      <w:r w:rsidRPr="00C976CB">
        <w:rPr>
          <w:sz w:val="22"/>
        </w:rPr>
        <w:t xml:space="preserve">η έναρξη της πιλοτικής φάσης υλοποίησης του </w:t>
      </w:r>
      <w:r w:rsidR="005B32FD">
        <w:rPr>
          <w:sz w:val="22"/>
        </w:rPr>
        <w:t>Μεταφορικού</w:t>
      </w:r>
      <w:r w:rsidRPr="00C976CB">
        <w:rPr>
          <w:sz w:val="22"/>
        </w:rPr>
        <w:t xml:space="preserve"> Ισοδ</w:t>
      </w:r>
      <w:r w:rsidR="005B32FD">
        <w:rPr>
          <w:sz w:val="22"/>
        </w:rPr>
        <w:t>υνάμου</w:t>
      </w:r>
      <w:r w:rsidRPr="00C976CB">
        <w:rPr>
          <w:sz w:val="22"/>
        </w:rPr>
        <w:t xml:space="preserve"> για την ενίσχυση της ανάπτυξης στη νησιωτική Ελλάδα.</w:t>
      </w:r>
    </w:p>
    <w:p w:rsidR="004018BF" w:rsidRPr="00A712D0" w:rsidRDefault="004018BF" w:rsidP="00013A09">
      <w:pPr>
        <w:jc w:val="both"/>
        <w:rPr>
          <w:bCs/>
          <w:sz w:val="18"/>
          <w:szCs w:val="22"/>
        </w:rPr>
      </w:pPr>
    </w:p>
    <w:p w:rsidR="00A712D0" w:rsidRDefault="00A712D0" w:rsidP="00A712D0">
      <w:pPr>
        <w:jc w:val="both"/>
        <w:rPr>
          <w:sz w:val="22"/>
          <w:szCs w:val="22"/>
        </w:rPr>
      </w:pPr>
      <w:r w:rsidRPr="00A712D0">
        <w:rPr>
          <w:sz w:val="22"/>
          <w:szCs w:val="22"/>
        </w:rPr>
        <w:t xml:space="preserve">Στον πίνακα 3.2 παρουσιάζεται το </w:t>
      </w:r>
      <w:r>
        <w:rPr>
          <w:sz w:val="22"/>
          <w:szCs w:val="22"/>
        </w:rPr>
        <w:t>ισοζύγιο της Γενικής Κυβέρνησης σε ταμειακή και σε δημοσιον</w:t>
      </w:r>
      <w:r>
        <w:rPr>
          <w:sz w:val="22"/>
          <w:szCs w:val="22"/>
        </w:rPr>
        <w:t>ο</w:t>
      </w:r>
      <w:r>
        <w:rPr>
          <w:sz w:val="22"/>
          <w:szCs w:val="22"/>
        </w:rPr>
        <w:t>μική βάση.</w:t>
      </w:r>
    </w:p>
    <w:p w:rsidR="00504F21" w:rsidRDefault="00504F21">
      <w:pPr>
        <w:rPr>
          <w:sz w:val="22"/>
          <w:szCs w:val="22"/>
        </w:rPr>
      </w:pPr>
    </w:p>
    <w:p w:rsidR="00A712D0" w:rsidRDefault="00A712D0">
      <w:pPr>
        <w:rPr>
          <w:sz w:val="22"/>
          <w:szCs w:val="22"/>
        </w:rPr>
      </w:pPr>
      <w:r>
        <w:rPr>
          <w:sz w:val="22"/>
          <w:szCs w:val="22"/>
        </w:rPr>
        <w:br w:type="page"/>
      </w:r>
    </w:p>
    <w:tbl>
      <w:tblPr>
        <w:tblW w:w="9725" w:type="dxa"/>
        <w:tblInd w:w="98" w:type="dxa"/>
        <w:tblLook w:val="04A0"/>
      </w:tblPr>
      <w:tblGrid>
        <w:gridCol w:w="5360"/>
        <w:gridCol w:w="1100"/>
        <w:gridCol w:w="815"/>
        <w:gridCol w:w="815"/>
        <w:gridCol w:w="820"/>
        <w:gridCol w:w="815"/>
      </w:tblGrid>
      <w:tr w:rsidR="00013A09" w:rsidRPr="00887EDD" w:rsidTr="00504F21">
        <w:trPr>
          <w:trHeight w:val="198"/>
          <w:tblHeader/>
        </w:trPr>
        <w:tc>
          <w:tcPr>
            <w:tcW w:w="9725" w:type="dxa"/>
            <w:gridSpan w:val="6"/>
            <w:tcBorders>
              <w:top w:val="single" w:sz="4" w:space="0" w:color="auto"/>
              <w:left w:val="single" w:sz="4" w:space="0" w:color="auto"/>
              <w:bottom w:val="single" w:sz="8" w:space="0" w:color="auto"/>
              <w:right w:val="single" w:sz="4" w:space="0" w:color="auto"/>
            </w:tcBorders>
            <w:shd w:val="clear" w:color="auto" w:fill="404040" w:themeFill="text1" w:themeFillTint="BF"/>
            <w:tcMar>
              <w:left w:w="28" w:type="dxa"/>
              <w:right w:w="28" w:type="dxa"/>
            </w:tcMar>
            <w:vAlign w:val="center"/>
            <w:hideMark/>
          </w:tcPr>
          <w:p w:rsidR="00013A09" w:rsidRPr="00887EDD" w:rsidRDefault="00A07AF3" w:rsidP="002721EE">
            <w:pPr>
              <w:jc w:val="center"/>
              <w:rPr>
                <w:rFonts w:ascii="Arial Narrow" w:hAnsi="Arial Narrow"/>
                <w:b/>
                <w:color w:val="FFFFFF" w:themeColor="background1"/>
              </w:rPr>
            </w:pPr>
            <w:r>
              <w:rPr>
                <w:rFonts w:ascii="Arial Narrow" w:hAnsi="Arial Narrow"/>
                <w:b/>
                <w:color w:val="FFFFFF" w:themeColor="background1"/>
              </w:rPr>
              <w:lastRenderedPageBreak/>
              <w:t xml:space="preserve">Πίνακας 3.2 </w:t>
            </w:r>
            <w:r w:rsidR="00013A09" w:rsidRPr="00887EDD">
              <w:rPr>
                <w:rFonts w:ascii="Arial Narrow" w:hAnsi="Arial Narrow"/>
                <w:b/>
                <w:color w:val="FFFFFF" w:themeColor="background1"/>
              </w:rPr>
              <w:t xml:space="preserve"> Ισοζύγιο Γενικής Κυβέρνησης σύμφωνα με την μεθοδολογία European System of Accounts (ESA)</w:t>
            </w:r>
            <w:r w:rsidR="00013A09" w:rsidRPr="00887EDD">
              <w:rPr>
                <w:rFonts w:ascii="Arial Narrow" w:hAnsi="Arial Narrow"/>
                <w:b/>
                <w:color w:val="FFFFFF" w:themeColor="background1"/>
              </w:rPr>
              <w:br/>
              <w:t>(σε εκατ</w:t>
            </w:r>
            <w:r w:rsidR="009860E7">
              <w:rPr>
                <w:rFonts w:ascii="Arial Narrow" w:hAnsi="Arial Narrow"/>
                <w:b/>
                <w:color w:val="FFFFFF" w:themeColor="background1"/>
              </w:rPr>
              <w:t>.</w:t>
            </w:r>
            <w:r w:rsidR="00013A09" w:rsidRPr="00887EDD">
              <w:rPr>
                <w:rFonts w:ascii="Arial Narrow" w:hAnsi="Arial Narrow"/>
                <w:b/>
                <w:color w:val="FFFFFF" w:themeColor="background1"/>
              </w:rPr>
              <w:t xml:space="preserve"> ευρώ) </w:t>
            </w:r>
            <w:r w:rsidR="00013A09" w:rsidRPr="00887EDD">
              <w:rPr>
                <w:rFonts w:ascii="Arial Narrow" w:hAnsi="Arial Narrow"/>
                <w:b/>
                <w:color w:val="FFFFFF" w:themeColor="background1"/>
                <w:vertAlign w:val="superscript"/>
              </w:rPr>
              <w:t>1</w:t>
            </w:r>
            <w:r w:rsidR="002721EE" w:rsidRPr="00887EDD">
              <w:rPr>
                <w:rFonts w:ascii="Arial Narrow" w:hAnsi="Arial Narrow"/>
                <w:b/>
                <w:color w:val="FFFFFF" w:themeColor="background1"/>
                <w:vertAlign w:val="superscript"/>
              </w:rPr>
              <w:t xml:space="preserve">, </w:t>
            </w:r>
            <w:r w:rsidR="00082A43">
              <w:rPr>
                <w:rFonts w:ascii="Arial Narrow" w:hAnsi="Arial Narrow"/>
                <w:b/>
                <w:color w:val="FFFFFF" w:themeColor="background1"/>
                <w:vertAlign w:val="superscript"/>
              </w:rPr>
              <w:t>3</w:t>
            </w:r>
          </w:p>
        </w:tc>
      </w:tr>
      <w:tr w:rsidR="00887EDD" w:rsidRPr="00504F21" w:rsidTr="00504F21">
        <w:trPr>
          <w:trHeight w:val="170"/>
          <w:tblHeader/>
        </w:trPr>
        <w:tc>
          <w:tcPr>
            <w:tcW w:w="5360"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rsidR="00887EDD" w:rsidRPr="00504F21" w:rsidRDefault="00887EDD" w:rsidP="008746FB">
            <w:pPr>
              <w:jc w:val="center"/>
              <w:rPr>
                <w:rFonts w:ascii="Arial Narrow" w:hAnsi="Arial Narrow"/>
                <w:b/>
                <w:bCs/>
                <w:color w:val="0000FF"/>
                <w:sz w:val="8"/>
                <w:szCs w:val="16"/>
              </w:rPr>
            </w:pPr>
          </w:p>
        </w:tc>
        <w:tc>
          <w:tcPr>
            <w:tcW w:w="1100" w:type="dxa"/>
            <w:tcBorders>
              <w:top w:val="nil"/>
              <w:left w:val="nil"/>
              <w:bottom w:val="single" w:sz="4" w:space="0" w:color="auto"/>
              <w:right w:val="nil"/>
            </w:tcBorders>
            <w:shd w:val="clear" w:color="auto" w:fill="auto"/>
            <w:noWrap/>
            <w:tcMar>
              <w:left w:w="28" w:type="dxa"/>
              <w:right w:w="28" w:type="dxa"/>
            </w:tcMar>
            <w:vAlign w:val="center"/>
            <w:hideMark/>
          </w:tcPr>
          <w:p w:rsidR="00887EDD" w:rsidRPr="00504F21" w:rsidRDefault="00887EDD" w:rsidP="008746FB">
            <w:pPr>
              <w:jc w:val="center"/>
              <w:rPr>
                <w:rFonts w:ascii="Arial Narrow" w:hAnsi="Arial Narrow"/>
                <w:b/>
                <w:bCs/>
                <w:color w:val="0000FF"/>
                <w:sz w:val="8"/>
                <w:szCs w:val="16"/>
              </w:rPr>
            </w:pPr>
          </w:p>
        </w:tc>
        <w:tc>
          <w:tcPr>
            <w:tcW w:w="815" w:type="dxa"/>
            <w:tcBorders>
              <w:top w:val="nil"/>
              <w:left w:val="nil"/>
              <w:bottom w:val="single" w:sz="4" w:space="0" w:color="auto"/>
              <w:right w:val="nil"/>
            </w:tcBorders>
            <w:shd w:val="clear" w:color="auto" w:fill="auto"/>
            <w:noWrap/>
            <w:tcMar>
              <w:left w:w="28" w:type="dxa"/>
              <w:right w:w="28" w:type="dxa"/>
            </w:tcMar>
            <w:vAlign w:val="center"/>
            <w:hideMark/>
          </w:tcPr>
          <w:p w:rsidR="00887EDD" w:rsidRPr="00504F21" w:rsidRDefault="00887EDD" w:rsidP="008746FB">
            <w:pPr>
              <w:jc w:val="center"/>
              <w:rPr>
                <w:rFonts w:ascii="Arial Narrow" w:hAnsi="Arial Narrow"/>
                <w:b/>
                <w:bCs/>
                <w:color w:val="0000FF"/>
                <w:sz w:val="8"/>
                <w:szCs w:val="16"/>
              </w:rPr>
            </w:pPr>
          </w:p>
        </w:tc>
        <w:tc>
          <w:tcPr>
            <w:tcW w:w="815" w:type="dxa"/>
            <w:tcBorders>
              <w:top w:val="nil"/>
              <w:left w:val="nil"/>
              <w:bottom w:val="single" w:sz="4" w:space="0" w:color="auto"/>
              <w:right w:val="nil"/>
            </w:tcBorders>
            <w:shd w:val="clear" w:color="auto" w:fill="auto"/>
            <w:noWrap/>
            <w:tcMar>
              <w:left w:w="28" w:type="dxa"/>
              <w:right w:w="28" w:type="dxa"/>
            </w:tcMar>
            <w:vAlign w:val="center"/>
            <w:hideMark/>
          </w:tcPr>
          <w:p w:rsidR="00887EDD" w:rsidRPr="00504F21" w:rsidRDefault="00887EDD" w:rsidP="008746FB">
            <w:pPr>
              <w:jc w:val="center"/>
              <w:rPr>
                <w:rFonts w:ascii="Arial Narrow" w:hAnsi="Arial Narrow"/>
                <w:b/>
                <w:bCs/>
                <w:color w:val="0000FF"/>
                <w:sz w:val="8"/>
                <w:szCs w:val="16"/>
              </w:rPr>
            </w:pPr>
          </w:p>
        </w:tc>
        <w:tc>
          <w:tcPr>
            <w:tcW w:w="820" w:type="dxa"/>
            <w:tcBorders>
              <w:top w:val="nil"/>
              <w:left w:val="nil"/>
              <w:bottom w:val="single" w:sz="4" w:space="0" w:color="auto"/>
              <w:right w:val="nil"/>
            </w:tcBorders>
            <w:shd w:val="clear" w:color="auto" w:fill="auto"/>
            <w:noWrap/>
            <w:tcMar>
              <w:left w:w="28" w:type="dxa"/>
              <w:right w:w="28" w:type="dxa"/>
            </w:tcMar>
            <w:vAlign w:val="center"/>
            <w:hideMark/>
          </w:tcPr>
          <w:p w:rsidR="00887EDD" w:rsidRPr="00504F21" w:rsidRDefault="00887EDD" w:rsidP="008746FB">
            <w:pPr>
              <w:jc w:val="center"/>
              <w:rPr>
                <w:rFonts w:ascii="Arial Narrow" w:hAnsi="Arial Narrow"/>
                <w:b/>
                <w:bCs/>
                <w:color w:val="0000FF"/>
                <w:sz w:val="8"/>
                <w:szCs w:val="16"/>
              </w:rPr>
            </w:pPr>
          </w:p>
        </w:tc>
        <w:tc>
          <w:tcPr>
            <w:tcW w:w="8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87EDD" w:rsidRPr="00504F21" w:rsidRDefault="00887EDD" w:rsidP="008746FB">
            <w:pPr>
              <w:jc w:val="center"/>
              <w:rPr>
                <w:rFonts w:ascii="Arial Narrow" w:hAnsi="Arial Narrow"/>
                <w:b/>
                <w:bCs/>
                <w:color w:val="0000FF"/>
                <w:sz w:val="8"/>
                <w:szCs w:val="16"/>
              </w:rPr>
            </w:pPr>
          </w:p>
        </w:tc>
      </w:tr>
      <w:tr w:rsidR="003C6DDF" w:rsidRPr="00C11D68" w:rsidTr="00504F21">
        <w:trPr>
          <w:trHeight w:val="198"/>
          <w:tblHeader/>
        </w:trPr>
        <w:tc>
          <w:tcPr>
            <w:tcW w:w="53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C6DDF" w:rsidRPr="00C11D68" w:rsidRDefault="003C6DDF" w:rsidP="00013A09">
            <w:pPr>
              <w:jc w:val="center"/>
              <w:rPr>
                <w:rFonts w:ascii="Arial Narrow" w:hAnsi="Arial Narrow"/>
                <w:color w:val="000000"/>
                <w:sz w:val="15"/>
                <w:szCs w:val="15"/>
              </w:rPr>
            </w:pPr>
            <w:r w:rsidRPr="00C11D68">
              <w:rPr>
                <w:rFonts w:ascii="Arial Narrow" w:hAnsi="Arial Narrow"/>
                <w:color w:val="000000"/>
                <w:sz w:val="15"/>
                <w:szCs w:val="15"/>
              </w:rPr>
              <w:t> </w:t>
            </w:r>
          </w:p>
          <w:p w:rsidR="003C6DDF" w:rsidRPr="00C11D68" w:rsidRDefault="003C6DDF" w:rsidP="00013A09">
            <w:pPr>
              <w:rPr>
                <w:rFonts w:ascii="Arial Narrow" w:hAnsi="Arial Narrow"/>
                <w:color w:val="000000"/>
                <w:sz w:val="15"/>
                <w:szCs w:val="15"/>
              </w:rPr>
            </w:pPr>
            <w:r w:rsidRPr="00C11D68">
              <w:rPr>
                <w:rFonts w:ascii="Arial Narrow" w:hAnsi="Arial Narrow"/>
                <w:color w:val="000000"/>
                <w:sz w:val="15"/>
                <w:szCs w:val="15"/>
              </w:rPr>
              <w:t> </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C6DDF" w:rsidRPr="00C11D68" w:rsidRDefault="003C6DDF" w:rsidP="00013A09">
            <w:pPr>
              <w:jc w:val="center"/>
              <w:rPr>
                <w:rFonts w:ascii="Arial Narrow" w:hAnsi="Arial Narrow"/>
                <w:b/>
                <w:bCs/>
                <w:color w:val="000000"/>
                <w:sz w:val="15"/>
                <w:szCs w:val="15"/>
              </w:rPr>
            </w:pPr>
            <w:r w:rsidRPr="00C11D68">
              <w:rPr>
                <w:rFonts w:ascii="Arial Narrow" w:hAnsi="Arial Narrow"/>
                <w:b/>
                <w:bCs/>
                <w:color w:val="000000"/>
                <w:sz w:val="15"/>
                <w:szCs w:val="15"/>
              </w:rPr>
              <w:t>2017</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C6DDF" w:rsidRPr="00C11D68" w:rsidRDefault="003C6DDF" w:rsidP="00013A09">
            <w:pPr>
              <w:jc w:val="center"/>
              <w:rPr>
                <w:rFonts w:ascii="Arial Narrow" w:hAnsi="Arial Narrow"/>
                <w:b/>
                <w:bCs/>
                <w:color w:val="000000"/>
                <w:sz w:val="15"/>
                <w:szCs w:val="15"/>
              </w:rPr>
            </w:pPr>
            <w:r w:rsidRPr="00C11D68">
              <w:rPr>
                <w:rFonts w:ascii="Arial Narrow" w:hAnsi="Arial Narrow"/>
                <w:b/>
                <w:bCs/>
                <w:color w:val="000000"/>
                <w:sz w:val="15"/>
                <w:szCs w:val="15"/>
              </w:rPr>
              <w:t>2018</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C6DDF" w:rsidRPr="00C11D68" w:rsidRDefault="003C6DDF" w:rsidP="00013A09">
            <w:pPr>
              <w:jc w:val="center"/>
              <w:rPr>
                <w:rFonts w:ascii="Arial Narrow" w:hAnsi="Arial Narrow"/>
                <w:b/>
                <w:bCs/>
                <w:color w:val="000000"/>
                <w:sz w:val="15"/>
                <w:szCs w:val="15"/>
              </w:rPr>
            </w:pPr>
            <w:r w:rsidRPr="00C11D68">
              <w:rPr>
                <w:rFonts w:ascii="Arial Narrow" w:hAnsi="Arial Narrow"/>
                <w:b/>
                <w:bCs/>
                <w:color w:val="000000"/>
                <w:sz w:val="15"/>
                <w:szCs w:val="15"/>
              </w:rPr>
              <w:t>2019</w:t>
            </w:r>
          </w:p>
        </w:tc>
      </w:tr>
      <w:tr w:rsidR="003C6DDF" w:rsidRPr="00C11D68" w:rsidTr="00504F21">
        <w:trPr>
          <w:trHeight w:val="198"/>
          <w:tblHeader/>
        </w:trPr>
        <w:tc>
          <w:tcPr>
            <w:tcW w:w="53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C6DDF" w:rsidRPr="00C11D68" w:rsidRDefault="003C6DDF" w:rsidP="00013A09">
            <w:pPr>
              <w:rPr>
                <w:rFonts w:ascii="Arial Narrow" w:hAnsi="Arial Narrow"/>
                <w:color w:val="000000"/>
                <w:sz w:val="15"/>
                <w:szCs w:val="15"/>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C6DDF" w:rsidRPr="00C11D68" w:rsidRDefault="003C6DDF" w:rsidP="002721EE">
            <w:pPr>
              <w:jc w:val="center"/>
              <w:rPr>
                <w:rFonts w:ascii="Arial Narrow" w:hAnsi="Arial Narrow"/>
                <w:b/>
                <w:bCs/>
                <w:color w:val="000000"/>
                <w:sz w:val="15"/>
                <w:szCs w:val="15"/>
              </w:rPr>
            </w:pPr>
            <w:r w:rsidRPr="00C11D68">
              <w:rPr>
                <w:rFonts w:ascii="Arial Narrow" w:hAnsi="Arial Narrow"/>
                <w:b/>
                <w:bCs/>
                <w:color w:val="000000"/>
                <w:sz w:val="15"/>
                <w:szCs w:val="15"/>
              </w:rPr>
              <w:t>Πραγμ/σεις</w:t>
            </w:r>
            <w:r w:rsidRPr="00C11D68">
              <w:rPr>
                <w:rFonts w:ascii="Arial Narrow" w:hAnsi="Arial Narrow"/>
                <w:b/>
                <w:bCs/>
                <w:color w:val="000000"/>
                <w:sz w:val="15"/>
                <w:szCs w:val="15"/>
                <w:vertAlign w:val="superscript"/>
              </w:rPr>
              <w:t xml:space="preserve"> 2</w:t>
            </w:r>
          </w:p>
        </w:tc>
        <w:tc>
          <w:tcPr>
            <w:tcW w:w="8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A6329" w:rsidRPr="00C11D68" w:rsidRDefault="005A6329" w:rsidP="00013A09">
            <w:pPr>
              <w:jc w:val="center"/>
              <w:rPr>
                <w:rFonts w:ascii="Arial Narrow" w:hAnsi="Arial Narrow"/>
                <w:b/>
                <w:bCs/>
                <w:color w:val="000000"/>
                <w:sz w:val="15"/>
                <w:szCs w:val="15"/>
              </w:rPr>
            </w:pPr>
            <w:r w:rsidRPr="00C11D68">
              <w:rPr>
                <w:rFonts w:ascii="Arial Narrow" w:hAnsi="Arial Narrow"/>
                <w:b/>
                <w:bCs/>
                <w:color w:val="000000"/>
                <w:sz w:val="15"/>
                <w:szCs w:val="15"/>
              </w:rPr>
              <w:t>Εκτίμηση</w:t>
            </w:r>
          </w:p>
          <w:p w:rsidR="003C6DDF" w:rsidRPr="00C11D68" w:rsidRDefault="003C6DDF" w:rsidP="00013A09">
            <w:pPr>
              <w:jc w:val="center"/>
              <w:rPr>
                <w:rFonts w:ascii="Arial Narrow" w:hAnsi="Arial Narrow"/>
                <w:b/>
                <w:bCs/>
                <w:color w:val="000000"/>
                <w:sz w:val="15"/>
                <w:szCs w:val="15"/>
              </w:rPr>
            </w:pPr>
            <w:r w:rsidRPr="00C11D68">
              <w:rPr>
                <w:rFonts w:ascii="Arial Narrow" w:hAnsi="Arial Narrow"/>
                <w:b/>
                <w:bCs/>
                <w:color w:val="000000"/>
                <w:sz w:val="15"/>
                <w:szCs w:val="15"/>
              </w:rPr>
              <w:t xml:space="preserve">ΜΠΔΣ </w:t>
            </w:r>
          </w:p>
        </w:tc>
        <w:tc>
          <w:tcPr>
            <w:tcW w:w="8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C6DDF" w:rsidRPr="00C11D68" w:rsidRDefault="003C6DDF" w:rsidP="00013A09">
            <w:pPr>
              <w:jc w:val="center"/>
              <w:rPr>
                <w:rFonts w:ascii="Arial Narrow" w:hAnsi="Arial Narrow"/>
                <w:b/>
                <w:bCs/>
                <w:color w:val="000000"/>
                <w:sz w:val="15"/>
                <w:szCs w:val="15"/>
              </w:rPr>
            </w:pPr>
            <w:r w:rsidRPr="00C11D68">
              <w:rPr>
                <w:rFonts w:ascii="Arial Narrow" w:hAnsi="Arial Narrow"/>
                <w:b/>
                <w:bCs/>
                <w:color w:val="000000"/>
                <w:sz w:val="15"/>
                <w:szCs w:val="15"/>
              </w:rPr>
              <w:t xml:space="preserve">Εκτίμηση </w:t>
            </w:r>
          </w:p>
        </w:tc>
        <w:tc>
          <w:tcPr>
            <w:tcW w:w="8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A6329" w:rsidRPr="00C11D68" w:rsidRDefault="002A58B9" w:rsidP="00013A09">
            <w:pPr>
              <w:jc w:val="center"/>
              <w:rPr>
                <w:rFonts w:ascii="Arial Narrow" w:hAnsi="Arial Narrow"/>
                <w:b/>
                <w:bCs/>
                <w:color w:val="000000"/>
                <w:sz w:val="15"/>
                <w:szCs w:val="15"/>
              </w:rPr>
            </w:pPr>
            <w:r>
              <w:rPr>
                <w:rFonts w:ascii="Arial Narrow" w:hAnsi="Arial Narrow"/>
                <w:b/>
                <w:bCs/>
                <w:color w:val="000000"/>
                <w:sz w:val="15"/>
                <w:szCs w:val="15"/>
              </w:rPr>
              <w:t>Πρόβλεψη</w:t>
            </w:r>
          </w:p>
          <w:p w:rsidR="003C6DDF" w:rsidRPr="00C11D68" w:rsidRDefault="003C6DDF" w:rsidP="00013A09">
            <w:pPr>
              <w:jc w:val="center"/>
              <w:rPr>
                <w:rFonts w:ascii="Arial Narrow" w:hAnsi="Arial Narrow"/>
                <w:b/>
                <w:bCs/>
                <w:color w:val="000000"/>
                <w:sz w:val="15"/>
                <w:szCs w:val="15"/>
              </w:rPr>
            </w:pPr>
            <w:r w:rsidRPr="00C11D68">
              <w:rPr>
                <w:rFonts w:ascii="Arial Narrow" w:hAnsi="Arial Narrow"/>
                <w:b/>
                <w:bCs/>
                <w:color w:val="000000"/>
                <w:sz w:val="15"/>
                <w:szCs w:val="15"/>
              </w:rPr>
              <w:t xml:space="preserve">ΜΠΔΣ </w:t>
            </w:r>
          </w:p>
        </w:tc>
        <w:tc>
          <w:tcPr>
            <w:tcW w:w="8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C6DDF" w:rsidRPr="00C11D68" w:rsidRDefault="003C6DDF" w:rsidP="00013A09">
            <w:pPr>
              <w:jc w:val="center"/>
              <w:rPr>
                <w:rFonts w:ascii="Arial Narrow" w:hAnsi="Arial Narrow"/>
                <w:b/>
                <w:bCs/>
                <w:color w:val="000000"/>
                <w:sz w:val="15"/>
                <w:szCs w:val="15"/>
              </w:rPr>
            </w:pPr>
            <w:r w:rsidRPr="00C11D68">
              <w:rPr>
                <w:rFonts w:ascii="Arial Narrow" w:hAnsi="Arial Narrow"/>
                <w:b/>
                <w:bCs/>
                <w:color w:val="000000"/>
                <w:sz w:val="15"/>
                <w:szCs w:val="15"/>
              </w:rPr>
              <w:t>Πρόβλεψη</w:t>
            </w:r>
          </w:p>
        </w:tc>
      </w:tr>
      <w:tr w:rsidR="00CE2BD4" w:rsidRPr="007D402C" w:rsidTr="009F1419">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Ι. Καθαρά έσοδα (ταμειακά) κρατικού προϋπολογισμού (α+β+γ+δ+ε+στ-ζ)</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50.696</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52.791</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53.</w:t>
            </w:r>
            <w:r w:rsidR="00361C96">
              <w:rPr>
                <w:rFonts w:ascii="Arial Narrow" w:hAnsi="Arial Narrow"/>
                <w:b/>
                <w:bCs/>
                <w:sz w:val="15"/>
                <w:szCs w:val="15"/>
              </w:rPr>
              <w:t>824</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52.588</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53.022</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α. Φόροι (1+2+3+4+5+6+7)</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49.857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50.168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51.259</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50.192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51.127</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1. Φόροι επί αγαθών και υπηρεσιών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26.344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26.514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27.357</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26.877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27.559</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εκ των οποίων: Φόροι προστιθέμενης αξίας</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16.603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16.459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17.069</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16.645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17.210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E57B72">
            <w:pPr>
              <w:spacing w:line="233" w:lineRule="auto"/>
              <w:rPr>
                <w:rFonts w:ascii="Arial Narrow" w:hAnsi="Arial Narrow"/>
                <w:sz w:val="15"/>
                <w:szCs w:val="15"/>
              </w:rPr>
            </w:pPr>
            <w:r w:rsidRPr="00C11D68">
              <w:rPr>
                <w:rFonts w:ascii="Arial Narrow" w:hAnsi="Arial Narrow"/>
                <w:sz w:val="15"/>
                <w:szCs w:val="15"/>
              </w:rPr>
              <w:t xml:space="preserve">                                 Ειδικοί φόροι κατανάλωσης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7.102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7.304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7.294</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7.432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7.381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2. Φόροι και δασμοί επί εισαγωγών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201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211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225</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237</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3. Τακτικοί φόροι ακίνητης περιουσίας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3.100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3.343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3.063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3.016</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2.801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4. Λοιποί φόροι επί παραγωγής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1.368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1.222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1.209</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955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944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5. Φόρος εισοδήματος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16.210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16.271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16.644</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16.498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16.796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εκ των οποίων: Φόρος εισοδήματος πληρωτέος από Φυσικά Πρόσωπα (ΦΠ)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10.623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10.803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10.988</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10.859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11.070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E57B72">
            <w:pPr>
              <w:spacing w:line="233" w:lineRule="auto"/>
              <w:rPr>
                <w:rFonts w:ascii="Arial Narrow" w:hAnsi="Arial Narrow"/>
                <w:sz w:val="15"/>
                <w:szCs w:val="15"/>
              </w:rPr>
            </w:pPr>
            <w:r w:rsidRPr="00C11D68">
              <w:rPr>
                <w:rFonts w:ascii="Arial Narrow" w:hAnsi="Arial Narrow"/>
                <w:sz w:val="15"/>
                <w:szCs w:val="15"/>
              </w:rPr>
              <w:t xml:space="preserve">                                 Φόρος εισοδήματος πληρωτέος από εταιρίες (ΝΠ)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4.225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4.096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4.284</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4.258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4.420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6. Φόροι κεφαλαίου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194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155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151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159</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7. Λοιποί τρέχοντες φόροι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2.440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2.452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2.598</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2.473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2.631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εισφορές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71</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58</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2.726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4.448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4.457</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4.077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4.049</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δ. Πωλήσεις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1.939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1.208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1.793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833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773</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ε. Λοιπά τρέχοντα έσοδα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2.135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1.825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w:t>
            </w:r>
            <w:r w:rsidR="00076C7F">
              <w:rPr>
                <w:rFonts w:ascii="Arial Narrow" w:hAnsi="Arial Narrow"/>
                <w:b/>
                <w:bCs/>
                <w:sz w:val="15"/>
                <w:szCs w:val="15"/>
              </w:rPr>
              <w:t>194</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1.498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1.500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   </w:t>
            </w:r>
            <w:r w:rsidRPr="00C11D68">
              <w:rPr>
                <w:rFonts w:ascii="Arial Narrow" w:hAnsi="Arial Narrow"/>
                <w:sz w:val="15"/>
                <w:szCs w:val="15"/>
              </w:rPr>
              <w:t>εκ των οποίων: ε1. Επιστροφές δαπανών για τόκους</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364D36" w:rsidP="004516E7">
            <w:pPr>
              <w:spacing w:line="233" w:lineRule="auto"/>
              <w:rPr>
                <w:rFonts w:ascii="Arial Narrow" w:hAnsi="Arial Narrow"/>
                <w:b/>
                <w:bCs/>
                <w:sz w:val="15"/>
                <w:szCs w:val="15"/>
              </w:rPr>
            </w:pPr>
            <w:r>
              <w:rPr>
                <w:rFonts w:ascii="Arial Narrow" w:hAnsi="Arial Narrow"/>
                <w:b/>
                <w:bCs/>
                <w:sz w:val="15"/>
                <w:szCs w:val="15"/>
              </w:rPr>
              <w:t>στ. Πωλήσεις παγί</w:t>
            </w:r>
            <w:r w:rsidR="00CE2BD4" w:rsidRPr="00C11D68">
              <w:rPr>
                <w:rFonts w:ascii="Arial Narrow" w:hAnsi="Arial Narrow"/>
                <w:b/>
                <w:bCs/>
                <w:sz w:val="15"/>
                <w:szCs w:val="15"/>
              </w:rPr>
              <w:t>ων 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380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36</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335</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ζ. Επιστροφές εσόδων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6.052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5.289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5.988</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4.185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4.818</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082A43">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2.445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3.735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3.</w:t>
            </w:r>
            <w:r w:rsidR="00076C7F">
              <w:rPr>
                <w:rFonts w:ascii="Arial Narrow" w:hAnsi="Arial Narrow"/>
                <w:i/>
                <w:iCs/>
                <w:sz w:val="15"/>
                <w:szCs w:val="15"/>
              </w:rPr>
              <w:t>855</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3.590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3.740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ΙΙ. Δαπάνες (ταμειακές) κρατικού προϋπολογισμού (α+β+γ+δ+ε+στ+ζ+η+θ+ι)</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57.422</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56.159</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57.032</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57.035</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57.</w:t>
            </w:r>
            <w:r w:rsidR="00076C7F">
              <w:rPr>
                <w:rFonts w:ascii="Arial Narrow" w:hAnsi="Arial Narrow"/>
                <w:b/>
                <w:bCs/>
                <w:sz w:val="15"/>
                <w:szCs w:val="15"/>
              </w:rPr>
              <w:t>796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α. Παροχές σε εργαζομένους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12.018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12.525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13.527</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12.992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13.016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Παροχές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2.305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1.162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1.190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2.425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246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28.713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25.642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26.470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23.834</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26.104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δ. Αγορές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1.267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1.278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1.539</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1.299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1.324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ε. Επιδοτήσεις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148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151</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2721EE">
            <w:pPr>
              <w:spacing w:line="233" w:lineRule="auto"/>
              <w:rPr>
                <w:rFonts w:ascii="Arial Narrow" w:hAnsi="Arial Narrow"/>
                <w:b/>
                <w:bCs/>
                <w:sz w:val="15"/>
                <w:szCs w:val="15"/>
              </w:rPr>
            </w:pPr>
            <w:r w:rsidRPr="00C11D68">
              <w:rPr>
                <w:rFonts w:ascii="Arial Narrow" w:hAnsi="Arial Narrow"/>
                <w:b/>
                <w:bCs/>
                <w:sz w:val="15"/>
                <w:szCs w:val="15"/>
              </w:rPr>
              <w:t xml:space="preserve">στ. Τόκοι (σε ακαθάριστη βάση)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6.211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5.150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5.520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6.200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6.600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ζ. Λοιπές Δαπάνες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78</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η. Πιστώσεις υπό κατανομή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6.133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9.626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8.012</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9.509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076C7F" w:rsidP="00CE2BD4">
            <w:pPr>
              <w:ind w:right="284"/>
              <w:jc w:val="right"/>
              <w:rPr>
                <w:rFonts w:ascii="Arial Narrow" w:hAnsi="Arial Narrow"/>
                <w:b/>
                <w:bCs/>
                <w:sz w:val="15"/>
                <w:szCs w:val="15"/>
              </w:rPr>
            </w:pPr>
            <w:r>
              <w:rPr>
                <w:rFonts w:ascii="Arial Narrow" w:hAnsi="Arial Narrow"/>
                <w:b/>
                <w:bCs/>
                <w:sz w:val="15"/>
                <w:szCs w:val="15"/>
              </w:rPr>
              <w:t>9.687</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4516E7">
            <w:pPr>
              <w:spacing w:line="233" w:lineRule="auto"/>
              <w:rPr>
                <w:rFonts w:ascii="Arial Narrow" w:hAnsi="Arial Narrow"/>
                <w:b/>
                <w:bCs/>
                <w:sz w:val="15"/>
                <w:szCs w:val="15"/>
              </w:rPr>
            </w:pPr>
            <w:r w:rsidRPr="00C11D68">
              <w:rPr>
                <w:rFonts w:ascii="Arial Narrow" w:hAnsi="Arial Narrow"/>
                <w:b/>
                <w:bCs/>
                <w:sz w:val="15"/>
                <w:szCs w:val="15"/>
              </w:rPr>
              <w:t xml:space="preserve">θ. Αγορές παγίων περιουσιακών στοιχείων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549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544</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575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617</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132672">
            <w:pPr>
              <w:spacing w:line="233" w:lineRule="auto"/>
              <w:rPr>
                <w:rFonts w:ascii="Arial Narrow" w:hAnsi="Arial Narrow"/>
                <w:b/>
                <w:bCs/>
                <w:sz w:val="15"/>
                <w:szCs w:val="15"/>
              </w:rPr>
            </w:pPr>
            <w:r w:rsidRPr="00C11D68">
              <w:rPr>
                <w:rFonts w:ascii="Arial Narrow" w:hAnsi="Arial Narrow"/>
                <w:b/>
                <w:bCs/>
                <w:sz w:val="15"/>
                <w:szCs w:val="15"/>
              </w:rPr>
              <w:t xml:space="preserve">ι. </w:t>
            </w:r>
            <w:r>
              <w:rPr>
                <w:rFonts w:ascii="Arial Narrow" w:hAnsi="Arial Narrow"/>
                <w:b/>
                <w:bCs/>
                <w:sz w:val="15"/>
                <w:szCs w:val="15"/>
              </w:rPr>
              <w:t xml:space="preserve"> Αγορές τιμαλφών</w:t>
            </w:r>
            <w:r w:rsidRPr="00C11D68">
              <w:rPr>
                <w:rFonts w:ascii="Arial Narrow" w:hAnsi="Arial Narrow"/>
                <w:b/>
                <w:bCs/>
                <w:sz w:val="15"/>
                <w:szCs w:val="15"/>
              </w:rPr>
              <w:t xml:space="preserve">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2721EE">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082A43">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5.950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6.750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6.750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7.300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6.750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CE2BD4" w:rsidRPr="00C11D68" w:rsidRDefault="00CE2BD4" w:rsidP="002721EE">
            <w:pPr>
              <w:spacing w:line="233" w:lineRule="auto"/>
              <w:rPr>
                <w:rFonts w:ascii="Arial Narrow" w:hAnsi="Arial Narrow"/>
                <w:b/>
                <w:bCs/>
                <w:sz w:val="15"/>
                <w:szCs w:val="15"/>
              </w:rPr>
            </w:pPr>
            <w:r w:rsidRPr="00C11D68">
              <w:rPr>
                <w:rFonts w:ascii="Arial Narrow" w:hAnsi="Arial Narrow"/>
                <w:b/>
                <w:bCs/>
                <w:sz w:val="15"/>
                <w:szCs w:val="15"/>
              </w:rPr>
              <w:t xml:space="preserve">ΙΙΙ. Ταμειακό ισοζύγιο κρατικού προϋπολογισμού (Ι-ΙΙ)  </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-6.726</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-3.368</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w:t>
            </w:r>
            <w:r w:rsidR="00076C7F">
              <w:rPr>
                <w:rFonts w:ascii="Arial Narrow" w:hAnsi="Arial Narrow"/>
                <w:b/>
                <w:bCs/>
                <w:sz w:val="15"/>
                <w:szCs w:val="15"/>
              </w:rPr>
              <w:t>209</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-4.447</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CE2BD4" w:rsidRPr="00CE2BD4" w:rsidRDefault="00076C7F" w:rsidP="00CE2BD4">
            <w:pPr>
              <w:ind w:right="284"/>
              <w:jc w:val="right"/>
              <w:rPr>
                <w:rFonts w:ascii="Arial Narrow" w:hAnsi="Arial Narrow"/>
                <w:b/>
                <w:bCs/>
                <w:sz w:val="15"/>
                <w:szCs w:val="15"/>
              </w:rPr>
            </w:pPr>
            <w:r>
              <w:rPr>
                <w:rFonts w:ascii="Arial Narrow" w:hAnsi="Arial Narrow"/>
                <w:b/>
                <w:bCs/>
                <w:sz w:val="15"/>
                <w:szCs w:val="15"/>
              </w:rPr>
              <w:t>-4.77</w:t>
            </w:r>
            <w:r w:rsidR="00CE2BD4" w:rsidRPr="00CE2BD4">
              <w:rPr>
                <w:rFonts w:ascii="Arial Narrow" w:hAnsi="Arial Narrow"/>
                <w:b/>
                <w:bCs/>
                <w:sz w:val="15"/>
                <w:szCs w:val="15"/>
              </w:rPr>
              <w:t>4</w:t>
            </w:r>
          </w:p>
        </w:tc>
      </w:tr>
      <w:tr w:rsidR="00CE2BD4" w:rsidRPr="007D402C" w:rsidTr="009F1419">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-3,7%</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-1,8%</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076C7F" w:rsidP="00CE2BD4">
            <w:pPr>
              <w:ind w:right="284"/>
              <w:jc w:val="right"/>
              <w:rPr>
                <w:rFonts w:ascii="Arial Narrow" w:hAnsi="Arial Narrow"/>
                <w:b/>
                <w:bCs/>
                <w:sz w:val="15"/>
                <w:szCs w:val="15"/>
              </w:rPr>
            </w:pPr>
            <w:r>
              <w:rPr>
                <w:rFonts w:ascii="Arial Narrow" w:hAnsi="Arial Narrow"/>
                <w:b/>
                <w:bCs/>
                <w:sz w:val="15"/>
                <w:szCs w:val="15"/>
              </w:rPr>
              <w:t>-1,7</w:t>
            </w:r>
            <w:r w:rsidR="00CE2BD4" w:rsidRPr="00CE2BD4">
              <w:rPr>
                <w:rFonts w:ascii="Arial Narrow" w:hAnsi="Arial Narrow"/>
                <w:b/>
                <w:bCs/>
                <w:sz w:val="15"/>
                <w:szCs w:val="15"/>
              </w:rPr>
              <w:t>%</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-2,3%</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-2,5%</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ΙV. Ταμειακό πρωτογενές αποτέλεσμα κρατικού προϋπολογισμού (III+ΙΙ.στ-Ι.ε1)</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-518</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1.782</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076C7F" w:rsidP="00CE2BD4">
            <w:pPr>
              <w:ind w:right="284"/>
              <w:jc w:val="right"/>
              <w:rPr>
                <w:rFonts w:ascii="Arial Narrow" w:hAnsi="Arial Narrow"/>
                <w:b/>
                <w:bCs/>
                <w:sz w:val="15"/>
                <w:szCs w:val="15"/>
              </w:rPr>
            </w:pPr>
            <w:r>
              <w:rPr>
                <w:rFonts w:ascii="Arial Narrow" w:hAnsi="Arial Narrow"/>
                <w:b/>
                <w:bCs/>
                <w:sz w:val="15"/>
                <w:szCs w:val="15"/>
              </w:rPr>
              <w:t>2.30</w:t>
            </w:r>
            <w:r w:rsidR="00CE2BD4" w:rsidRPr="00CE2BD4">
              <w:rPr>
                <w:rFonts w:ascii="Arial Narrow" w:hAnsi="Arial Narrow"/>
                <w:b/>
                <w:bCs/>
                <w:sz w:val="15"/>
                <w:szCs w:val="15"/>
              </w:rPr>
              <w:t>6</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1.753</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CE2BD4" w:rsidRPr="00CE2BD4" w:rsidRDefault="00076C7F" w:rsidP="00CE2BD4">
            <w:pPr>
              <w:ind w:right="284"/>
              <w:jc w:val="right"/>
              <w:rPr>
                <w:rFonts w:ascii="Arial Narrow" w:hAnsi="Arial Narrow"/>
                <w:b/>
                <w:bCs/>
                <w:sz w:val="15"/>
                <w:szCs w:val="15"/>
              </w:rPr>
            </w:pPr>
            <w:r>
              <w:rPr>
                <w:rFonts w:ascii="Arial Narrow" w:hAnsi="Arial Narrow"/>
                <w:b/>
                <w:bCs/>
                <w:sz w:val="15"/>
                <w:szCs w:val="15"/>
              </w:rPr>
              <w:t>1.82</w:t>
            </w:r>
            <w:r w:rsidR="00CE2BD4" w:rsidRPr="00CE2BD4">
              <w:rPr>
                <w:rFonts w:ascii="Arial Narrow" w:hAnsi="Arial Narrow"/>
                <w:b/>
                <w:bCs/>
                <w:sz w:val="15"/>
                <w:szCs w:val="15"/>
              </w:rPr>
              <w:t>6</w:t>
            </w:r>
          </w:p>
        </w:tc>
      </w:tr>
      <w:tr w:rsidR="00CE2BD4" w:rsidRPr="007D402C" w:rsidTr="009F1419">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-0,3%</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1,0%</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0,9%</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0,9%</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c>
          <w:tcPr>
            <w:tcW w:w="820"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c>
          <w:tcPr>
            <w:tcW w:w="815" w:type="dxa"/>
            <w:tcBorders>
              <w:top w:val="nil"/>
              <w:left w:val="nil"/>
              <w:bottom w:val="nil"/>
              <w:right w:val="single" w:sz="4" w:space="0" w:color="auto"/>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V. Εθνικολογιστικές προσαρμογές - Έσοδα (α+β+γ+δ+ε+στ-ζ)</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-210</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70</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-208</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827</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784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α. Φόροι (1+2+3+4+5+6+7)</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410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-322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190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135</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1. Φόροι επί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-27</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19</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εκ των οποίων: Φόροι προστιθέμενης αξίας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Ειδικοί φόροι κατανάλωσης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2. Φόροι και δασμοί επί εισαγωγών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3. Τακτικοί φόροι ακίνητης περιουσίας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-321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4. Λοιποί φόροι επί παραγωγής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117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53</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5. Φόρος εισοδήματος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223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116</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92</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εκ των οποίων: Φόρος εισοδήματος πληρωτέος από Φυσικά Πρόσωπα (ΦΠ)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354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81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E57B72">
            <w:pPr>
              <w:spacing w:line="233" w:lineRule="auto"/>
              <w:rPr>
                <w:rFonts w:ascii="Arial Narrow" w:hAnsi="Arial Narrow"/>
                <w:sz w:val="15"/>
                <w:szCs w:val="15"/>
              </w:rPr>
            </w:pPr>
            <w:r w:rsidRPr="00C11D68">
              <w:rPr>
                <w:rFonts w:ascii="Arial Narrow" w:hAnsi="Arial Narrow"/>
                <w:sz w:val="15"/>
                <w:szCs w:val="15"/>
              </w:rPr>
              <w:t xml:space="preserve">                                 Φόρος εισοδήματος πληρωτέος από εταιρίες (ΝΠ)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-136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8</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6. Φόροι κεφαλαίου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7. Λοιποί τρέχοντες φόροι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εισφορές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513</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δ. Πωλήσεις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-1.169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-496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-1.102</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-35</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ε. Λοιπά τρέχοντα έσοδα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118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167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170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   </w:t>
            </w:r>
            <w:r w:rsidRPr="00C11D68">
              <w:rPr>
                <w:rFonts w:ascii="Arial Narrow" w:hAnsi="Arial Narrow"/>
                <w:sz w:val="15"/>
                <w:szCs w:val="15"/>
              </w:rPr>
              <w:t>εκ των οποίων: Επιστροφές δαπανών για τόκους</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364D36" w:rsidP="00013A09">
            <w:pPr>
              <w:spacing w:line="233" w:lineRule="auto"/>
              <w:rPr>
                <w:rFonts w:ascii="Arial Narrow" w:hAnsi="Arial Narrow"/>
                <w:b/>
                <w:bCs/>
                <w:sz w:val="15"/>
                <w:szCs w:val="15"/>
              </w:rPr>
            </w:pPr>
            <w:r>
              <w:rPr>
                <w:rFonts w:ascii="Arial Narrow" w:hAnsi="Arial Narrow"/>
                <w:b/>
                <w:bCs/>
                <w:sz w:val="15"/>
                <w:szCs w:val="15"/>
              </w:rPr>
              <w:t>στ. Πωλήσεις παγί</w:t>
            </w:r>
            <w:r w:rsidR="00CE2BD4" w:rsidRPr="00C11D68">
              <w:rPr>
                <w:rFonts w:ascii="Arial Narrow" w:hAnsi="Arial Narrow"/>
                <w:b/>
                <w:bCs/>
                <w:sz w:val="15"/>
                <w:szCs w:val="15"/>
              </w:rPr>
              <w:t>ων 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ζ. Επιστροφές εσόδων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-413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-885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-885</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c>
          <w:tcPr>
            <w:tcW w:w="820"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single" w:sz="4" w:space="0" w:color="auto"/>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r>
      <w:tr w:rsidR="00CE2BD4" w:rsidRPr="007D402C" w:rsidTr="009F1419">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c>
          <w:tcPr>
            <w:tcW w:w="820" w:type="dxa"/>
            <w:tcBorders>
              <w:top w:val="nil"/>
              <w:left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right w:val="single" w:sz="4" w:space="0" w:color="auto"/>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sz w:val="15"/>
                <w:szCs w:val="15"/>
              </w:rPr>
            </w:pPr>
          </w:p>
        </w:tc>
      </w:tr>
      <w:tr w:rsidR="00CE2BD4" w:rsidRPr="007D402C" w:rsidTr="009F1419">
        <w:trPr>
          <w:trHeight w:val="181"/>
        </w:trPr>
        <w:tc>
          <w:tcPr>
            <w:tcW w:w="5360" w:type="dxa"/>
            <w:tcBorders>
              <w:top w:val="nil"/>
              <w:left w:val="single" w:sz="4" w:space="0" w:color="auto"/>
              <w:bottom w:val="single" w:sz="4" w:space="0" w:color="auto"/>
              <w:right w:val="nil"/>
            </w:tcBorders>
            <w:shd w:val="clear" w:color="auto" w:fill="auto"/>
            <w:tcMar>
              <w:left w:w="28" w:type="dxa"/>
              <w:right w:w="28" w:type="dxa"/>
            </w:tcMar>
            <w:vAlign w:val="center"/>
            <w:hideMark/>
          </w:tcPr>
          <w:p w:rsidR="00CE2BD4" w:rsidRPr="00C11D68" w:rsidRDefault="00CE2BD4" w:rsidP="002721EE">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082A43">
              <w:rPr>
                <w:rFonts w:ascii="Arial Narrow" w:hAnsi="Arial Narrow"/>
                <w:i/>
                <w:iCs/>
                <w:sz w:val="15"/>
                <w:szCs w:val="15"/>
                <w:vertAlign w:val="superscript"/>
              </w:rPr>
              <w:t>4</w:t>
            </w:r>
          </w:p>
        </w:tc>
        <w:tc>
          <w:tcPr>
            <w:tcW w:w="1100" w:type="dxa"/>
            <w:tcBorders>
              <w:top w:val="nil"/>
              <w:left w:val="nil"/>
              <w:bottom w:val="single" w:sz="4" w:space="0" w:color="auto"/>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-176</w:t>
            </w:r>
          </w:p>
        </w:tc>
        <w:tc>
          <w:tcPr>
            <w:tcW w:w="815" w:type="dxa"/>
            <w:tcBorders>
              <w:top w:val="nil"/>
              <w:left w:val="nil"/>
              <w:bottom w:val="single" w:sz="4" w:space="0" w:color="auto"/>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55</w:t>
            </w:r>
          </w:p>
        </w:tc>
        <w:tc>
          <w:tcPr>
            <w:tcW w:w="815" w:type="dxa"/>
            <w:tcBorders>
              <w:top w:val="nil"/>
              <w:left w:val="nil"/>
              <w:bottom w:val="single" w:sz="4" w:space="0" w:color="auto"/>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55</w:t>
            </w:r>
          </w:p>
        </w:tc>
        <w:tc>
          <w:tcPr>
            <w:tcW w:w="820" w:type="dxa"/>
            <w:tcBorders>
              <w:top w:val="nil"/>
              <w:left w:val="nil"/>
              <w:bottom w:val="single" w:sz="4" w:space="0" w:color="auto"/>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302</w:t>
            </w:r>
          </w:p>
        </w:tc>
        <w:tc>
          <w:tcPr>
            <w:tcW w:w="81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302</w:t>
            </w:r>
          </w:p>
        </w:tc>
      </w:tr>
      <w:tr w:rsidR="00CE2BD4" w:rsidRPr="007D402C" w:rsidTr="009F1419">
        <w:trPr>
          <w:trHeight w:val="181"/>
        </w:trPr>
        <w:tc>
          <w:tcPr>
            <w:tcW w:w="5360" w:type="dxa"/>
            <w:tcBorders>
              <w:top w:val="single" w:sz="4" w:space="0" w:color="auto"/>
              <w:left w:val="single" w:sz="4" w:space="0" w:color="auto"/>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p>
        </w:tc>
        <w:tc>
          <w:tcPr>
            <w:tcW w:w="1100" w:type="dxa"/>
            <w:tcBorders>
              <w:top w:val="single" w:sz="4" w:space="0" w:color="auto"/>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single" w:sz="4" w:space="0" w:color="auto"/>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single" w:sz="4" w:space="0" w:color="auto"/>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20" w:type="dxa"/>
            <w:tcBorders>
              <w:top w:val="single" w:sz="4" w:space="0" w:color="auto"/>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single" w:sz="4" w:space="0" w:color="auto"/>
              <w:left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r>
      <w:tr w:rsidR="00CE2BD4" w:rsidRPr="007D402C" w:rsidTr="009F1419">
        <w:trPr>
          <w:trHeight w:val="181"/>
        </w:trPr>
        <w:tc>
          <w:tcPr>
            <w:tcW w:w="5360" w:type="dxa"/>
            <w:tcBorders>
              <w:left w:val="single" w:sz="4" w:space="0" w:color="auto"/>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VI. Εθνικολογιστικές προσαρμογές - Δαπάνες (α+β+γ+δ+ε+στ+ζ+η+θ+ι)</w:t>
            </w:r>
          </w:p>
        </w:tc>
        <w:tc>
          <w:tcPr>
            <w:tcW w:w="1100" w:type="dxa"/>
            <w:tcBorders>
              <w:left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-400</w:t>
            </w:r>
          </w:p>
        </w:tc>
        <w:tc>
          <w:tcPr>
            <w:tcW w:w="815" w:type="dxa"/>
            <w:tcBorders>
              <w:left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-1.347</w:t>
            </w:r>
          </w:p>
        </w:tc>
        <w:tc>
          <w:tcPr>
            <w:tcW w:w="815" w:type="dxa"/>
            <w:tcBorders>
              <w:left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-1.240</w:t>
            </w:r>
          </w:p>
        </w:tc>
        <w:tc>
          <w:tcPr>
            <w:tcW w:w="820" w:type="dxa"/>
            <w:tcBorders>
              <w:left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-495</w:t>
            </w:r>
          </w:p>
        </w:tc>
        <w:tc>
          <w:tcPr>
            <w:tcW w:w="815" w:type="dxa"/>
            <w:tcBorders>
              <w:left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840</w:t>
            </w:r>
          </w:p>
        </w:tc>
      </w:tr>
      <w:tr w:rsidR="00CE2BD4" w:rsidRPr="007D402C" w:rsidTr="009F1419">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α. Παροχές σε εργαζομένους </w:t>
            </w:r>
          </w:p>
        </w:tc>
        <w:tc>
          <w:tcPr>
            <w:tcW w:w="1100" w:type="dxa"/>
            <w:tcBorders>
              <w:top w:val="nil"/>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w:t>
            </w:r>
          </w:p>
        </w:tc>
        <w:tc>
          <w:tcPr>
            <w:tcW w:w="815" w:type="dxa"/>
            <w:tcBorders>
              <w:top w:val="nil"/>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w:t>
            </w:r>
          </w:p>
        </w:tc>
        <w:tc>
          <w:tcPr>
            <w:tcW w:w="820" w:type="dxa"/>
            <w:tcBorders>
              <w:top w:val="nil"/>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19</w:t>
            </w:r>
          </w:p>
        </w:tc>
        <w:tc>
          <w:tcPr>
            <w:tcW w:w="815" w:type="dxa"/>
            <w:tcBorders>
              <w:top w:val="nil"/>
              <w:left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19</w:t>
            </w:r>
          </w:p>
        </w:tc>
      </w:tr>
      <w:tr w:rsidR="00CE2BD4" w:rsidRPr="007D402C" w:rsidTr="009F1419">
        <w:trPr>
          <w:trHeight w:val="181"/>
        </w:trPr>
        <w:tc>
          <w:tcPr>
            <w:tcW w:w="5360" w:type="dxa"/>
            <w:tcBorders>
              <w:left w:val="single" w:sz="4" w:space="0" w:color="auto"/>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β. Κοινωνικές Παροχές</w:t>
            </w:r>
          </w:p>
        </w:tc>
        <w:tc>
          <w:tcPr>
            <w:tcW w:w="1100"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106</w:t>
            </w:r>
          </w:p>
        </w:tc>
        <w:tc>
          <w:tcPr>
            <w:tcW w:w="815"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w:t>
            </w:r>
          </w:p>
        </w:tc>
        <w:tc>
          <w:tcPr>
            <w:tcW w:w="815"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w:t>
            </w:r>
          </w:p>
        </w:tc>
        <w:tc>
          <w:tcPr>
            <w:tcW w:w="820"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left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r>
      <w:tr w:rsidR="00CE2BD4" w:rsidRPr="007D402C" w:rsidTr="009F1419">
        <w:trPr>
          <w:trHeight w:val="181"/>
        </w:trPr>
        <w:tc>
          <w:tcPr>
            <w:tcW w:w="5360" w:type="dxa"/>
            <w:tcBorders>
              <w:left w:val="single" w:sz="4" w:space="0" w:color="auto"/>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γ. Μεταβιβάσεις</w:t>
            </w:r>
          </w:p>
        </w:tc>
        <w:tc>
          <w:tcPr>
            <w:tcW w:w="1100"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-20</w:t>
            </w:r>
          </w:p>
        </w:tc>
        <w:tc>
          <w:tcPr>
            <w:tcW w:w="815"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-83</w:t>
            </w:r>
          </w:p>
        </w:tc>
        <w:tc>
          <w:tcPr>
            <w:tcW w:w="815"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-83</w:t>
            </w:r>
          </w:p>
        </w:tc>
        <w:tc>
          <w:tcPr>
            <w:tcW w:w="820"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-20</w:t>
            </w:r>
          </w:p>
        </w:tc>
        <w:tc>
          <w:tcPr>
            <w:tcW w:w="815" w:type="dxa"/>
            <w:tcBorders>
              <w:left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-20</w:t>
            </w:r>
          </w:p>
        </w:tc>
      </w:tr>
      <w:tr w:rsidR="00CE2BD4" w:rsidRPr="007D402C" w:rsidTr="009F1419">
        <w:trPr>
          <w:trHeight w:val="181"/>
        </w:trPr>
        <w:tc>
          <w:tcPr>
            <w:tcW w:w="5360" w:type="dxa"/>
            <w:tcBorders>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δ. Αγορές αγαθών και υπηρεσιών</w:t>
            </w:r>
          </w:p>
        </w:tc>
        <w:tc>
          <w:tcPr>
            <w:tcW w:w="1100" w:type="dxa"/>
            <w:tcBorders>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205</w:t>
            </w:r>
          </w:p>
        </w:tc>
        <w:tc>
          <w:tcPr>
            <w:tcW w:w="815" w:type="dxa"/>
            <w:tcBorders>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61</w:t>
            </w:r>
          </w:p>
        </w:tc>
        <w:tc>
          <w:tcPr>
            <w:tcW w:w="815" w:type="dxa"/>
            <w:tcBorders>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61</w:t>
            </w:r>
          </w:p>
        </w:tc>
        <w:tc>
          <w:tcPr>
            <w:tcW w:w="820" w:type="dxa"/>
            <w:tcBorders>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61</w:t>
            </w:r>
          </w:p>
        </w:tc>
        <w:tc>
          <w:tcPr>
            <w:tcW w:w="815" w:type="dxa"/>
            <w:tcBorders>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ε. Επιδοτήσεις</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στ. Τόκοι (σε ακαθάριστη βάση)</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-1.700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-1.580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-400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ζ. Λοιπές Δαπάνες</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η. Πιστώσεις υπό κατανομή</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109</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986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364D36" w:rsidP="004516E7">
            <w:pPr>
              <w:spacing w:line="233" w:lineRule="auto"/>
              <w:rPr>
                <w:rFonts w:ascii="Arial Narrow" w:hAnsi="Arial Narrow"/>
                <w:b/>
                <w:bCs/>
                <w:sz w:val="15"/>
                <w:szCs w:val="15"/>
              </w:rPr>
            </w:pPr>
            <w:r>
              <w:rPr>
                <w:rFonts w:ascii="Arial Narrow" w:hAnsi="Arial Narrow"/>
                <w:b/>
                <w:bCs/>
                <w:sz w:val="15"/>
                <w:szCs w:val="15"/>
              </w:rPr>
              <w:t>θ. Αγορές παγί</w:t>
            </w:r>
            <w:r w:rsidR="00CE2BD4" w:rsidRPr="00C11D68">
              <w:rPr>
                <w:rFonts w:ascii="Arial Narrow" w:hAnsi="Arial Narrow"/>
                <w:b/>
                <w:bCs/>
                <w:sz w:val="15"/>
                <w:szCs w:val="15"/>
              </w:rPr>
              <w:t>ων 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-554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239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239</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194</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194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ι. </w:t>
            </w:r>
            <w:r>
              <w:rPr>
                <w:rFonts w:ascii="Arial Narrow" w:hAnsi="Arial Narrow"/>
                <w:b/>
                <w:bCs/>
                <w:sz w:val="15"/>
                <w:szCs w:val="15"/>
              </w:rPr>
              <w:t xml:space="preserve"> Αγορές τ</w:t>
            </w:r>
            <w:r w:rsidRPr="00C11D68">
              <w:rPr>
                <w:rFonts w:ascii="Arial Narrow" w:hAnsi="Arial Narrow"/>
                <w:b/>
                <w:bCs/>
                <w:sz w:val="15"/>
                <w:szCs w:val="15"/>
              </w:rPr>
              <w:t>ιμαλφ</w:t>
            </w:r>
            <w:r>
              <w:rPr>
                <w:rFonts w:ascii="Arial Narrow" w:hAnsi="Arial Narrow"/>
                <w:b/>
                <w:bCs/>
                <w:sz w:val="15"/>
                <w:szCs w:val="15"/>
              </w:rPr>
              <w:t>ών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c>
          <w:tcPr>
            <w:tcW w:w="820"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c>
          <w:tcPr>
            <w:tcW w:w="815" w:type="dxa"/>
            <w:tcBorders>
              <w:top w:val="nil"/>
              <w:left w:val="nil"/>
              <w:bottom w:val="nil"/>
              <w:right w:val="single" w:sz="4" w:space="0" w:color="auto"/>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2721EE">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082A43">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116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116</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VII. Καθαρά έσοδα κρατικού προϋπολογισμού κατά ESA (Ι+V)</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50.485</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52.860</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53.61</w:t>
            </w:r>
            <w:r w:rsidR="00CE2BD4" w:rsidRPr="00CE2BD4">
              <w:rPr>
                <w:rFonts w:ascii="Arial Narrow" w:hAnsi="Arial Narrow"/>
                <w:b/>
                <w:bCs/>
                <w:sz w:val="15"/>
                <w:szCs w:val="15"/>
              </w:rPr>
              <w:t>6</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53.414</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53.806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α. Φόροι (1+2+3+4+5+6+7)</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50.267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49.846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51.289</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50.382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51.263</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1. Φόροι επί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26.398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26.495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27.330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26.899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27.578</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εκ των οποίων: Φόροι προστιθέμενης αξίας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16.659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16.431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17.043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16.658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17.220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E57B72">
            <w:pPr>
              <w:spacing w:line="233" w:lineRule="auto"/>
              <w:rPr>
                <w:rFonts w:ascii="Arial Narrow" w:hAnsi="Arial Narrow"/>
                <w:sz w:val="15"/>
                <w:szCs w:val="15"/>
              </w:rPr>
            </w:pPr>
            <w:r w:rsidRPr="00C11D68">
              <w:rPr>
                <w:rFonts w:ascii="Arial Narrow" w:hAnsi="Arial Narrow"/>
                <w:sz w:val="15"/>
                <w:szCs w:val="15"/>
              </w:rPr>
              <w:t xml:space="preserve">                                 Ειδικοί φόροι κατανάλωσης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7.061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7.308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7.298</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7.437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7.387</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2. Φόροι και δασμοί επί εισαγωγών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201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211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225</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237</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3. Τακτικοί φόροι ακίνητης περιουσίας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3.115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3.022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3.063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3.015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2.770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4. Λοιποί φόροι επί παραγωγής</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1.485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1.272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1.262</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1.007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997</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5. Φόρος εισοδήματος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16.432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16.241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16.646</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16.614</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16.888</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εκ των οποίων: Φόρος εισοδήματος πληρωτέος από Φυσικά Πρόσωπα (ΦΠ)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10.977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10.802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10.982</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10.967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11.151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E57B72">
            <w:pPr>
              <w:spacing w:line="233" w:lineRule="auto"/>
              <w:rPr>
                <w:rFonts w:ascii="Arial Narrow" w:hAnsi="Arial Narrow"/>
                <w:sz w:val="15"/>
                <w:szCs w:val="15"/>
              </w:rPr>
            </w:pPr>
            <w:r w:rsidRPr="00C11D68">
              <w:rPr>
                <w:rFonts w:ascii="Arial Narrow" w:hAnsi="Arial Narrow"/>
                <w:sz w:val="15"/>
                <w:szCs w:val="15"/>
              </w:rPr>
              <w:t xml:space="preserve">                                 Φόρος εισοδήματος πληρωτέος από εταιρίες (ΝΠ)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4.089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4.092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4.292</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4.259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4.424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6. Φόροι κεφαλαίου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196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152</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151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159</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 xml:space="preserve">    7. Λοιποί τρέχοντες φόροι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2.440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2.453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2.600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2.475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2.633</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εισφορές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66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71</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58</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2.738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4.510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4.477</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4.596</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4.562</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δ. Πωλήσεις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770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711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691</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783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738</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ε. Λοιπά τρέχοντα έσοδα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2.253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1.766</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2.</w:t>
            </w:r>
            <w:r w:rsidR="003C43AA">
              <w:rPr>
                <w:rFonts w:ascii="Arial Narrow" w:hAnsi="Arial Narrow"/>
                <w:sz w:val="15"/>
                <w:szCs w:val="15"/>
              </w:rPr>
              <w:t>154</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1.669</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   </w:t>
            </w:r>
            <w:r w:rsidRPr="00C11D68">
              <w:rPr>
                <w:rFonts w:ascii="Arial Narrow" w:hAnsi="Arial Narrow"/>
                <w:sz w:val="15"/>
                <w:szCs w:val="15"/>
              </w:rPr>
              <w:t>εκ των οποίων: ε1. Επιστροφές δαπανών για τόκους</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στ. Πωλήσεις </w:t>
            </w:r>
            <w:r w:rsidR="00364D36">
              <w:rPr>
                <w:rFonts w:ascii="Arial Narrow" w:hAnsi="Arial Narrow"/>
                <w:b/>
                <w:bCs/>
                <w:sz w:val="15"/>
                <w:szCs w:val="15"/>
              </w:rPr>
              <w:t>παγί</w:t>
            </w:r>
            <w:r w:rsidR="00364D36" w:rsidRPr="00C11D68">
              <w:rPr>
                <w:rFonts w:ascii="Arial Narrow" w:hAnsi="Arial Narrow"/>
                <w:b/>
                <w:bCs/>
                <w:sz w:val="15"/>
                <w:szCs w:val="15"/>
              </w:rPr>
              <w:t xml:space="preserve">ων </w:t>
            </w:r>
            <w:r w:rsidRPr="00C11D68">
              <w:rPr>
                <w:rFonts w:ascii="Arial Narrow" w:hAnsi="Arial Narrow"/>
                <w:b/>
                <w:bCs/>
                <w:sz w:val="15"/>
                <w:szCs w:val="15"/>
              </w:rPr>
              <w:t>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380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36</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122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335</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ζ. Επιστροφές εσόδων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5.639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4.404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5.103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4.185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r w:rsidRPr="00CE2BD4">
              <w:rPr>
                <w:rFonts w:ascii="Arial Narrow" w:hAnsi="Arial Narrow"/>
                <w:sz w:val="15"/>
                <w:szCs w:val="15"/>
              </w:rPr>
              <w:t>4.818</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2721EE">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082A43">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2.269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3.790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3C43AA" w:rsidP="00CE2BD4">
            <w:pPr>
              <w:ind w:right="284"/>
              <w:jc w:val="right"/>
              <w:rPr>
                <w:rFonts w:ascii="Arial Narrow" w:hAnsi="Arial Narrow"/>
                <w:i/>
                <w:iCs/>
                <w:sz w:val="15"/>
                <w:szCs w:val="15"/>
              </w:rPr>
            </w:pPr>
            <w:r>
              <w:rPr>
                <w:rFonts w:ascii="Arial Narrow" w:hAnsi="Arial Narrow"/>
                <w:i/>
                <w:iCs/>
                <w:sz w:val="15"/>
                <w:szCs w:val="15"/>
              </w:rPr>
              <w:t>3.91</w:t>
            </w:r>
            <w:r w:rsidR="00CE2BD4" w:rsidRPr="00CE2BD4">
              <w:rPr>
                <w:rFonts w:ascii="Arial Narrow" w:hAnsi="Arial Narrow"/>
                <w:i/>
                <w:i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3.892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4.042</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VIII. Δαπάνες κρατικού προϋπολογισμού κατά ESA (II-VI)</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57.822</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57.506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58.273</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57.529</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56.95</w:t>
            </w:r>
            <w:r w:rsidR="00CE2BD4" w:rsidRPr="00CE2BD4">
              <w:rPr>
                <w:rFonts w:ascii="Arial Narrow" w:hAnsi="Arial Narrow"/>
                <w:b/>
                <w:bCs/>
                <w:sz w:val="15"/>
                <w:szCs w:val="15"/>
              </w:rPr>
              <w:t>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α. Παροχές σε εργαζομένους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12.018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12.518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13.521</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12.973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12.998</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Παροχές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2.199</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1.155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1.183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2.425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246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28.733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25.725</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26.553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23.854</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26.124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δ. Αγορές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1.061</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1.217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1.478</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1.238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1.263</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ε. Επιδοτήσεις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148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151</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2721EE">
            <w:pPr>
              <w:spacing w:line="233" w:lineRule="auto"/>
              <w:rPr>
                <w:rFonts w:ascii="Arial Narrow" w:hAnsi="Arial Narrow"/>
                <w:b/>
                <w:bCs/>
                <w:sz w:val="15"/>
                <w:szCs w:val="15"/>
              </w:rPr>
            </w:pPr>
            <w:r w:rsidRPr="00C11D68">
              <w:rPr>
                <w:rFonts w:ascii="Arial Narrow" w:hAnsi="Arial Narrow"/>
                <w:b/>
                <w:bCs/>
                <w:sz w:val="15"/>
                <w:szCs w:val="15"/>
              </w:rPr>
              <w:t xml:space="preserve">στ. Τόκοι (σε ακαθάριστη βάση)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6.348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6.850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7.100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6.950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7.000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ζ. Λοιπές Δαπάνες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137</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78</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η. Πιστώσεις υπό κατανομή </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6.133</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9.504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7.903</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9.508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8.70</w:t>
            </w:r>
            <w:r w:rsidR="00CE2BD4" w:rsidRPr="00CE2BD4">
              <w:rPr>
                <w:rFonts w:ascii="Arial Narrow" w:hAnsi="Arial Narrow"/>
                <w:b/>
                <w:bCs/>
                <w:sz w:val="15"/>
                <w:szCs w:val="15"/>
              </w:rPr>
              <w:t>1</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4516E7">
            <w:pPr>
              <w:spacing w:line="233" w:lineRule="auto"/>
              <w:rPr>
                <w:rFonts w:ascii="Arial Narrow" w:hAnsi="Arial Narrow"/>
                <w:b/>
                <w:bCs/>
                <w:sz w:val="15"/>
                <w:szCs w:val="15"/>
              </w:rPr>
            </w:pPr>
            <w:r w:rsidRPr="00C11D68">
              <w:rPr>
                <w:rFonts w:ascii="Arial Narrow" w:hAnsi="Arial Narrow"/>
                <w:b/>
                <w:bCs/>
                <w:sz w:val="15"/>
                <w:szCs w:val="15"/>
              </w:rPr>
              <w:t xml:space="preserve">θ. Αγορές </w:t>
            </w:r>
            <w:r w:rsidR="00364D36">
              <w:rPr>
                <w:rFonts w:ascii="Arial Narrow" w:hAnsi="Arial Narrow"/>
                <w:b/>
                <w:bCs/>
                <w:sz w:val="15"/>
                <w:szCs w:val="15"/>
              </w:rPr>
              <w:t>παγί</w:t>
            </w:r>
            <w:r w:rsidR="00364D36" w:rsidRPr="00C11D68">
              <w:rPr>
                <w:rFonts w:ascii="Arial Narrow" w:hAnsi="Arial Narrow"/>
                <w:b/>
                <w:bCs/>
                <w:sz w:val="15"/>
                <w:szCs w:val="15"/>
              </w:rPr>
              <w:t xml:space="preserve">ων </w:t>
            </w:r>
            <w:r w:rsidRPr="00C11D68">
              <w:rPr>
                <w:rFonts w:ascii="Arial Narrow" w:hAnsi="Arial Narrow"/>
                <w:b/>
                <w:bCs/>
                <w:sz w:val="15"/>
                <w:szCs w:val="15"/>
              </w:rPr>
              <w:t>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1.058</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310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305</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380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423</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ι. </w:t>
            </w:r>
            <w:r>
              <w:rPr>
                <w:rFonts w:ascii="Arial Narrow" w:hAnsi="Arial Narrow"/>
                <w:b/>
                <w:bCs/>
                <w:sz w:val="15"/>
                <w:szCs w:val="15"/>
              </w:rPr>
              <w:t xml:space="preserve"> Αγορές τιμαλφών</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2721EE">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082A43">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5.950</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6.634</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6.634</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7.300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r w:rsidRPr="00CE2BD4">
              <w:rPr>
                <w:rFonts w:ascii="Arial Narrow" w:hAnsi="Arial Narrow"/>
                <w:i/>
                <w:iCs/>
                <w:sz w:val="15"/>
                <w:szCs w:val="15"/>
              </w:rPr>
              <w:t>6.750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IX. Ισοζύγιο κρατικού προϋπολογισμού κατά ESA (VIΙ-VIΙI) </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-7.336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-4.646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-4.65</w:t>
            </w:r>
            <w:r w:rsidR="00CE2BD4" w:rsidRPr="00CE2BD4">
              <w:rPr>
                <w:rFonts w:ascii="Arial Narrow" w:hAnsi="Arial Narrow"/>
                <w:b/>
                <w:bCs/>
                <w:sz w:val="15"/>
                <w:szCs w:val="15"/>
              </w:rPr>
              <w:t>7</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-4.115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-3.15</w:t>
            </w:r>
            <w:r w:rsidR="00CE2BD4"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-4,1%</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-2,5%</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-2,5</w:t>
            </w:r>
            <w:r w:rsidR="00CE2BD4" w:rsidRPr="00CE2BD4">
              <w:rPr>
                <w:rFonts w:ascii="Arial Narrow" w:hAnsi="Arial Narrow"/>
                <w:b/>
                <w:bCs/>
                <w:sz w:val="15"/>
                <w:szCs w:val="15"/>
              </w:rPr>
              <w:t>%</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-2,2%</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-1,6</w:t>
            </w:r>
            <w:r w:rsidR="00CE2BD4" w:rsidRPr="00CE2BD4">
              <w:rPr>
                <w:rFonts w:ascii="Arial Narrow" w:hAnsi="Arial Narrow"/>
                <w:b/>
                <w:bCs/>
                <w:sz w:val="15"/>
                <w:szCs w:val="15"/>
              </w:rPr>
              <w:t>%</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X. Πρωτογενές αποτέλεσμα κρατικού προϋπολογισμού κατά ESA (IX+VIII.στ-VII.ε1)</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-991</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2.204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2.43</w:t>
            </w:r>
            <w:r w:rsidR="00CE2BD4" w:rsidRPr="00CE2BD4">
              <w:rPr>
                <w:rFonts w:ascii="Arial Narrow" w:hAnsi="Arial Narrow"/>
                <w:b/>
                <w:bCs/>
                <w:sz w:val="15"/>
                <w:szCs w:val="15"/>
              </w:rPr>
              <w:t>8</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2.835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3.85</w:t>
            </w:r>
            <w:r w:rsidR="00CE2BD4" w:rsidRPr="00CE2BD4">
              <w:rPr>
                <w:rFonts w:ascii="Arial Narrow" w:hAnsi="Arial Narrow"/>
                <w:b/>
                <w:bCs/>
                <w:sz w:val="15"/>
                <w:szCs w:val="15"/>
              </w:rPr>
              <w:t>0</w:t>
            </w: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1,3</w:t>
            </w:r>
            <w:r w:rsidR="00CE2BD4" w:rsidRPr="00CE2BD4">
              <w:rPr>
                <w:rFonts w:ascii="Arial Narrow" w:hAnsi="Arial Narrow"/>
                <w:b/>
                <w:bCs/>
                <w:sz w:val="15"/>
                <w:szCs w:val="15"/>
              </w:rPr>
              <w:t>%</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2,0%</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xml:space="preserve">ΧΙ. Ισοζύγιο </w:t>
            </w:r>
            <w:r>
              <w:rPr>
                <w:rFonts w:ascii="Arial Narrow" w:hAnsi="Arial Narrow"/>
                <w:b/>
                <w:bCs/>
                <w:sz w:val="15"/>
                <w:szCs w:val="15"/>
              </w:rPr>
              <w:t xml:space="preserve">λοιπών </w:t>
            </w:r>
            <w:r w:rsidRPr="00C11D68">
              <w:rPr>
                <w:rFonts w:ascii="Arial Narrow" w:hAnsi="Arial Narrow"/>
                <w:b/>
                <w:bCs/>
                <w:sz w:val="15"/>
                <w:szCs w:val="15"/>
              </w:rPr>
              <w:t xml:space="preserve">νομικών προσώπων </w:t>
            </w:r>
            <w:r>
              <w:rPr>
                <w:rFonts w:ascii="Arial Narrow" w:hAnsi="Arial Narrow"/>
                <w:b/>
                <w:bCs/>
                <w:sz w:val="15"/>
                <w:szCs w:val="15"/>
              </w:rPr>
              <w:t xml:space="preserve">Κεντρικής Κυβέρνησης </w:t>
            </w:r>
            <w:r w:rsidRPr="00C11D68">
              <w:rPr>
                <w:rFonts w:ascii="Arial Narrow" w:hAnsi="Arial Narrow"/>
                <w:b/>
                <w:bCs/>
                <w:sz w:val="15"/>
                <w:szCs w:val="15"/>
              </w:rPr>
              <w:t>κατά ESA</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2.804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1.286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1.502</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995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1.856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right w:val="nil"/>
            </w:tcBorders>
            <w:shd w:val="clear" w:color="auto" w:fill="D9D9D9" w:themeFill="background1" w:themeFillShade="D9"/>
            <w:tcMar>
              <w:left w:w="28" w:type="dxa"/>
              <w:right w:w="28" w:type="dxa"/>
            </w:tcMar>
            <w:vAlign w:val="center"/>
            <w:hideMark/>
          </w:tcPr>
          <w:p w:rsidR="00CE2BD4" w:rsidRPr="00C11D68" w:rsidRDefault="00CE2BD4" w:rsidP="004516E7">
            <w:pPr>
              <w:spacing w:line="233" w:lineRule="auto"/>
              <w:rPr>
                <w:rFonts w:ascii="Arial Narrow" w:hAnsi="Arial Narrow"/>
                <w:b/>
                <w:bCs/>
                <w:sz w:val="15"/>
                <w:szCs w:val="15"/>
              </w:rPr>
            </w:pPr>
            <w:r w:rsidRPr="00C11D68">
              <w:rPr>
                <w:rFonts w:ascii="Arial Narrow" w:hAnsi="Arial Narrow"/>
                <w:b/>
                <w:bCs/>
                <w:sz w:val="15"/>
                <w:szCs w:val="15"/>
              </w:rPr>
              <w:t>ΧΙΙ. Ισοζύγιο επαναταξινομημένων ΔΕΚΟ κατά ESA</w:t>
            </w:r>
          </w:p>
        </w:tc>
        <w:tc>
          <w:tcPr>
            <w:tcW w:w="1100" w:type="dxa"/>
            <w:tcBorders>
              <w:top w:val="nil"/>
              <w:left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2.133</w:t>
            </w:r>
          </w:p>
        </w:tc>
        <w:tc>
          <w:tcPr>
            <w:tcW w:w="815" w:type="dxa"/>
            <w:tcBorders>
              <w:top w:val="nil"/>
              <w:left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1.588</w:t>
            </w:r>
          </w:p>
        </w:tc>
        <w:tc>
          <w:tcPr>
            <w:tcW w:w="815" w:type="dxa"/>
            <w:tcBorders>
              <w:top w:val="nil"/>
              <w:left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1.550</w:t>
            </w:r>
          </w:p>
        </w:tc>
        <w:tc>
          <w:tcPr>
            <w:tcW w:w="820" w:type="dxa"/>
            <w:tcBorders>
              <w:top w:val="nil"/>
              <w:left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434</w:t>
            </w:r>
          </w:p>
        </w:tc>
        <w:tc>
          <w:tcPr>
            <w:tcW w:w="815" w:type="dxa"/>
            <w:tcBorders>
              <w:top w:val="nil"/>
              <w:left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414</w:t>
            </w:r>
          </w:p>
        </w:tc>
      </w:tr>
      <w:tr w:rsidR="00CE2BD4" w:rsidRPr="007D402C" w:rsidTr="009F1419">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CE2BD4" w:rsidRPr="00C11D68" w:rsidRDefault="00CE2BD4" w:rsidP="003B1EEB">
            <w:pPr>
              <w:spacing w:line="233" w:lineRule="auto"/>
              <w:rPr>
                <w:rFonts w:ascii="Arial Narrow" w:hAnsi="Arial Narrow"/>
                <w:i/>
                <w:iCs/>
                <w:sz w:val="15"/>
                <w:szCs w:val="15"/>
              </w:rPr>
            </w:pPr>
          </w:p>
        </w:tc>
        <w:tc>
          <w:tcPr>
            <w:tcW w:w="1100" w:type="dxa"/>
            <w:tcBorders>
              <w:top w:val="nil"/>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20" w:type="dxa"/>
            <w:tcBorders>
              <w:top w:val="nil"/>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364D36">
            <w:pPr>
              <w:spacing w:line="233" w:lineRule="auto"/>
              <w:rPr>
                <w:rFonts w:ascii="Arial Narrow" w:hAnsi="Arial Narrow"/>
                <w:b/>
                <w:bCs/>
                <w:sz w:val="15"/>
                <w:szCs w:val="15"/>
              </w:rPr>
            </w:pPr>
            <w:r w:rsidRPr="00C11D68">
              <w:rPr>
                <w:rFonts w:ascii="Arial Narrow" w:hAnsi="Arial Narrow"/>
                <w:b/>
                <w:bCs/>
                <w:sz w:val="15"/>
                <w:szCs w:val="15"/>
              </w:rPr>
              <w:t>ΧΙΙΙ. Ισοζύγιο Νοσοκομείων - Π</w:t>
            </w:r>
            <w:r w:rsidR="00364D36">
              <w:rPr>
                <w:rFonts w:ascii="Arial Narrow" w:hAnsi="Arial Narrow"/>
                <w:b/>
                <w:bCs/>
                <w:sz w:val="15"/>
                <w:szCs w:val="15"/>
              </w:rPr>
              <w:t>Φ</w:t>
            </w:r>
            <w:r w:rsidRPr="00C11D68">
              <w:rPr>
                <w:rFonts w:ascii="Arial Narrow" w:hAnsi="Arial Narrow"/>
                <w:b/>
                <w:bCs/>
                <w:sz w:val="15"/>
                <w:szCs w:val="15"/>
              </w:rPr>
              <w:t>Υ κατά ESA</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307</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161</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116</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96</w:t>
            </w:r>
          </w:p>
        </w:tc>
      </w:tr>
      <w:tr w:rsidR="00CE2BD4" w:rsidRPr="007D402C" w:rsidTr="009F1419">
        <w:trPr>
          <w:trHeight w:val="181"/>
        </w:trPr>
        <w:tc>
          <w:tcPr>
            <w:tcW w:w="5360" w:type="dxa"/>
            <w:tcBorders>
              <w:left w:val="single" w:sz="4" w:space="0" w:color="auto"/>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20" w:type="dxa"/>
            <w:tcBorders>
              <w:left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left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r>
      <w:tr w:rsidR="00CE2BD4" w:rsidRPr="007D402C" w:rsidTr="009F1419">
        <w:trPr>
          <w:trHeight w:val="181"/>
        </w:trPr>
        <w:tc>
          <w:tcPr>
            <w:tcW w:w="5360" w:type="dxa"/>
            <w:tcBorders>
              <w:top w:val="nil"/>
              <w:left w:val="single" w:sz="4" w:space="0" w:color="auto"/>
              <w:bottom w:val="single" w:sz="4" w:space="0" w:color="auto"/>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ΧΙ</w:t>
            </w:r>
            <w:r w:rsidRPr="00C11D68">
              <w:rPr>
                <w:rFonts w:ascii="Arial Narrow" w:hAnsi="Arial Narrow"/>
                <w:b/>
                <w:bCs/>
                <w:sz w:val="15"/>
                <w:szCs w:val="15"/>
                <w:lang w:val="en-GB"/>
              </w:rPr>
              <w:t>V</w:t>
            </w:r>
            <w:r w:rsidRPr="00C11D68">
              <w:rPr>
                <w:rFonts w:ascii="Arial Narrow" w:hAnsi="Arial Narrow"/>
                <w:b/>
                <w:bCs/>
                <w:sz w:val="15"/>
                <w:szCs w:val="15"/>
              </w:rPr>
              <w:t>. Ισοζύγιο Κεντρικής Κυβέρνησης κατά ESA (ΙΧ+ΧΙ+ΧΙΙ+</w:t>
            </w:r>
            <w:r w:rsidRPr="00C11D68">
              <w:rPr>
                <w:rFonts w:ascii="Arial Narrow" w:hAnsi="Arial Narrow"/>
                <w:b/>
                <w:bCs/>
                <w:sz w:val="15"/>
                <w:szCs w:val="15"/>
                <w:lang w:val="en-GB"/>
              </w:rPr>
              <w:t>XIII</w:t>
            </w:r>
            <w:r w:rsidRPr="00C11D68">
              <w:rPr>
                <w:rFonts w:ascii="Arial Narrow" w:hAnsi="Arial Narrow"/>
                <w:b/>
                <w:bCs/>
                <w:sz w:val="15"/>
                <w:szCs w:val="15"/>
              </w:rPr>
              <w:t>)</w:t>
            </w:r>
          </w:p>
        </w:tc>
        <w:tc>
          <w:tcPr>
            <w:tcW w:w="1100"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-2.092</w:t>
            </w:r>
          </w:p>
        </w:tc>
        <w:tc>
          <w:tcPr>
            <w:tcW w:w="815"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-1.616</w:t>
            </w:r>
          </w:p>
        </w:tc>
        <w:tc>
          <w:tcPr>
            <w:tcW w:w="815"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CE2BD4" w:rsidRPr="00CE2BD4" w:rsidRDefault="003C43AA" w:rsidP="00CE2BD4">
            <w:pPr>
              <w:ind w:right="284"/>
              <w:jc w:val="right"/>
              <w:rPr>
                <w:rFonts w:ascii="Arial Narrow" w:hAnsi="Arial Narrow"/>
                <w:b/>
                <w:bCs/>
                <w:sz w:val="15"/>
                <w:szCs w:val="15"/>
              </w:rPr>
            </w:pPr>
            <w:r>
              <w:rPr>
                <w:rFonts w:ascii="Arial Narrow" w:hAnsi="Arial Narrow"/>
                <w:b/>
                <w:bCs/>
                <w:sz w:val="15"/>
                <w:szCs w:val="15"/>
              </w:rPr>
              <w:t>-1.44</w:t>
            </w:r>
            <w:r w:rsidR="00CE2BD4" w:rsidRPr="00CE2BD4">
              <w:rPr>
                <w:rFonts w:ascii="Arial Narrow" w:hAnsi="Arial Narrow"/>
                <w:b/>
                <w:bCs/>
                <w:sz w:val="15"/>
                <w:szCs w:val="15"/>
              </w:rPr>
              <w:t>4</w:t>
            </w:r>
          </w:p>
        </w:tc>
        <w:tc>
          <w:tcPr>
            <w:tcW w:w="820"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-2.570</w:t>
            </w:r>
          </w:p>
        </w:tc>
        <w:tc>
          <w:tcPr>
            <w:tcW w:w="815"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3C43AA">
            <w:pPr>
              <w:ind w:right="284"/>
              <w:jc w:val="right"/>
              <w:rPr>
                <w:rFonts w:ascii="Arial Narrow" w:hAnsi="Arial Narrow"/>
                <w:b/>
                <w:bCs/>
                <w:sz w:val="15"/>
                <w:szCs w:val="15"/>
              </w:rPr>
            </w:pPr>
            <w:r w:rsidRPr="00CE2BD4">
              <w:rPr>
                <w:rFonts w:ascii="Arial Narrow" w:hAnsi="Arial Narrow"/>
                <w:b/>
                <w:bCs/>
                <w:sz w:val="15"/>
                <w:szCs w:val="15"/>
              </w:rPr>
              <w:t>-</w:t>
            </w:r>
            <w:r w:rsidR="003C43AA">
              <w:rPr>
                <w:rFonts w:ascii="Arial Narrow" w:hAnsi="Arial Narrow"/>
                <w:b/>
                <w:bCs/>
                <w:sz w:val="15"/>
                <w:szCs w:val="15"/>
              </w:rPr>
              <w:t>78</w:t>
            </w:r>
            <w:r w:rsidRPr="00CE2BD4">
              <w:rPr>
                <w:rFonts w:ascii="Arial Narrow" w:hAnsi="Arial Narrow"/>
                <w:b/>
                <w:bCs/>
                <w:sz w:val="15"/>
                <w:szCs w:val="15"/>
              </w:rPr>
              <w:t>4</w:t>
            </w:r>
          </w:p>
        </w:tc>
      </w:tr>
      <w:tr w:rsidR="00CE2BD4" w:rsidRPr="007D402C" w:rsidTr="009F1419">
        <w:trPr>
          <w:trHeight w:val="181"/>
        </w:trPr>
        <w:tc>
          <w:tcPr>
            <w:tcW w:w="5360" w:type="dxa"/>
            <w:tcBorders>
              <w:top w:val="single" w:sz="4" w:space="0" w:color="auto"/>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single" w:sz="4" w:space="0" w:color="auto"/>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single" w:sz="4" w:space="0" w:color="auto"/>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single" w:sz="4" w:space="0" w:color="auto"/>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20" w:type="dxa"/>
            <w:tcBorders>
              <w:top w:val="single" w:sz="4" w:space="0" w:color="auto"/>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single" w:sz="4" w:space="0" w:color="auto"/>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ΧV. Ισοζύγιο OΤΑ κατά ESA</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679</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482</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926314" w:rsidP="00CE2BD4">
            <w:pPr>
              <w:ind w:right="284"/>
              <w:jc w:val="right"/>
              <w:rPr>
                <w:rFonts w:ascii="Arial Narrow" w:hAnsi="Arial Narrow"/>
                <w:b/>
                <w:bCs/>
                <w:sz w:val="15"/>
                <w:szCs w:val="15"/>
              </w:rPr>
            </w:pPr>
            <w:r>
              <w:rPr>
                <w:rFonts w:ascii="Arial Narrow" w:hAnsi="Arial Narrow"/>
                <w:b/>
                <w:bCs/>
                <w:sz w:val="15"/>
                <w:szCs w:val="15"/>
              </w:rPr>
              <w:t>438</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258</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244</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364D36">
            <w:pPr>
              <w:spacing w:line="233" w:lineRule="auto"/>
              <w:rPr>
                <w:rFonts w:ascii="Arial Narrow" w:hAnsi="Arial Narrow"/>
                <w:b/>
                <w:bCs/>
                <w:sz w:val="15"/>
                <w:szCs w:val="15"/>
              </w:rPr>
            </w:pPr>
            <w:r w:rsidRPr="00C11D68">
              <w:rPr>
                <w:rFonts w:ascii="Arial Narrow" w:hAnsi="Arial Narrow"/>
                <w:b/>
                <w:bCs/>
                <w:sz w:val="15"/>
                <w:szCs w:val="15"/>
              </w:rPr>
              <w:t>ΧV</w:t>
            </w:r>
            <w:r w:rsidRPr="00C11D68">
              <w:rPr>
                <w:rFonts w:ascii="Arial Narrow" w:hAnsi="Arial Narrow"/>
                <w:b/>
                <w:bCs/>
                <w:sz w:val="15"/>
                <w:szCs w:val="15"/>
                <w:lang w:val="en-GB"/>
              </w:rPr>
              <w:t>I</w:t>
            </w:r>
            <w:r w:rsidRPr="00C11D68">
              <w:rPr>
                <w:rFonts w:ascii="Arial Narrow" w:hAnsi="Arial Narrow"/>
                <w:b/>
                <w:bCs/>
                <w:sz w:val="15"/>
                <w:szCs w:val="15"/>
              </w:rPr>
              <w:t>. Ισοζύγιο OKA  κατά ESA</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2.805</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1.808</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2.177</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3.815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1.673</w:t>
            </w:r>
          </w:p>
        </w:tc>
      </w:tr>
      <w:tr w:rsidR="00CE2BD4" w:rsidRPr="007D402C" w:rsidTr="009F1419">
        <w:trPr>
          <w:trHeight w:val="181"/>
        </w:trPr>
        <w:tc>
          <w:tcPr>
            <w:tcW w:w="5360" w:type="dxa"/>
            <w:tcBorders>
              <w:top w:val="nil"/>
              <w:left w:val="single" w:sz="4" w:space="0" w:color="auto"/>
              <w:bottom w:val="nil"/>
              <w:right w:val="nil"/>
            </w:tcBorders>
            <w:shd w:val="clear" w:color="auto" w:fill="auto"/>
            <w:noWrap/>
            <w:tcMar>
              <w:left w:w="28" w:type="dxa"/>
              <w:right w:w="28" w:type="dxa"/>
            </w:tcMar>
            <w:vAlign w:val="center"/>
            <w:hideMark/>
          </w:tcPr>
          <w:p w:rsidR="00CE2BD4" w:rsidRPr="00C11D68" w:rsidRDefault="00CE2BD4" w:rsidP="00C11D68">
            <w:pPr>
              <w:spacing w:line="233" w:lineRule="auto"/>
              <w:ind w:firstLineChars="200" w:firstLine="300"/>
              <w:rPr>
                <w:rFonts w:ascii="Arial Narrow" w:hAnsi="Arial Narrow"/>
                <w:color w:val="000000"/>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CE2BD4" w:rsidRPr="00CE2BD4" w:rsidRDefault="00CE2BD4" w:rsidP="00CE2BD4">
            <w:pPr>
              <w:ind w:right="284"/>
              <w:jc w:val="right"/>
              <w:rPr>
                <w:rFonts w:ascii="Arial Narrow" w:hAnsi="Arial Narrow"/>
                <w:color w:val="000000"/>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i/>
                <w:i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C929F8">
            <w:pPr>
              <w:spacing w:line="233" w:lineRule="auto"/>
              <w:rPr>
                <w:rFonts w:ascii="Arial Narrow" w:hAnsi="Arial Narrow"/>
                <w:b/>
                <w:bCs/>
                <w:sz w:val="15"/>
                <w:szCs w:val="15"/>
              </w:rPr>
            </w:pPr>
            <w:r w:rsidRPr="00C11D68">
              <w:rPr>
                <w:rFonts w:ascii="Arial Narrow" w:hAnsi="Arial Narrow"/>
                <w:b/>
                <w:bCs/>
                <w:sz w:val="15"/>
                <w:szCs w:val="15"/>
              </w:rPr>
              <w:t>ΧVΙ</w:t>
            </w:r>
            <w:r w:rsidRPr="00C11D68">
              <w:rPr>
                <w:rFonts w:ascii="Arial Narrow" w:hAnsi="Arial Narrow"/>
                <w:b/>
                <w:bCs/>
                <w:sz w:val="15"/>
                <w:szCs w:val="15"/>
                <w:lang w:val="en-GB"/>
              </w:rPr>
              <w:t>I</w:t>
            </w:r>
            <w:r w:rsidRPr="00C11D68">
              <w:rPr>
                <w:rFonts w:ascii="Arial Narrow" w:hAnsi="Arial Narrow"/>
                <w:b/>
                <w:bCs/>
                <w:sz w:val="15"/>
                <w:szCs w:val="15"/>
              </w:rPr>
              <w:t>. Ισοζύγιο Γενικής Κυβέρνησης κατά ESA (ΧΙV+XV+</w:t>
            </w:r>
            <w:r w:rsidRPr="00C11D68">
              <w:rPr>
                <w:rFonts w:ascii="Arial Narrow" w:hAnsi="Arial Narrow"/>
                <w:b/>
                <w:bCs/>
                <w:sz w:val="15"/>
                <w:szCs w:val="15"/>
                <w:lang w:val="en-GB"/>
              </w:rPr>
              <w:t>XVI</w:t>
            </w:r>
            <w:r w:rsidRPr="00C11D68">
              <w:rPr>
                <w:rFonts w:ascii="Arial Narrow" w:hAnsi="Arial Narrow"/>
                <w:b/>
                <w:bCs/>
                <w:sz w:val="15"/>
                <w:szCs w:val="15"/>
              </w:rPr>
              <w:t>)</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1.392</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674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926314" w:rsidP="00CE2BD4">
            <w:pPr>
              <w:ind w:right="284"/>
              <w:jc w:val="right"/>
              <w:rPr>
                <w:rFonts w:ascii="Arial Narrow" w:hAnsi="Arial Narrow"/>
                <w:b/>
                <w:bCs/>
                <w:sz w:val="15"/>
                <w:szCs w:val="15"/>
              </w:rPr>
            </w:pPr>
            <w:r>
              <w:rPr>
                <w:rFonts w:ascii="Arial Narrow" w:hAnsi="Arial Narrow"/>
                <w:b/>
                <w:bCs/>
                <w:sz w:val="15"/>
                <w:szCs w:val="15"/>
              </w:rPr>
              <w:t>1.171</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1.503</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926314" w:rsidP="00CE2BD4">
            <w:pPr>
              <w:ind w:right="284"/>
              <w:jc w:val="right"/>
              <w:rPr>
                <w:rFonts w:ascii="Arial Narrow" w:hAnsi="Arial Narrow"/>
                <w:b/>
                <w:bCs/>
                <w:sz w:val="15"/>
                <w:szCs w:val="15"/>
              </w:rPr>
            </w:pPr>
            <w:r>
              <w:rPr>
                <w:rFonts w:ascii="Arial Narrow" w:hAnsi="Arial Narrow"/>
                <w:b/>
                <w:bCs/>
                <w:sz w:val="15"/>
                <w:szCs w:val="15"/>
              </w:rPr>
              <w:t>1.13</w:t>
            </w:r>
            <w:r w:rsidR="00CE2BD4" w:rsidRPr="00CE2BD4">
              <w:rPr>
                <w:rFonts w:ascii="Arial Narrow" w:hAnsi="Arial Narrow"/>
                <w:b/>
                <w:bCs/>
                <w:sz w:val="15"/>
                <w:szCs w:val="15"/>
              </w:rPr>
              <w:t>2</w:t>
            </w: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0,8%</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926314" w:rsidP="00CE2BD4">
            <w:pPr>
              <w:ind w:right="284"/>
              <w:jc w:val="right"/>
              <w:rPr>
                <w:rFonts w:ascii="Arial Narrow" w:hAnsi="Arial Narrow"/>
                <w:b/>
                <w:bCs/>
                <w:sz w:val="15"/>
                <w:szCs w:val="15"/>
              </w:rPr>
            </w:pPr>
            <w:r>
              <w:rPr>
                <w:rFonts w:ascii="Arial Narrow" w:hAnsi="Arial Narrow"/>
                <w:b/>
                <w:bCs/>
                <w:sz w:val="15"/>
                <w:szCs w:val="15"/>
              </w:rPr>
              <w:t>0,6</w:t>
            </w:r>
            <w:r w:rsidR="00CE2BD4" w:rsidRPr="00CE2BD4">
              <w:rPr>
                <w:rFonts w:ascii="Arial Narrow" w:hAnsi="Arial Narrow"/>
                <w:b/>
                <w:bCs/>
                <w:sz w:val="15"/>
                <w:szCs w:val="15"/>
              </w:rPr>
              <w:t>%</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0,8%</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0,6%</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 </w:t>
            </w: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XVI</w:t>
            </w:r>
            <w:r w:rsidRPr="00C11D68">
              <w:rPr>
                <w:rFonts w:ascii="Arial Narrow" w:hAnsi="Arial Narrow"/>
                <w:b/>
                <w:bCs/>
                <w:sz w:val="15"/>
                <w:szCs w:val="15"/>
                <w:lang w:val="en-GB"/>
              </w:rPr>
              <w:t>I</w:t>
            </w:r>
            <w:r w:rsidRPr="00C11D68">
              <w:rPr>
                <w:rFonts w:ascii="Arial Narrow" w:hAnsi="Arial Narrow"/>
                <w:b/>
                <w:bCs/>
                <w:sz w:val="15"/>
                <w:szCs w:val="15"/>
              </w:rPr>
              <w:t>I. Ενοποιημένοι Τόκοι Γενικής Κυβέρνησης</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5.618</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6.206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6.403</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6.294</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6.302</w:t>
            </w: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3,1%</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3,4%</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3,3%</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3,3%</w:t>
            </w:r>
          </w:p>
        </w:tc>
      </w:tr>
      <w:tr w:rsidR="00CE2BD4" w:rsidRPr="007D402C" w:rsidTr="009F1419">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Πρωτογενές αποτέλεσμα Γενικής Κυβέρνησης κατά ESA (XVI</w:t>
            </w:r>
            <w:r w:rsidRPr="00C11D68">
              <w:rPr>
                <w:rFonts w:ascii="Arial Narrow" w:hAnsi="Arial Narrow"/>
                <w:b/>
                <w:bCs/>
                <w:sz w:val="15"/>
                <w:szCs w:val="15"/>
                <w:lang w:val="en-GB"/>
              </w:rPr>
              <w:t>I</w:t>
            </w:r>
            <w:r w:rsidRPr="00C11D68">
              <w:rPr>
                <w:rFonts w:ascii="Arial Narrow" w:hAnsi="Arial Narrow"/>
                <w:b/>
                <w:bCs/>
                <w:sz w:val="15"/>
                <w:szCs w:val="15"/>
              </w:rPr>
              <w:t>+XVII</w:t>
            </w:r>
            <w:r w:rsidRPr="00C11D68">
              <w:rPr>
                <w:rFonts w:ascii="Arial Narrow" w:hAnsi="Arial Narrow"/>
                <w:b/>
                <w:bCs/>
                <w:sz w:val="15"/>
                <w:szCs w:val="15"/>
                <w:lang w:val="en-GB"/>
              </w:rPr>
              <w:t>I</w:t>
            </w:r>
            <w:r w:rsidRPr="00C11D68">
              <w:rPr>
                <w:rFonts w:ascii="Arial Narrow" w:hAnsi="Arial Narrow"/>
                <w:b/>
                <w:bCs/>
                <w:sz w:val="15"/>
                <w:szCs w:val="15"/>
              </w:rPr>
              <w:t>)</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7.010</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6.881</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7F0C23" w:rsidP="00CE2BD4">
            <w:pPr>
              <w:ind w:right="284"/>
              <w:jc w:val="right"/>
              <w:rPr>
                <w:rFonts w:ascii="Arial Narrow" w:hAnsi="Arial Narrow"/>
                <w:b/>
                <w:bCs/>
                <w:sz w:val="15"/>
                <w:szCs w:val="15"/>
              </w:rPr>
            </w:pPr>
            <w:r>
              <w:rPr>
                <w:rFonts w:ascii="Arial Narrow" w:hAnsi="Arial Narrow"/>
                <w:b/>
                <w:bCs/>
                <w:sz w:val="15"/>
                <w:szCs w:val="15"/>
              </w:rPr>
              <w:t>7.5</w:t>
            </w:r>
            <w:r w:rsidR="00CE2BD4" w:rsidRPr="00CE2BD4">
              <w:rPr>
                <w:rFonts w:ascii="Arial Narrow" w:hAnsi="Arial Narrow"/>
                <w:b/>
                <w:bCs/>
                <w:sz w:val="15"/>
                <w:szCs w:val="15"/>
              </w:rPr>
              <w:t>73</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7.797</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926314" w:rsidP="00CE2BD4">
            <w:pPr>
              <w:ind w:right="284"/>
              <w:jc w:val="right"/>
              <w:rPr>
                <w:rFonts w:ascii="Arial Narrow" w:hAnsi="Arial Narrow"/>
                <w:b/>
                <w:bCs/>
                <w:sz w:val="15"/>
                <w:szCs w:val="15"/>
              </w:rPr>
            </w:pPr>
            <w:r>
              <w:rPr>
                <w:rFonts w:ascii="Arial Narrow" w:hAnsi="Arial Narrow"/>
                <w:b/>
                <w:bCs/>
                <w:sz w:val="15"/>
                <w:szCs w:val="15"/>
              </w:rPr>
              <w:t>7.</w:t>
            </w:r>
            <w:r w:rsidR="00CE2BD4" w:rsidRPr="00CE2BD4">
              <w:rPr>
                <w:rFonts w:ascii="Arial Narrow" w:hAnsi="Arial Narrow"/>
                <w:b/>
                <w:bCs/>
                <w:sz w:val="15"/>
                <w:szCs w:val="15"/>
              </w:rPr>
              <w:t>4</w:t>
            </w:r>
            <w:r>
              <w:rPr>
                <w:rFonts w:ascii="Arial Narrow" w:hAnsi="Arial Narrow"/>
                <w:b/>
                <w:bCs/>
                <w:sz w:val="15"/>
                <w:szCs w:val="15"/>
              </w:rPr>
              <w:t>34</w:t>
            </w:r>
          </w:p>
        </w:tc>
      </w:tr>
      <w:tr w:rsidR="00CE2BD4" w:rsidRPr="007D402C" w:rsidTr="009F1419">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3,9%</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3,8%</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926314" w:rsidP="00CE2BD4">
            <w:pPr>
              <w:ind w:right="284"/>
              <w:jc w:val="right"/>
              <w:rPr>
                <w:rFonts w:ascii="Arial Narrow" w:hAnsi="Arial Narrow"/>
                <w:b/>
                <w:bCs/>
                <w:sz w:val="15"/>
                <w:szCs w:val="15"/>
              </w:rPr>
            </w:pPr>
            <w:r>
              <w:rPr>
                <w:rFonts w:ascii="Arial Narrow" w:hAnsi="Arial Narrow"/>
                <w:b/>
                <w:bCs/>
                <w:sz w:val="15"/>
                <w:szCs w:val="15"/>
              </w:rPr>
              <w:t>4,1</w:t>
            </w:r>
            <w:r w:rsidR="00CE2BD4" w:rsidRPr="00CE2BD4">
              <w:rPr>
                <w:rFonts w:ascii="Arial Narrow" w:hAnsi="Arial Narrow"/>
                <w:b/>
                <w:bCs/>
                <w:sz w:val="15"/>
                <w:szCs w:val="15"/>
              </w:rPr>
              <w:t>%</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4,1%</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CE2BD4" w:rsidRPr="00CE2BD4" w:rsidRDefault="00926314" w:rsidP="00CE2BD4">
            <w:pPr>
              <w:ind w:right="284"/>
              <w:jc w:val="right"/>
              <w:rPr>
                <w:rFonts w:ascii="Arial Narrow" w:hAnsi="Arial Narrow"/>
                <w:b/>
                <w:bCs/>
                <w:sz w:val="15"/>
                <w:szCs w:val="15"/>
              </w:rPr>
            </w:pPr>
            <w:r>
              <w:rPr>
                <w:rFonts w:ascii="Arial Narrow" w:hAnsi="Arial Narrow"/>
                <w:b/>
                <w:bCs/>
                <w:sz w:val="15"/>
                <w:szCs w:val="15"/>
              </w:rPr>
              <w:t>3,9</w:t>
            </w:r>
            <w:r w:rsidR="00CE2BD4" w:rsidRPr="00CE2BD4">
              <w:rPr>
                <w:rFonts w:ascii="Arial Narrow" w:hAnsi="Arial Narrow"/>
                <w:b/>
                <w:bCs/>
                <w:sz w:val="15"/>
                <w:szCs w:val="15"/>
              </w:rPr>
              <w:t>%</w:t>
            </w:r>
          </w:p>
        </w:tc>
      </w:tr>
      <w:tr w:rsidR="00CE2BD4" w:rsidRPr="007D402C" w:rsidTr="009F1419">
        <w:trPr>
          <w:trHeight w:val="181"/>
        </w:trPr>
        <w:tc>
          <w:tcPr>
            <w:tcW w:w="5360" w:type="dxa"/>
            <w:tcBorders>
              <w:top w:val="nil"/>
              <w:left w:val="single" w:sz="4" w:space="0" w:color="auto"/>
              <w:bottom w:val="single" w:sz="4" w:space="0" w:color="auto"/>
              <w:right w:val="nil"/>
            </w:tcBorders>
            <w:shd w:val="clear" w:color="auto" w:fill="D9D9D9" w:themeFill="background1" w:themeFillShade="D9"/>
            <w:tcMar>
              <w:left w:w="28" w:type="dxa"/>
              <w:right w:w="28" w:type="dxa"/>
            </w:tcMar>
            <w:vAlign w:val="center"/>
            <w:hideMark/>
          </w:tcPr>
          <w:p w:rsidR="00CE2BD4" w:rsidRPr="00C11D68" w:rsidRDefault="00CE2BD4" w:rsidP="00013A09">
            <w:pPr>
              <w:spacing w:line="233" w:lineRule="auto"/>
              <w:rPr>
                <w:rFonts w:ascii="Arial Narrow" w:hAnsi="Arial Narrow"/>
                <w:b/>
                <w:bCs/>
                <w:sz w:val="15"/>
                <w:szCs w:val="15"/>
              </w:rPr>
            </w:pPr>
            <w:r w:rsidRPr="00C11D68">
              <w:rPr>
                <w:rFonts w:ascii="Arial Narrow" w:hAnsi="Arial Narrow"/>
                <w:b/>
                <w:bCs/>
                <w:sz w:val="15"/>
                <w:szCs w:val="15"/>
              </w:rPr>
              <w:t>ΑΕΠ</w:t>
            </w:r>
          </w:p>
        </w:tc>
        <w:tc>
          <w:tcPr>
            <w:tcW w:w="1100"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180.218</w:t>
            </w:r>
          </w:p>
        </w:tc>
        <w:tc>
          <w:tcPr>
            <w:tcW w:w="815"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182.959</w:t>
            </w:r>
          </w:p>
        </w:tc>
        <w:tc>
          <w:tcPr>
            <w:tcW w:w="815"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185.658</w:t>
            </w:r>
          </w:p>
        </w:tc>
        <w:tc>
          <w:tcPr>
            <w:tcW w:w="820"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189.743</w:t>
            </w:r>
          </w:p>
        </w:tc>
        <w:tc>
          <w:tcPr>
            <w:tcW w:w="815"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rsidR="00CE2BD4" w:rsidRPr="00CE2BD4" w:rsidRDefault="00CE2BD4" w:rsidP="00CE2BD4">
            <w:pPr>
              <w:ind w:right="284"/>
              <w:jc w:val="right"/>
              <w:rPr>
                <w:rFonts w:ascii="Arial Narrow" w:hAnsi="Arial Narrow"/>
                <w:b/>
                <w:bCs/>
                <w:sz w:val="15"/>
                <w:szCs w:val="15"/>
              </w:rPr>
            </w:pPr>
            <w:r w:rsidRPr="00CE2BD4">
              <w:rPr>
                <w:rFonts w:ascii="Arial Narrow" w:hAnsi="Arial Narrow"/>
                <w:b/>
                <w:bCs/>
                <w:sz w:val="15"/>
                <w:szCs w:val="15"/>
              </w:rPr>
              <w:t>192.749</w:t>
            </w:r>
          </w:p>
        </w:tc>
      </w:tr>
    </w:tbl>
    <w:p w:rsidR="00AD25EF" w:rsidRPr="00FC14E2" w:rsidRDefault="00AD25EF" w:rsidP="0068124D">
      <w:pPr>
        <w:spacing w:before="240" w:line="228" w:lineRule="auto"/>
        <w:ind w:left="142" w:right="-568" w:hanging="142"/>
        <w:contextualSpacing/>
        <w:jc w:val="both"/>
        <w:rPr>
          <w:rFonts w:ascii="Arial Narrow" w:hAnsi="Arial Narrow"/>
          <w:color w:val="000000"/>
          <w:sz w:val="15"/>
          <w:szCs w:val="15"/>
        </w:rPr>
      </w:pPr>
      <w:r w:rsidRPr="00FC14E2">
        <w:rPr>
          <w:rFonts w:ascii="Arial Narrow" w:hAnsi="Arial Narrow"/>
          <w:color w:val="000000"/>
          <w:sz w:val="15"/>
          <w:szCs w:val="15"/>
          <w:vertAlign w:val="superscript"/>
        </w:rPr>
        <w:t>1</w:t>
      </w:r>
      <w:r w:rsidRPr="00FC14E2">
        <w:rPr>
          <w:rFonts w:ascii="Arial Narrow" w:hAnsi="Arial Narrow"/>
          <w:color w:val="000000"/>
          <w:sz w:val="15"/>
          <w:szCs w:val="15"/>
        </w:rPr>
        <w:tab/>
        <w:t>Τυχόν διαφορές με μεγέθη που παρουσιάζονται στο ΜΠΔΣ 2019-2022 οφείλονται σε στρογγυλοποιήσεις και στη μετάβαση από την ισχύουσα στη νέα οικονομική ταξινόμ</w:t>
      </w:r>
      <w:r w:rsidRPr="00FC14E2">
        <w:rPr>
          <w:rFonts w:ascii="Arial Narrow" w:hAnsi="Arial Narrow"/>
          <w:color w:val="000000"/>
          <w:sz w:val="15"/>
          <w:szCs w:val="15"/>
        </w:rPr>
        <w:t>η</w:t>
      </w:r>
      <w:r w:rsidRPr="00FC14E2">
        <w:rPr>
          <w:rFonts w:ascii="Arial Narrow" w:hAnsi="Arial Narrow"/>
          <w:color w:val="000000"/>
          <w:sz w:val="15"/>
          <w:szCs w:val="15"/>
        </w:rPr>
        <w:t>ση κατά τα οριζόμενα στο ΠΔ 54/2018 και στην 2/58493/ΔΠΓΚ/31-7-2018 υπουργική απόφαση.</w:t>
      </w:r>
    </w:p>
    <w:p w:rsidR="00AD25EF" w:rsidRPr="00FC14E2" w:rsidRDefault="00AD25EF" w:rsidP="0068124D">
      <w:pPr>
        <w:spacing w:line="228" w:lineRule="auto"/>
        <w:ind w:left="142" w:right="-568" w:hanging="142"/>
        <w:contextualSpacing/>
        <w:jc w:val="both"/>
        <w:rPr>
          <w:rFonts w:ascii="Arial Narrow" w:hAnsi="Arial Narrow"/>
          <w:color w:val="000000"/>
          <w:sz w:val="15"/>
          <w:szCs w:val="15"/>
        </w:rPr>
      </w:pPr>
      <w:r w:rsidRPr="00FC14E2">
        <w:rPr>
          <w:rFonts w:ascii="Arial Narrow" w:hAnsi="Arial Narrow"/>
          <w:color w:val="000000"/>
          <w:sz w:val="15"/>
          <w:szCs w:val="15"/>
          <w:vertAlign w:val="superscript"/>
        </w:rPr>
        <w:t>2</w:t>
      </w:r>
      <w:r w:rsidRPr="00FC14E2">
        <w:rPr>
          <w:rFonts w:ascii="Arial Narrow" w:hAnsi="Arial Narrow"/>
          <w:color w:val="000000"/>
          <w:sz w:val="15"/>
          <w:szCs w:val="15"/>
        </w:rPr>
        <w:t xml:space="preserve"> </w:t>
      </w:r>
      <w:r w:rsidRPr="00FC14E2">
        <w:rPr>
          <w:rFonts w:ascii="Arial Narrow" w:hAnsi="Arial Narrow"/>
          <w:color w:val="000000"/>
          <w:sz w:val="15"/>
          <w:szCs w:val="15"/>
        </w:rPr>
        <w:tab/>
      </w:r>
      <w:r w:rsidR="007A24BC" w:rsidRPr="00FC14E2">
        <w:rPr>
          <w:rFonts w:ascii="Arial Narrow" w:hAnsi="Arial Narrow"/>
          <w:color w:val="000000"/>
          <w:sz w:val="15"/>
          <w:szCs w:val="15"/>
        </w:rPr>
        <w:t>Σύμφωνα με τα στοιχεία της Διαδικασίας Υπερβολικού Ελλεί</w:t>
      </w:r>
      <w:r w:rsidR="00977E74" w:rsidRPr="00FC14E2">
        <w:rPr>
          <w:rFonts w:ascii="Arial Narrow" w:hAnsi="Arial Narrow"/>
          <w:color w:val="000000"/>
          <w:sz w:val="15"/>
          <w:szCs w:val="15"/>
        </w:rPr>
        <w:t>μ</w:t>
      </w:r>
      <w:r w:rsidR="007A24BC" w:rsidRPr="00FC14E2">
        <w:rPr>
          <w:rFonts w:ascii="Arial Narrow" w:hAnsi="Arial Narrow"/>
          <w:color w:val="000000"/>
          <w:sz w:val="15"/>
          <w:szCs w:val="15"/>
        </w:rPr>
        <w:t>ματος Οκτωβρίου 2018 της ΕΛΣΤΑΤ.</w:t>
      </w:r>
    </w:p>
    <w:p w:rsidR="00AD25EF" w:rsidRPr="00FC14E2" w:rsidRDefault="00082A43" w:rsidP="0068124D">
      <w:pPr>
        <w:spacing w:line="228" w:lineRule="auto"/>
        <w:ind w:left="142" w:right="-568" w:hanging="142"/>
        <w:contextualSpacing/>
        <w:jc w:val="both"/>
        <w:rPr>
          <w:rFonts w:ascii="Arial Narrow" w:hAnsi="Arial Narrow"/>
          <w:sz w:val="15"/>
          <w:szCs w:val="15"/>
        </w:rPr>
      </w:pPr>
      <w:r>
        <w:rPr>
          <w:rFonts w:ascii="Arial Narrow" w:hAnsi="Arial Narrow"/>
          <w:sz w:val="15"/>
          <w:szCs w:val="15"/>
          <w:vertAlign w:val="superscript"/>
        </w:rPr>
        <w:t>3</w:t>
      </w:r>
      <w:r w:rsidR="00AD25EF" w:rsidRPr="00FC14E2">
        <w:rPr>
          <w:rFonts w:ascii="Arial Narrow" w:hAnsi="Arial Narrow"/>
          <w:sz w:val="15"/>
          <w:szCs w:val="15"/>
        </w:rPr>
        <w:t xml:space="preserve"> </w:t>
      </w:r>
      <w:r w:rsidR="00AD25EF" w:rsidRPr="00FC14E2">
        <w:rPr>
          <w:rFonts w:ascii="Arial Narrow" w:hAnsi="Arial Narrow"/>
          <w:sz w:val="15"/>
          <w:szCs w:val="15"/>
        </w:rPr>
        <w:tab/>
      </w:r>
      <w:r w:rsidR="007A24BC" w:rsidRPr="00FC14E2">
        <w:rPr>
          <w:rFonts w:ascii="Arial Narrow" w:hAnsi="Arial Narrow"/>
          <w:sz w:val="15"/>
          <w:szCs w:val="15"/>
        </w:rPr>
        <w:t xml:space="preserve">Για το έτος 2018 δεν περιλαμβάνεται πρόγραμμα εξόφλησης ληξιπρόθεσμων υποχρεώσεων προς τρίτους εκτός γενικής κυβέρνησης, το οποίο είναι δημοσιονομικά ουδέτερο σε όρους Γενικής Κυβέρνησης και </w:t>
      </w:r>
      <w:r>
        <w:rPr>
          <w:rFonts w:ascii="Arial Narrow" w:hAnsi="Arial Narrow"/>
          <w:sz w:val="15"/>
          <w:szCs w:val="15"/>
        </w:rPr>
        <w:t>ολοκληρώνεται</w:t>
      </w:r>
      <w:r w:rsidR="007A24BC" w:rsidRPr="00FC14E2">
        <w:rPr>
          <w:rFonts w:ascii="Arial Narrow" w:hAnsi="Arial Narrow"/>
          <w:sz w:val="15"/>
          <w:szCs w:val="15"/>
        </w:rPr>
        <w:t xml:space="preserve"> με το τέλος του τρέχοντος έτους.</w:t>
      </w:r>
    </w:p>
    <w:p w:rsidR="00AD25EF" w:rsidRPr="00FC14E2" w:rsidRDefault="00082A43" w:rsidP="0068124D">
      <w:pPr>
        <w:spacing w:line="228" w:lineRule="auto"/>
        <w:ind w:left="142" w:right="-568" w:hanging="142"/>
        <w:contextualSpacing/>
        <w:jc w:val="both"/>
        <w:rPr>
          <w:rFonts w:ascii="Arial Narrow" w:hAnsi="Arial Narrow"/>
          <w:sz w:val="15"/>
          <w:szCs w:val="15"/>
        </w:rPr>
      </w:pPr>
      <w:r>
        <w:rPr>
          <w:rFonts w:ascii="Arial Narrow" w:hAnsi="Arial Narrow"/>
          <w:sz w:val="15"/>
          <w:szCs w:val="15"/>
          <w:vertAlign w:val="superscript"/>
        </w:rPr>
        <w:t>4</w:t>
      </w:r>
      <w:r w:rsidR="00AD25EF" w:rsidRPr="00FC14E2">
        <w:rPr>
          <w:rFonts w:ascii="Arial Narrow" w:hAnsi="Arial Narrow"/>
          <w:sz w:val="15"/>
          <w:szCs w:val="15"/>
        </w:rPr>
        <w:tab/>
      </w:r>
      <w:r w:rsidR="005B32FD">
        <w:rPr>
          <w:rFonts w:ascii="Arial Narrow" w:hAnsi="Arial Narrow"/>
          <w:sz w:val="15"/>
          <w:szCs w:val="15"/>
        </w:rPr>
        <w:t>Τα έσοδα του</w:t>
      </w:r>
      <w:r w:rsidR="00977E74" w:rsidRPr="00FC14E2">
        <w:rPr>
          <w:rFonts w:ascii="Arial Narrow" w:hAnsi="Arial Narrow"/>
          <w:sz w:val="15"/>
          <w:szCs w:val="15"/>
        </w:rPr>
        <w:t xml:space="preserve"> ΠΔΕ </w:t>
      </w:r>
      <w:r w:rsidR="005B32FD">
        <w:rPr>
          <w:rFonts w:ascii="Arial Narrow" w:hAnsi="Arial Narrow"/>
          <w:sz w:val="15"/>
          <w:szCs w:val="15"/>
        </w:rPr>
        <w:t>περιέχον</w:t>
      </w:r>
      <w:r w:rsidR="00977E74" w:rsidRPr="00FC14E2">
        <w:rPr>
          <w:rFonts w:ascii="Arial Narrow" w:hAnsi="Arial Narrow"/>
          <w:sz w:val="15"/>
          <w:szCs w:val="15"/>
        </w:rPr>
        <w:t xml:space="preserve">ται στις μεταβιβάσεις και στα λοιπά τρέχοντα έσοδα, ενώ </w:t>
      </w:r>
      <w:r w:rsidR="005B32FD">
        <w:rPr>
          <w:rFonts w:ascii="Arial Narrow" w:hAnsi="Arial Narrow"/>
          <w:sz w:val="15"/>
          <w:szCs w:val="15"/>
        </w:rPr>
        <w:t xml:space="preserve"> οι δαπάνες </w:t>
      </w:r>
      <w:r w:rsidR="00977E74" w:rsidRPr="00FC14E2">
        <w:rPr>
          <w:rFonts w:ascii="Arial Narrow" w:hAnsi="Arial Narrow"/>
          <w:sz w:val="15"/>
          <w:szCs w:val="15"/>
        </w:rPr>
        <w:t>το</w:t>
      </w:r>
      <w:r w:rsidR="005B32FD">
        <w:rPr>
          <w:rFonts w:ascii="Arial Narrow" w:hAnsi="Arial Narrow"/>
          <w:sz w:val="15"/>
          <w:szCs w:val="15"/>
        </w:rPr>
        <w:t>υ</w:t>
      </w:r>
      <w:r w:rsidR="00977E74" w:rsidRPr="00FC14E2">
        <w:rPr>
          <w:rFonts w:ascii="Arial Narrow" w:hAnsi="Arial Narrow"/>
          <w:sz w:val="15"/>
          <w:szCs w:val="15"/>
        </w:rPr>
        <w:t xml:space="preserve"> ΠΔΕ </w:t>
      </w:r>
      <w:r w:rsidR="005B32FD">
        <w:rPr>
          <w:rFonts w:ascii="Arial Narrow" w:hAnsi="Arial Narrow"/>
          <w:sz w:val="15"/>
          <w:szCs w:val="15"/>
        </w:rPr>
        <w:t>περιέχον</w:t>
      </w:r>
      <w:r w:rsidR="00977E74" w:rsidRPr="00FC14E2">
        <w:rPr>
          <w:rFonts w:ascii="Arial Narrow" w:hAnsi="Arial Narrow"/>
          <w:sz w:val="15"/>
          <w:szCs w:val="15"/>
        </w:rPr>
        <w:t>ται στις πιστώσεις υπό κατανομή.</w:t>
      </w:r>
    </w:p>
    <w:p w:rsidR="0024304C" w:rsidRDefault="0024304C">
      <w:pPr>
        <w:rPr>
          <w:sz w:val="20"/>
          <w:szCs w:val="22"/>
        </w:rPr>
      </w:pPr>
    </w:p>
    <w:p w:rsidR="00FC14E2" w:rsidRDefault="00FC14E2">
      <w:pPr>
        <w:rPr>
          <w:sz w:val="20"/>
          <w:szCs w:val="22"/>
        </w:rPr>
      </w:pPr>
    </w:p>
    <w:p w:rsidR="0024304C" w:rsidRDefault="0024304C">
      <w:pPr>
        <w:rPr>
          <w:sz w:val="20"/>
          <w:szCs w:val="22"/>
        </w:rPr>
      </w:pPr>
    </w:p>
    <w:tbl>
      <w:tblPr>
        <w:tblW w:w="9064" w:type="dxa"/>
        <w:tblInd w:w="103" w:type="dxa"/>
        <w:tblLayout w:type="fixed"/>
        <w:tblCellMar>
          <w:left w:w="28" w:type="dxa"/>
          <w:right w:w="28" w:type="dxa"/>
        </w:tblCellMar>
        <w:tblLook w:val="04A0"/>
      </w:tblPr>
      <w:tblGrid>
        <w:gridCol w:w="320"/>
        <w:gridCol w:w="4992"/>
        <w:gridCol w:w="851"/>
        <w:gridCol w:w="708"/>
        <w:gridCol w:w="709"/>
        <w:gridCol w:w="776"/>
        <w:gridCol w:w="708"/>
      </w:tblGrid>
      <w:tr w:rsidR="00153229" w:rsidRPr="004F40E8" w:rsidTr="00153229">
        <w:trPr>
          <w:trHeight w:val="767"/>
        </w:trPr>
        <w:tc>
          <w:tcPr>
            <w:tcW w:w="9064" w:type="dxa"/>
            <w:gridSpan w:val="7"/>
            <w:tcBorders>
              <w:top w:val="single" w:sz="4" w:space="0" w:color="auto"/>
              <w:left w:val="single" w:sz="4" w:space="0" w:color="auto"/>
              <w:right w:val="single" w:sz="4" w:space="0" w:color="auto"/>
            </w:tcBorders>
            <w:shd w:val="clear" w:color="auto" w:fill="404040" w:themeFill="text1" w:themeFillTint="BF"/>
            <w:vAlign w:val="bottom"/>
            <w:hideMark/>
          </w:tcPr>
          <w:p w:rsidR="00153229" w:rsidRPr="00153229" w:rsidRDefault="00A07AF3" w:rsidP="008746FB">
            <w:pPr>
              <w:jc w:val="center"/>
              <w:rPr>
                <w:rFonts w:ascii="Arial Narrow" w:hAnsi="Arial Narrow"/>
                <w:b/>
                <w:bCs/>
                <w:color w:val="FFFFFF" w:themeColor="background1"/>
                <w:sz w:val="22"/>
                <w:szCs w:val="22"/>
              </w:rPr>
            </w:pPr>
            <w:bookmarkStart w:id="2" w:name="RANGE!A1:G31"/>
            <w:r>
              <w:rPr>
                <w:rFonts w:ascii="Arial Narrow" w:hAnsi="Arial Narrow"/>
                <w:b/>
                <w:bCs/>
                <w:color w:val="FFFFFF" w:themeColor="background1"/>
                <w:sz w:val="22"/>
                <w:szCs w:val="22"/>
              </w:rPr>
              <w:t>Πίνακας 3.3</w:t>
            </w:r>
            <w:r w:rsidR="00153229" w:rsidRPr="00153229">
              <w:rPr>
                <w:rFonts w:ascii="Arial Narrow" w:hAnsi="Arial Narrow"/>
                <w:b/>
                <w:bCs/>
                <w:color w:val="FFFFFF" w:themeColor="background1"/>
                <w:sz w:val="22"/>
                <w:szCs w:val="22"/>
              </w:rPr>
              <w:t xml:space="preserve"> Πρωτογενές αποτέλεσμα Γενικής Κυβέρνησης </w:t>
            </w:r>
          </w:p>
          <w:bookmarkEnd w:id="2"/>
          <w:p w:rsidR="00153229" w:rsidRPr="00153229" w:rsidRDefault="00153229" w:rsidP="00153229">
            <w:pPr>
              <w:jc w:val="center"/>
              <w:rPr>
                <w:rFonts w:ascii="Arial Narrow" w:hAnsi="Arial Narrow"/>
                <w:b/>
                <w:bCs/>
                <w:color w:val="FFFFFF" w:themeColor="background1"/>
                <w:sz w:val="22"/>
                <w:szCs w:val="22"/>
                <w:vertAlign w:val="superscript"/>
              </w:rPr>
            </w:pPr>
            <w:r w:rsidRPr="00153229">
              <w:rPr>
                <w:rFonts w:ascii="Arial Narrow" w:hAnsi="Arial Narrow"/>
                <w:b/>
                <w:bCs/>
                <w:color w:val="FFFFFF" w:themeColor="background1"/>
                <w:sz w:val="22"/>
                <w:szCs w:val="22"/>
              </w:rPr>
              <w:t>σύμφωνα με τους όρους της Ενισχυμένης Εποπτείας</w:t>
            </w:r>
            <w:r>
              <w:rPr>
                <w:rFonts w:ascii="Arial Narrow" w:hAnsi="Arial Narrow"/>
                <w:b/>
                <w:bCs/>
                <w:color w:val="FFFFFF" w:themeColor="background1"/>
                <w:sz w:val="22"/>
                <w:szCs w:val="22"/>
                <w:vertAlign w:val="superscript"/>
              </w:rPr>
              <w:t>1</w:t>
            </w:r>
          </w:p>
          <w:p w:rsidR="00153229" w:rsidRPr="004F40E8" w:rsidRDefault="00153229" w:rsidP="00153229">
            <w:pPr>
              <w:jc w:val="center"/>
              <w:rPr>
                <w:rFonts w:ascii="Arial Narrow" w:hAnsi="Arial Narrow"/>
                <w:b/>
                <w:bCs/>
                <w:sz w:val="22"/>
                <w:szCs w:val="22"/>
              </w:rPr>
            </w:pPr>
            <w:r w:rsidRPr="00153229">
              <w:rPr>
                <w:rFonts w:ascii="Arial Narrow" w:hAnsi="Arial Narrow"/>
                <w:b/>
                <w:bCs/>
                <w:color w:val="FFFFFF" w:themeColor="background1"/>
                <w:sz w:val="22"/>
                <w:szCs w:val="22"/>
              </w:rPr>
              <w:t xml:space="preserve"> (σε εκατ. ευρώ)</w:t>
            </w:r>
          </w:p>
        </w:tc>
      </w:tr>
      <w:tr w:rsidR="00153229" w:rsidRPr="004F40E8" w:rsidTr="00153229">
        <w:trPr>
          <w:trHeight w:val="227"/>
        </w:trPr>
        <w:tc>
          <w:tcPr>
            <w:tcW w:w="9064" w:type="dxa"/>
            <w:gridSpan w:val="7"/>
            <w:tcBorders>
              <w:top w:val="single" w:sz="4" w:space="0" w:color="auto"/>
              <w:left w:val="single" w:sz="4" w:space="0" w:color="auto"/>
              <w:right w:val="single" w:sz="4" w:space="0" w:color="auto"/>
            </w:tcBorders>
            <w:shd w:val="clear" w:color="000000" w:fill="FFFFFF"/>
            <w:vAlign w:val="bottom"/>
            <w:hideMark/>
          </w:tcPr>
          <w:p w:rsidR="00153229" w:rsidRPr="004F40E8" w:rsidRDefault="00153229" w:rsidP="008746FB">
            <w:pPr>
              <w:jc w:val="center"/>
              <w:rPr>
                <w:rFonts w:ascii="Arial Narrow" w:hAnsi="Arial Narrow"/>
                <w:b/>
                <w:bCs/>
                <w:sz w:val="22"/>
                <w:szCs w:val="22"/>
              </w:rPr>
            </w:pPr>
          </w:p>
        </w:tc>
      </w:tr>
      <w:tr w:rsidR="00153229" w:rsidRPr="004F40E8" w:rsidTr="008746FB">
        <w:trPr>
          <w:trHeight w:val="20"/>
        </w:trPr>
        <w:tc>
          <w:tcPr>
            <w:tcW w:w="5312"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153229" w:rsidRPr="004F40E8" w:rsidRDefault="00153229" w:rsidP="008746FB">
            <w:pPr>
              <w:jc w:val="center"/>
              <w:rPr>
                <w:rFonts w:ascii="Arial Narrow" w:hAnsi="Arial Narrow"/>
                <w:sz w:val="16"/>
                <w:szCs w:val="16"/>
              </w:rPr>
            </w:pPr>
            <w:r w:rsidRPr="004F40E8">
              <w:rPr>
                <w:rFonts w:ascii="Arial Narrow" w:hAnsi="Arial Narrow"/>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3229" w:rsidRPr="004F40E8" w:rsidRDefault="00153229" w:rsidP="008746FB">
            <w:pPr>
              <w:jc w:val="center"/>
              <w:rPr>
                <w:rFonts w:ascii="Arial Narrow" w:hAnsi="Arial Narrow"/>
                <w:b/>
                <w:bCs/>
                <w:color w:val="000000"/>
                <w:sz w:val="16"/>
                <w:szCs w:val="16"/>
              </w:rPr>
            </w:pPr>
            <w:r>
              <w:rPr>
                <w:rFonts w:ascii="Arial Narrow" w:hAnsi="Arial Narrow"/>
                <w:b/>
                <w:bCs/>
                <w:color w:val="000000"/>
                <w:sz w:val="16"/>
                <w:szCs w:val="16"/>
              </w:rPr>
              <w:t>2017</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3229" w:rsidRPr="004F40E8" w:rsidRDefault="00153229" w:rsidP="008746FB">
            <w:pPr>
              <w:jc w:val="center"/>
              <w:rPr>
                <w:rFonts w:ascii="Arial Narrow" w:hAnsi="Arial Narrow"/>
                <w:b/>
                <w:bCs/>
                <w:color w:val="000000"/>
                <w:sz w:val="16"/>
                <w:szCs w:val="16"/>
              </w:rPr>
            </w:pPr>
            <w:r w:rsidRPr="004F40E8">
              <w:rPr>
                <w:rFonts w:ascii="Arial Narrow" w:hAnsi="Arial Narrow"/>
                <w:b/>
                <w:bCs/>
                <w:color w:val="000000"/>
                <w:sz w:val="16"/>
                <w:szCs w:val="16"/>
              </w:rPr>
              <w:t>201</w:t>
            </w:r>
            <w:r>
              <w:rPr>
                <w:rFonts w:ascii="Arial Narrow" w:hAnsi="Arial Narrow"/>
                <w:b/>
                <w:bCs/>
                <w:color w:val="000000"/>
                <w:sz w:val="16"/>
                <w:szCs w:val="16"/>
              </w:rPr>
              <w:t>8</w:t>
            </w:r>
          </w:p>
        </w:tc>
        <w:tc>
          <w:tcPr>
            <w:tcW w:w="14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3229" w:rsidRPr="004F40E8" w:rsidRDefault="00153229" w:rsidP="008746FB">
            <w:pPr>
              <w:jc w:val="center"/>
              <w:rPr>
                <w:rFonts w:ascii="Arial Narrow" w:hAnsi="Arial Narrow"/>
                <w:b/>
                <w:bCs/>
                <w:sz w:val="16"/>
                <w:szCs w:val="16"/>
              </w:rPr>
            </w:pPr>
            <w:r>
              <w:rPr>
                <w:rFonts w:ascii="Arial Narrow" w:hAnsi="Arial Narrow"/>
                <w:b/>
                <w:bCs/>
                <w:sz w:val="16"/>
                <w:szCs w:val="16"/>
              </w:rPr>
              <w:t>2019</w:t>
            </w:r>
          </w:p>
        </w:tc>
      </w:tr>
      <w:tr w:rsidR="00153229" w:rsidRPr="004F40E8" w:rsidTr="008746FB">
        <w:trPr>
          <w:trHeight w:val="20"/>
        </w:trPr>
        <w:tc>
          <w:tcPr>
            <w:tcW w:w="5312" w:type="dxa"/>
            <w:gridSpan w:val="2"/>
            <w:vMerge/>
            <w:tcBorders>
              <w:top w:val="single" w:sz="4" w:space="0" w:color="auto"/>
              <w:left w:val="single" w:sz="4" w:space="0" w:color="auto"/>
              <w:bottom w:val="single" w:sz="4" w:space="0" w:color="000000"/>
              <w:right w:val="nil"/>
            </w:tcBorders>
            <w:vAlign w:val="center"/>
            <w:hideMark/>
          </w:tcPr>
          <w:p w:rsidR="00153229" w:rsidRPr="004F40E8" w:rsidRDefault="00153229" w:rsidP="008746FB">
            <w:pPr>
              <w:rPr>
                <w:rFonts w:ascii="Arial Narrow" w:hAnsi="Arial Narrow"/>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3229" w:rsidRPr="004F40E8" w:rsidRDefault="00153229" w:rsidP="008746FB">
            <w:pPr>
              <w:jc w:val="center"/>
              <w:rPr>
                <w:rFonts w:ascii="Arial Narrow" w:hAnsi="Arial Narrow"/>
                <w:b/>
                <w:bCs/>
                <w:color w:val="000000"/>
                <w:sz w:val="16"/>
                <w:szCs w:val="16"/>
              </w:rPr>
            </w:pPr>
            <w:r w:rsidRPr="004F40E8">
              <w:rPr>
                <w:rFonts w:ascii="Arial Narrow" w:hAnsi="Arial Narrow"/>
                <w:b/>
                <w:bCs/>
                <w:color w:val="000000"/>
                <w:sz w:val="16"/>
                <w:szCs w:val="16"/>
              </w:rPr>
              <w:t>Πραγμ/σεις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4F21" w:rsidRDefault="00504F21" w:rsidP="008746FB">
            <w:pPr>
              <w:jc w:val="center"/>
              <w:rPr>
                <w:rFonts w:ascii="Arial Narrow" w:hAnsi="Arial Narrow"/>
                <w:b/>
                <w:bCs/>
                <w:color w:val="000000"/>
                <w:sz w:val="16"/>
                <w:szCs w:val="16"/>
              </w:rPr>
            </w:pPr>
            <w:r w:rsidRPr="004F40E8">
              <w:rPr>
                <w:rFonts w:ascii="Arial Narrow" w:hAnsi="Arial Narrow"/>
                <w:b/>
                <w:bCs/>
                <w:sz w:val="16"/>
                <w:szCs w:val="16"/>
              </w:rPr>
              <w:t>Εκτίμηση</w:t>
            </w:r>
          </w:p>
          <w:p w:rsidR="00153229" w:rsidRPr="004F40E8" w:rsidRDefault="00153229" w:rsidP="008746FB">
            <w:pPr>
              <w:jc w:val="center"/>
              <w:rPr>
                <w:rFonts w:ascii="Arial Narrow" w:hAnsi="Arial Narrow"/>
                <w:b/>
                <w:bCs/>
                <w:color w:val="000000"/>
                <w:sz w:val="16"/>
                <w:szCs w:val="16"/>
              </w:rPr>
            </w:pPr>
            <w:r w:rsidRPr="004F40E8">
              <w:rPr>
                <w:rFonts w:ascii="Arial Narrow" w:hAnsi="Arial Narrow"/>
                <w:b/>
                <w:bCs/>
                <w:color w:val="000000"/>
                <w:sz w:val="16"/>
                <w:szCs w:val="16"/>
              </w:rPr>
              <w:t>ΜΠΔΣ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3229" w:rsidRPr="004F40E8" w:rsidRDefault="00153229" w:rsidP="008746FB">
            <w:pPr>
              <w:jc w:val="center"/>
              <w:rPr>
                <w:rFonts w:ascii="Arial Narrow" w:hAnsi="Arial Narrow"/>
                <w:b/>
                <w:bCs/>
                <w:sz w:val="16"/>
                <w:szCs w:val="16"/>
              </w:rPr>
            </w:pPr>
            <w:r w:rsidRPr="004F40E8">
              <w:rPr>
                <w:rFonts w:ascii="Arial Narrow" w:hAnsi="Arial Narrow"/>
                <w:b/>
                <w:bCs/>
                <w:sz w:val="16"/>
                <w:szCs w:val="16"/>
              </w:rPr>
              <w:t>Εκτίμηση</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4F21" w:rsidRDefault="002A58B9" w:rsidP="008746FB">
            <w:pPr>
              <w:jc w:val="center"/>
              <w:rPr>
                <w:rFonts w:ascii="Arial Narrow" w:hAnsi="Arial Narrow"/>
                <w:b/>
                <w:bCs/>
                <w:sz w:val="16"/>
                <w:szCs w:val="16"/>
              </w:rPr>
            </w:pPr>
            <w:r>
              <w:rPr>
                <w:rFonts w:ascii="Arial Narrow" w:hAnsi="Arial Narrow"/>
                <w:b/>
                <w:bCs/>
                <w:sz w:val="16"/>
                <w:szCs w:val="16"/>
              </w:rPr>
              <w:t>Πρόβλεψη</w:t>
            </w:r>
          </w:p>
          <w:p w:rsidR="00153229" w:rsidRPr="004F40E8" w:rsidRDefault="00153229" w:rsidP="008746FB">
            <w:pPr>
              <w:jc w:val="center"/>
              <w:rPr>
                <w:rFonts w:ascii="Arial Narrow" w:hAnsi="Arial Narrow"/>
                <w:b/>
                <w:bCs/>
                <w:sz w:val="16"/>
                <w:szCs w:val="16"/>
              </w:rPr>
            </w:pPr>
            <w:r w:rsidRPr="004F40E8">
              <w:rPr>
                <w:rFonts w:ascii="Arial Narrow" w:hAnsi="Arial Narrow"/>
                <w:b/>
                <w:bCs/>
                <w:sz w:val="16"/>
                <w:szCs w:val="16"/>
              </w:rPr>
              <w:t>ΜΠΔΣ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3229" w:rsidRPr="004F40E8" w:rsidRDefault="00153229" w:rsidP="008746FB">
            <w:pPr>
              <w:jc w:val="center"/>
              <w:rPr>
                <w:rFonts w:ascii="Arial Narrow" w:hAnsi="Arial Narrow"/>
                <w:b/>
                <w:bCs/>
                <w:sz w:val="16"/>
                <w:szCs w:val="16"/>
              </w:rPr>
            </w:pPr>
            <w:r w:rsidRPr="004F40E8">
              <w:rPr>
                <w:rFonts w:ascii="Arial Narrow" w:hAnsi="Arial Narrow"/>
                <w:b/>
                <w:bCs/>
                <w:sz w:val="16"/>
                <w:szCs w:val="16"/>
              </w:rPr>
              <w:t>Πρόβλεψη</w:t>
            </w:r>
          </w:p>
        </w:tc>
      </w:tr>
      <w:tr w:rsidR="00153229" w:rsidRPr="004F40E8" w:rsidTr="007111DB">
        <w:trPr>
          <w:trHeight w:val="181"/>
        </w:trPr>
        <w:tc>
          <w:tcPr>
            <w:tcW w:w="320" w:type="dxa"/>
            <w:tcBorders>
              <w:top w:val="nil"/>
              <w:left w:val="single" w:sz="4" w:space="0" w:color="auto"/>
              <w:bottom w:val="nil"/>
              <w:right w:val="nil"/>
            </w:tcBorders>
            <w:shd w:val="clear" w:color="000000" w:fill="FFFFFF"/>
            <w:hideMark/>
          </w:tcPr>
          <w:p w:rsidR="00153229" w:rsidRPr="004F40E8" w:rsidRDefault="00153229" w:rsidP="008746FB">
            <w:pPr>
              <w:jc w:val="center"/>
              <w:rPr>
                <w:rFonts w:ascii="Arial Narrow" w:hAnsi="Arial Narrow"/>
                <w:b/>
                <w:bCs/>
                <w:i/>
                <w:iCs/>
                <w:color w:val="000000"/>
                <w:sz w:val="15"/>
                <w:szCs w:val="15"/>
              </w:rPr>
            </w:pPr>
            <w:r w:rsidRPr="004F40E8">
              <w:rPr>
                <w:rFonts w:ascii="Arial Narrow" w:hAnsi="Arial Narrow"/>
                <w:b/>
                <w:bCs/>
                <w:i/>
                <w:iCs/>
                <w:color w:val="000000"/>
                <w:sz w:val="15"/>
                <w:szCs w:val="15"/>
              </w:rPr>
              <w:t> </w:t>
            </w:r>
          </w:p>
        </w:tc>
        <w:tc>
          <w:tcPr>
            <w:tcW w:w="4992" w:type="dxa"/>
            <w:tcBorders>
              <w:top w:val="nil"/>
              <w:left w:val="nil"/>
              <w:bottom w:val="nil"/>
              <w:right w:val="nil"/>
            </w:tcBorders>
            <w:shd w:val="clear" w:color="000000" w:fill="FFFFFF"/>
            <w:vAlign w:val="center"/>
            <w:hideMark/>
          </w:tcPr>
          <w:p w:rsidR="00153229" w:rsidRPr="004F40E8" w:rsidRDefault="00153229" w:rsidP="008746FB">
            <w:pPr>
              <w:jc w:val="center"/>
              <w:rPr>
                <w:rFonts w:ascii="Arial Narrow" w:hAnsi="Arial Narrow"/>
                <w:b/>
                <w:bCs/>
                <w:i/>
                <w:iCs/>
                <w:color w:val="000000"/>
                <w:sz w:val="15"/>
                <w:szCs w:val="15"/>
              </w:rPr>
            </w:pPr>
            <w:r w:rsidRPr="004F40E8">
              <w:rPr>
                <w:rFonts w:ascii="Arial Narrow" w:hAnsi="Arial Narrow"/>
                <w:b/>
                <w:bCs/>
                <w:i/>
                <w:iCs/>
                <w:color w:val="000000"/>
                <w:sz w:val="15"/>
                <w:szCs w:val="15"/>
              </w:rPr>
              <w:t> </w:t>
            </w:r>
          </w:p>
        </w:tc>
        <w:tc>
          <w:tcPr>
            <w:tcW w:w="851" w:type="dxa"/>
            <w:tcBorders>
              <w:top w:val="nil"/>
              <w:left w:val="nil"/>
              <w:bottom w:val="nil"/>
              <w:right w:val="nil"/>
            </w:tcBorders>
            <w:shd w:val="clear" w:color="000000" w:fill="FFFFFF"/>
            <w:vAlign w:val="center"/>
            <w:hideMark/>
          </w:tcPr>
          <w:p w:rsidR="00153229" w:rsidRPr="004F40E8" w:rsidRDefault="00153229" w:rsidP="008746FB">
            <w:pPr>
              <w:rPr>
                <w:rFonts w:ascii="Arial Narrow" w:hAnsi="Arial Narrow"/>
                <w:b/>
                <w:bCs/>
                <w:sz w:val="15"/>
                <w:szCs w:val="15"/>
              </w:rPr>
            </w:pPr>
            <w:r w:rsidRPr="004F40E8">
              <w:rPr>
                <w:rFonts w:ascii="Arial Narrow" w:hAnsi="Arial Narrow"/>
                <w:b/>
                <w:bCs/>
                <w:sz w:val="15"/>
                <w:szCs w:val="15"/>
              </w:rPr>
              <w:t> </w:t>
            </w:r>
          </w:p>
        </w:tc>
        <w:tc>
          <w:tcPr>
            <w:tcW w:w="708" w:type="dxa"/>
            <w:tcBorders>
              <w:top w:val="nil"/>
              <w:left w:val="nil"/>
              <w:bottom w:val="nil"/>
              <w:right w:val="nil"/>
            </w:tcBorders>
            <w:shd w:val="clear" w:color="000000" w:fill="FFFFFF"/>
            <w:vAlign w:val="center"/>
            <w:hideMark/>
          </w:tcPr>
          <w:p w:rsidR="00153229" w:rsidRPr="004F40E8" w:rsidRDefault="00153229" w:rsidP="008746FB">
            <w:pPr>
              <w:rPr>
                <w:rFonts w:ascii="Arial Narrow" w:hAnsi="Arial Narrow"/>
                <w:b/>
                <w:bCs/>
                <w:color w:val="0000FF"/>
                <w:sz w:val="15"/>
                <w:szCs w:val="15"/>
              </w:rPr>
            </w:pPr>
            <w:r w:rsidRPr="004F40E8">
              <w:rPr>
                <w:rFonts w:ascii="Arial Narrow" w:hAnsi="Arial Narrow"/>
                <w:b/>
                <w:bCs/>
                <w:color w:val="0000FF"/>
                <w:sz w:val="15"/>
                <w:szCs w:val="15"/>
              </w:rPr>
              <w:t> </w:t>
            </w:r>
          </w:p>
        </w:tc>
        <w:tc>
          <w:tcPr>
            <w:tcW w:w="709" w:type="dxa"/>
            <w:tcBorders>
              <w:top w:val="nil"/>
              <w:left w:val="nil"/>
              <w:bottom w:val="nil"/>
              <w:right w:val="nil"/>
            </w:tcBorders>
            <w:shd w:val="clear" w:color="000000" w:fill="FFFFFF"/>
            <w:vAlign w:val="center"/>
            <w:hideMark/>
          </w:tcPr>
          <w:p w:rsidR="00153229" w:rsidRPr="004F40E8" w:rsidRDefault="00153229" w:rsidP="008746FB">
            <w:pPr>
              <w:rPr>
                <w:rFonts w:ascii="Arial Narrow" w:hAnsi="Arial Narrow"/>
                <w:b/>
                <w:bCs/>
                <w:sz w:val="15"/>
                <w:szCs w:val="15"/>
              </w:rPr>
            </w:pPr>
            <w:r w:rsidRPr="004F40E8">
              <w:rPr>
                <w:rFonts w:ascii="Arial Narrow" w:hAnsi="Arial Narrow"/>
                <w:b/>
                <w:bCs/>
                <w:sz w:val="15"/>
                <w:szCs w:val="15"/>
              </w:rPr>
              <w:t> </w:t>
            </w:r>
          </w:p>
        </w:tc>
        <w:tc>
          <w:tcPr>
            <w:tcW w:w="776" w:type="dxa"/>
            <w:tcBorders>
              <w:top w:val="nil"/>
              <w:left w:val="nil"/>
              <w:bottom w:val="nil"/>
              <w:right w:val="nil"/>
            </w:tcBorders>
            <w:shd w:val="clear" w:color="000000" w:fill="FFFFFF"/>
            <w:vAlign w:val="center"/>
            <w:hideMark/>
          </w:tcPr>
          <w:p w:rsidR="00153229" w:rsidRPr="004F40E8" w:rsidRDefault="00153229" w:rsidP="008746FB">
            <w:pPr>
              <w:rPr>
                <w:rFonts w:ascii="Arial Narrow" w:hAnsi="Arial Narrow"/>
                <w:b/>
                <w:bCs/>
                <w:sz w:val="15"/>
                <w:szCs w:val="15"/>
              </w:rPr>
            </w:pPr>
            <w:r w:rsidRPr="004F40E8">
              <w:rPr>
                <w:rFonts w:ascii="Arial Narrow" w:hAnsi="Arial Narrow"/>
                <w:b/>
                <w:bCs/>
                <w:sz w:val="15"/>
                <w:szCs w:val="15"/>
              </w:rPr>
              <w:t> </w:t>
            </w:r>
          </w:p>
        </w:tc>
        <w:tc>
          <w:tcPr>
            <w:tcW w:w="708" w:type="dxa"/>
            <w:tcBorders>
              <w:top w:val="nil"/>
              <w:left w:val="nil"/>
              <w:bottom w:val="nil"/>
              <w:right w:val="single" w:sz="4" w:space="0" w:color="auto"/>
            </w:tcBorders>
            <w:shd w:val="clear" w:color="000000" w:fill="FFFFFF"/>
            <w:noWrap/>
            <w:vAlign w:val="bottom"/>
            <w:hideMark/>
          </w:tcPr>
          <w:p w:rsidR="00153229" w:rsidRPr="004F40E8" w:rsidRDefault="00153229" w:rsidP="008746FB">
            <w:pPr>
              <w:rPr>
                <w:rFonts w:ascii="Arial Narrow" w:hAnsi="Arial Narrow"/>
                <w:sz w:val="15"/>
                <w:szCs w:val="15"/>
              </w:rPr>
            </w:pPr>
            <w:r w:rsidRPr="004F40E8">
              <w:rPr>
                <w:rFonts w:ascii="Arial Narrow" w:hAnsi="Arial Narrow"/>
                <w:sz w:val="15"/>
                <w:szCs w:val="15"/>
              </w:rPr>
              <w:t> </w:t>
            </w:r>
          </w:p>
        </w:tc>
      </w:tr>
      <w:tr w:rsidR="00807265" w:rsidRPr="004F40E8" w:rsidTr="007111DB">
        <w:trPr>
          <w:trHeight w:val="181"/>
        </w:trPr>
        <w:tc>
          <w:tcPr>
            <w:tcW w:w="320" w:type="dxa"/>
            <w:tcBorders>
              <w:top w:val="nil"/>
              <w:left w:val="single" w:sz="4" w:space="0" w:color="auto"/>
              <w:bottom w:val="nil"/>
              <w:right w:val="nil"/>
            </w:tcBorders>
            <w:shd w:val="clear" w:color="auto" w:fill="D9D9D9" w:themeFill="background1" w:themeFillShade="D9"/>
            <w:hideMark/>
          </w:tcPr>
          <w:p w:rsidR="00807265" w:rsidRPr="004F40E8" w:rsidRDefault="00807265" w:rsidP="008746FB">
            <w:pPr>
              <w:jc w:val="center"/>
              <w:rPr>
                <w:rFonts w:ascii="Arial Narrow" w:hAnsi="Arial Narrow"/>
                <w:b/>
                <w:bCs/>
                <w:sz w:val="15"/>
                <w:szCs w:val="15"/>
              </w:rPr>
            </w:pPr>
            <w:r>
              <w:rPr>
                <w:rFonts w:ascii="Arial Narrow" w:hAnsi="Arial Narrow"/>
                <w:b/>
                <w:bCs/>
                <w:sz w:val="15"/>
                <w:szCs w:val="15"/>
              </w:rPr>
              <w:t>Ι</w:t>
            </w:r>
            <w:r w:rsidRPr="004F40E8">
              <w:rPr>
                <w:rFonts w:ascii="Arial Narrow" w:hAnsi="Arial Narrow"/>
                <w:b/>
                <w:bCs/>
                <w:sz w:val="15"/>
                <w:szCs w:val="15"/>
              </w:rPr>
              <w:t>.</w:t>
            </w:r>
          </w:p>
        </w:tc>
        <w:tc>
          <w:tcPr>
            <w:tcW w:w="4992" w:type="dxa"/>
            <w:tcBorders>
              <w:top w:val="nil"/>
              <w:left w:val="nil"/>
              <w:bottom w:val="nil"/>
              <w:right w:val="nil"/>
            </w:tcBorders>
            <w:shd w:val="clear" w:color="auto" w:fill="D9D9D9" w:themeFill="background1" w:themeFillShade="D9"/>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 xml:space="preserve">Πρωτογενές αποτέλεσμα Γενικής Κυβέρνησης </w:t>
            </w:r>
            <w:r>
              <w:rPr>
                <w:rFonts w:ascii="Arial Narrow" w:hAnsi="Arial Narrow"/>
                <w:b/>
                <w:bCs/>
                <w:sz w:val="15"/>
                <w:szCs w:val="15"/>
              </w:rPr>
              <w:t xml:space="preserve">κατά </w:t>
            </w:r>
            <w:r w:rsidRPr="004F40E8">
              <w:rPr>
                <w:rFonts w:ascii="Arial Narrow" w:hAnsi="Arial Narrow"/>
                <w:b/>
                <w:bCs/>
                <w:sz w:val="15"/>
                <w:szCs w:val="15"/>
              </w:rPr>
              <w:t>ESA</w:t>
            </w:r>
          </w:p>
        </w:tc>
        <w:tc>
          <w:tcPr>
            <w:tcW w:w="851" w:type="dxa"/>
            <w:tcBorders>
              <w:top w:val="nil"/>
              <w:left w:val="nil"/>
              <w:bottom w:val="nil"/>
              <w:right w:val="nil"/>
            </w:tcBorders>
            <w:shd w:val="clear" w:color="auto" w:fill="D9D9D9" w:themeFill="background1" w:themeFillShade="D9"/>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7.010</w:t>
            </w:r>
          </w:p>
        </w:tc>
        <w:tc>
          <w:tcPr>
            <w:tcW w:w="708" w:type="dxa"/>
            <w:tcBorders>
              <w:top w:val="nil"/>
              <w:left w:val="nil"/>
              <w:bottom w:val="nil"/>
              <w:right w:val="nil"/>
            </w:tcBorders>
            <w:shd w:val="clear" w:color="auto" w:fill="D9D9D9" w:themeFill="background1" w:themeFillShade="D9"/>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6.881</w:t>
            </w:r>
          </w:p>
        </w:tc>
        <w:tc>
          <w:tcPr>
            <w:tcW w:w="709" w:type="dxa"/>
            <w:tcBorders>
              <w:top w:val="nil"/>
              <w:left w:val="nil"/>
              <w:bottom w:val="nil"/>
              <w:right w:val="nil"/>
            </w:tcBorders>
            <w:shd w:val="clear" w:color="auto" w:fill="D9D9D9" w:themeFill="background1" w:themeFillShade="D9"/>
            <w:vAlign w:val="center"/>
            <w:hideMark/>
          </w:tcPr>
          <w:p w:rsidR="00807265" w:rsidRPr="00807265" w:rsidRDefault="00F62FC8" w:rsidP="00807265">
            <w:pPr>
              <w:ind w:right="170"/>
              <w:jc w:val="right"/>
              <w:rPr>
                <w:rFonts w:ascii="Arial Narrow" w:hAnsi="Arial Narrow" w:cs="Segoe UI"/>
                <w:b/>
                <w:bCs/>
                <w:sz w:val="15"/>
                <w:szCs w:val="15"/>
              </w:rPr>
            </w:pPr>
            <w:r>
              <w:rPr>
                <w:rFonts w:ascii="Arial Narrow" w:hAnsi="Arial Narrow" w:cs="Segoe UI"/>
                <w:b/>
                <w:bCs/>
                <w:sz w:val="15"/>
                <w:szCs w:val="15"/>
              </w:rPr>
              <w:t>7.57</w:t>
            </w:r>
            <w:r w:rsidR="00807265" w:rsidRPr="00807265">
              <w:rPr>
                <w:rFonts w:ascii="Arial Narrow" w:hAnsi="Arial Narrow" w:cs="Segoe UI"/>
                <w:b/>
                <w:bCs/>
                <w:sz w:val="15"/>
                <w:szCs w:val="15"/>
              </w:rPr>
              <w:t>3</w:t>
            </w:r>
          </w:p>
        </w:tc>
        <w:tc>
          <w:tcPr>
            <w:tcW w:w="776" w:type="dxa"/>
            <w:tcBorders>
              <w:top w:val="nil"/>
              <w:left w:val="nil"/>
              <w:bottom w:val="nil"/>
              <w:right w:val="nil"/>
            </w:tcBorders>
            <w:shd w:val="clear" w:color="auto" w:fill="D9D9D9" w:themeFill="background1" w:themeFillShade="D9"/>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7.797</w:t>
            </w:r>
          </w:p>
        </w:tc>
        <w:tc>
          <w:tcPr>
            <w:tcW w:w="708" w:type="dxa"/>
            <w:tcBorders>
              <w:top w:val="nil"/>
              <w:left w:val="nil"/>
              <w:bottom w:val="nil"/>
              <w:right w:val="single" w:sz="4" w:space="0" w:color="auto"/>
            </w:tcBorders>
            <w:shd w:val="clear" w:color="auto" w:fill="D9D9D9" w:themeFill="background1" w:themeFillShade="D9"/>
            <w:vAlign w:val="center"/>
            <w:hideMark/>
          </w:tcPr>
          <w:p w:rsidR="00807265" w:rsidRPr="00807265" w:rsidRDefault="00F62FC8" w:rsidP="00807265">
            <w:pPr>
              <w:ind w:right="170"/>
              <w:jc w:val="right"/>
              <w:rPr>
                <w:rFonts w:ascii="Arial Narrow" w:hAnsi="Arial Narrow" w:cs="Segoe UI"/>
                <w:b/>
                <w:bCs/>
                <w:sz w:val="15"/>
                <w:szCs w:val="15"/>
              </w:rPr>
            </w:pPr>
            <w:r>
              <w:rPr>
                <w:rFonts w:ascii="Arial Narrow" w:hAnsi="Arial Narrow" w:cs="Segoe UI"/>
                <w:b/>
                <w:bCs/>
                <w:sz w:val="15"/>
                <w:szCs w:val="15"/>
              </w:rPr>
              <w:t>7.43</w:t>
            </w:r>
            <w:r w:rsidR="00807265" w:rsidRPr="00807265">
              <w:rPr>
                <w:rFonts w:ascii="Arial Narrow" w:hAnsi="Arial Narrow" w:cs="Segoe UI"/>
                <w:b/>
                <w:bCs/>
                <w:sz w:val="15"/>
                <w:szCs w:val="15"/>
              </w:rPr>
              <w:t>4</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 </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r>
      <w:tr w:rsidR="00807265" w:rsidRPr="004F40E8" w:rsidTr="007111DB">
        <w:trPr>
          <w:trHeight w:val="181"/>
        </w:trPr>
        <w:tc>
          <w:tcPr>
            <w:tcW w:w="320" w:type="dxa"/>
            <w:tcBorders>
              <w:top w:val="nil"/>
              <w:left w:val="single" w:sz="4" w:space="0" w:color="auto"/>
              <w:bottom w:val="nil"/>
              <w:right w:val="nil"/>
            </w:tcBorders>
            <w:shd w:val="clear" w:color="000000" w:fill="D8D8D8"/>
            <w:hideMark/>
          </w:tcPr>
          <w:p w:rsidR="00807265" w:rsidRPr="004F40E8" w:rsidRDefault="00807265" w:rsidP="008746FB">
            <w:pPr>
              <w:jc w:val="center"/>
              <w:rPr>
                <w:rFonts w:ascii="Arial Narrow" w:hAnsi="Arial Narrow"/>
                <w:b/>
                <w:bCs/>
                <w:sz w:val="15"/>
                <w:szCs w:val="15"/>
              </w:rPr>
            </w:pPr>
            <w:r>
              <w:rPr>
                <w:rFonts w:ascii="Arial Narrow" w:hAnsi="Arial Narrow"/>
                <w:b/>
                <w:bCs/>
                <w:sz w:val="15"/>
                <w:szCs w:val="15"/>
              </w:rPr>
              <w:t>ΙΙ.</w:t>
            </w:r>
          </w:p>
        </w:tc>
        <w:tc>
          <w:tcPr>
            <w:tcW w:w="4992" w:type="dxa"/>
            <w:tcBorders>
              <w:top w:val="nil"/>
              <w:left w:val="nil"/>
              <w:bottom w:val="nil"/>
              <w:right w:val="nil"/>
            </w:tcBorders>
            <w:shd w:val="clear" w:color="000000" w:fill="D8D8D8"/>
            <w:vAlign w:val="center"/>
            <w:hideMark/>
          </w:tcPr>
          <w:p w:rsidR="00807265" w:rsidRPr="004F40E8" w:rsidRDefault="00807265" w:rsidP="008746FB">
            <w:pPr>
              <w:rPr>
                <w:rFonts w:ascii="Arial Narrow" w:hAnsi="Arial Narrow"/>
                <w:b/>
                <w:bCs/>
                <w:sz w:val="15"/>
                <w:szCs w:val="15"/>
              </w:rPr>
            </w:pPr>
            <w:r>
              <w:rPr>
                <w:rFonts w:ascii="Arial Narrow" w:hAnsi="Arial Narrow"/>
                <w:b/>
                <w:bCs/>
                <w:sz w:val="15"/>
                <w:szCs w:val="15"/>
              </w:rPr>
              <w:t>Προσαρμογές ενισχυμένης εποπτείας</w:t>
            </w:r>
          </w:p>
        </w:tc>
        <w:tc>
          <w:tcPr>
            <w:tcW w:w="851"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432</w:t>
            </w:r>
          </w:p>
        </w:tc>
        <w:tc>
          <w:tcPr>
            <w:tcW w:w="708"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-359</w:t>
            </w:r>
          </w:p>
        </w:tc>
        <w:tc>
          <w:tcPr>
            <w:tcW w:w="709"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-190</w:t>
            </w:r>
          </w:p>
        </w:tc>
        <w:tc>
          <w:tcPr>
            <w:tcW w:w="776"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-280</w:t>
            </w:r>
          </w:p>
        </w:tc>
        <w:tc>
          <w:tcPr>
            <w:tcW w:w="708" w:type="dxa"/>
            <w:tcBorders>
              <w:top w:val="nil"/>
              <w:left w:val="nil"/>
              <w:bottom w:val="nil"/>
              <w:right w:val="single" w:sz="4" w:space="0" w:color="auto"/>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-489</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sz w:val="15"/>
                <w:szCs w:val="15"/>
              </w:rPr>
            </w:pPr>
            <w:r w:rsidRPr="004F40E8">
              <w:rPr>
                <w:rFonts w:ascii="Arial Narrow" w:hAnsi="Arial Narrow"/>
                <w:sz w:val="15"/>
                <w:szCs w:val="15"/>
              </w:rPr>
              <w:t xml:space="preserve">Μεταφορά εσόδων από ANFA και SMP </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-345</w:t>
            </w: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-314</w:t>
            </w: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-314</w:t>
            </w: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-291</w:t>
            </w: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-291</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sz w:val="15"/>
                <w:szCs w:val="15"/>
              </w:rPr>
            </w:pPr>
            <w:r w:rsidRPr="004F40E8">
              <w:rPr>
                <w:rFonts w:ascii="Arial Narrow" w:hAnsi="Arial Narrow"/>
                <w:sz w:val="15"/>
                <w:szCs w:val="15"/>
              </w:rPr>
              <w:t>Επιστροφές εσόδων</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892</w:t>
            </w: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292</w:t>
            </w: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144</w:t>
            </w: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sz w:val="15"/>
                <w:szCs w:val="15"/>
              </w:rPr>
            </w:pPr>
            <w:r w:rsidRPr="004F40E8">
              <w:rPr>
                <w:rFonts w:ascii="Arial Narrow" w:hAnsi="Arial Narrow"/>
                <w:sz w:val="15"/>
                <w:szCs w:val="15"/>
              </w:rPr>
              <w:t>Έσοδα αποκρατικοποιήσεων</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-31</w:t>
            </w: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-380</w:t>
            </w: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-36</w:t>
            </w: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-122</w:t>
            </w: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-335</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sz w:val="15"/>
                <w:szCs w:val="15"/>
              </w:rPr>
            </w:pPr>
            <w:r w:rsidRPr="004F40E8">
              <w:rPr>
                <w:rFonts w:ascii="Arial Narrow" w:hAnsi="Arial Narrow"/>
                <w:sz w:val="15"/>
                <w:szCs w:val="15"/>
              </w:rPr>
              <w:t>Δαπάνες μεταναστευτικών ροών μη αντικρυζόμενες</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80</w:t>
            </w: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43</w:t>
            </w: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17</w:t>
            </w: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134</w:t>
            </w: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137</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sz w:val="15"/>
                <w:szCs w:val="15"/>
              </w:rPr>
            </w:pPr>
            <w:r>
              <w:rPr>
                <w:rFonts w:ascii="Arial Narrow" w:hAnsi="Arial Narrow"/>
                <w:sz w:val="15"/>
                <w:szCs w:val="15"/>
              </w:rPr>
              <w:t>Στήριξη χρηματοπιστωτικών ιδρυμάτων</w:t>
            </w:r>
            <w:r w:rsidRPr="004F40E8">
              <w:rPr>
                <w:rFonts w:ascii="Arial Narrow" w:hAnsi="Arial Narrow"/>
                <w:sz w:val="15"/>
                <w:szCs w:val="15"/>
              </w:rPr>
              <w:t> </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-165</w:t>
            </w: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 </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color w:val="000000"/>
                <w:sz w:val="15"/>
                <w:szCs w:val="15"/>
              </w:rPr>
            </w:pPr>
          </w:p>
        </w:tc>
      </w:tr>
      <w:tr w:rsidR="00807265" w:rsidRPr="004F40E8" w:rsidTr="007111DB">
        <w:trPr>
          <w:trHeight w:val="181"/>
        </w:trPr>
        <w:tc>
          <w:tcPr>
            <w:tcW w:w="320" w:type="dxa"/>
            <w:tcBorders>
              <w:top w:val="nil"/>
              <w:left w:val="single" w:sz="4" w:space="0" w:color="auto"/>
              <w:bottom w:val="nil"/>
              <w:right w:val="nil"/>
            </w:tcBorders>
            <w:shd w:val="clear" w:color="000000" w:fill="D8D8D8"/>
            <w:hideMark/>
          </w:tcPr>
          <w:p w:rsidR="00807265" w:rsidRPr="004F40E8" w:rsidRDefault="00807265" w:rsidP="008746FB">
            <w:pPr>
              <w:jc w:val="center"/>
              <w:rPr>
                <w:rFonts w:ascii="Arial Narrow" w:hAnsi="Arial Narrow"/>
                <w:b/>
                <w:bCs/>
                <w:sz w:val="15"/>
                <w:szCs w:val="15"/>
              </w:rPr>
            </w:pPr>
            <w:r>
              <w:rPr>
                <w:rFonts w:ascii="Arial Narrow" w:hAnsi="Arial Narrow"/>
                <w:b/>
                <w:bCs/>
                <w:sz w:val="15"/>
                <w:szCs w:val="15"/>
              </w:rPr>
              <w:t>ΙΙΙ.</w:t>
            </w:r>
          </w:p>
        </w:tc>
        <w:tc>
          <w:tcPr>
            <w:tcW w:w="4992" w:type="dxa"/>
            <w:tcBorders>
              <w:top w:val="nil"/>
              <w:left w:val="nil"/>
              <w:bottom w:val="nil"/>
              <w:right w:val="nil"/>
            </w:tcBorders>
            <w:shd w:val="clear" w:color="000000" w:fill="D8D8D8"/>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 xml:space="preserve">Πρωτογενές αποτέλεσμα Γενικής Κυβέρνησης σύμφωνα  με τη μεθοδολογία της </w:t>
            </w:r>
            <w:r>
              <w:rPr>
                <w:rFonts w:ascii="Arial Narrow" w:hAnsi="Arial Narrow"/>
                <w:b/>
                <w:bCs/>
                <w:sz w:val="15"/>
                <w:szCs w:val="15"/>
              </w:rPr>
              <w:t>ενισχυμένης εποπτείας (Ι + ΙΙ)</w:t>
            </w:r>
          </w:p>
        </w:tc>
        <w:tc>
          <w:tcPr>
            <w:tcW w:w="851"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7.442</w:t>
            </w:r>
          </w:p>
        </w:tc>
        <w:tc>
          <w:tcPr>
            <w:tcW w:w="708"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6.521</w:t>
            </w:r>
          </w:p>
        </w:tc>
        <w:tc>
          <w:tcPr>
            <w:tcW w:w="709"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7.</w:t>
            </w:r>
            <w:r w:rsidR="00F62FC8">
              <w:rPr>
                <w:rFonts w:ascii="Arial Narrow" w:hAnsi="Arial Narrow" w:cs="Segoe UI"/>
                <w:b/>
                <w:bCs/>
                <w:sz w:val="15"/>
                <w:szCs w:val="15"/>
              </w:rPr>
              <w:t>383</w:t>
            </w:r>
          </w:p>
        </w:tc>
        <w:tc>
          <w:tcPr>
            <w:tcW w:w="776"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7.517</w:t>
            </w:r>
          </w:p>
        </w:tc>
        <w:tc>
          <w:tcPr>
            <w:tcW w:w="708" w:type="dxa"/>
            <w:tcBorders>
              <w:top w:val="nil"/>
              <w:left w:val="nil"/>
              <w:bottom w:val="nil"/>
              <w:right w:val="single" w:sz="4" w:space="0" w:color="auto"/>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6.9</w:t>
            </w:r>
            <w:r w:rsidR="00F62FC8">
              <w:rPr>
                <w:rFonts w:ascii="Arial Narrow" w:hAnsi="Arial Narrow" w:cs="Segoe UI"/>
                <w:b/>
                <w:bCs/>
                <w:sz w:val="15"/>
                <w:szCs w:val="15"/>
              </w:rPr>
              <w:t>45</w:t>
            </w:r>
          </w:p>
        </w:tc>
      </w:tr>
      <w:tr w:rsidR="00807265" w:rsidRPr="004F40E8" w:rsidTr="007111DB">
        <w:trPr>
          <w:trHeight w:val="181"/>
        </w:trPr>
        <w:tc>
          <w:tcPr>
            <w:tcW w:w="320" w:type="dxa"/>
            <w:tcBorders>
              <w:top w:val="nil"/>
              <w:left w:val="single" w:sz="4" w:space="0" w:color="auto"/>
              <w:bottom w:val="nil"/>
              <w:right w:val="nil"/>
            </w:tcBorders>
            <w:shd w:val="clear" w:color="000000" w:fill="D8D8D8"/>
            <w:hideMark/>
          </w:tcPr>
          <w:p w:rsidR="00807265" w:rsidRPr="004F40E8" w:rsidRDefault="00807265" w:rsidP="008746FB">
            <w:pPr>
              <w:jc w:val="center"/>
              <w:rPr>
                <w:rFonts w:ascii="Arial Narrow" w:hAnsi="Arial Narrow"/>
                <w:b/>
                <w:bCs/>
                <w:sz w:val="15"/>
                <w:szCs w:val="15"/>
              </w:rPr>
            </w:pPr>
          </w:p>
        </w:tc>
        <w:tc>
          <w:tcPr>
            <w:tcW w:w="4992" w:type="dxa"/>
            <w:tcBorders>
              <w:top w:val="nil"/>
              <w:left w:val="nil"/>
              <w:bottom w:val="nil"/>
              <w:right w:val="nil"/>
            </w:tcBorders>
            <w:shd w:val="clear" w:color="000000" w:fill="D8D8D8"/>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4,13%</w:t>
            </w:r>
          </w:p>
        </w:tc>
        <w:tc>
          <w:tcPr>
            <w:tcW w:w="708"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3,56%</w:t>
            </w:r>
          </w:p>
        </w:tc>
        <w:tc>
          <w:tcPr>
            <w:tcW w:w="709" w:type="dxa"/>
            <w:tcBorders>
              <w:top w:val="nil"/>
              <w:left w:val="nil"/>
              <w:bottom w:val="nil"/>
              <w:right w:val="nil"/>
            </w:tcBorders>
            <w:shd w:val="clear" w:color="000000" w:fill="D8D8D8"/>
            <w:vAlign w:val="center"/>
            <w:hideMark/>
          </w:tcPr>
          <w:p w:rsidR="00807265" w:rsidRPr="00807265" w:rsidRDefault="004341F2" w:rsidP="00807265">
            <w:pPr>
              <w:ind w:right="170"/>
              <w:jc w:val="right"/>
              <w:rPr>
                <w:rFonts w:ascii="Arial Narrow" w:hAnsi="Arial Narrow" w:cs="Segoe UI"/>
                <w:b/>
                <w:bCs/>
                <w:sz w:val="15"/>
                <w:szCs w:val="15"/>
              </w:rPr>
            </w:pPr>
            <w:r>
              <w:rPr>
                <w:rFonts w:ascii="Arial Narrow" w:hAnsi="Arial Narrow" w:cs="Segoe UI"/>
                <w:b/>
                <w:bCs/>
                <w:sz w:val="15"/>
                <w:szCs w:val="15"/>
              </w:rPr>
              <w:t>3,98</w:t>
            </w:r>
            <w:r w:rsidR="00807265" w:rsidRPr="00807265">
              <w:rPr>
                <w:rFonts w:ascii="Arial Narrow" w:hAnsi="Arial Narrow" w:cs="Segoe UI"/>
                <w:b/>
                <w:bCs/>
                <w:sz w:val="15"/>
                <w:szCs w:val="15"/>
              </w:rPr>
              <w:t>%</w:t>
            </w:r>
          </w:p>
        </w:tc>
        <w:tc>
          <w:tcPr>
            <w:tcW w:w="776"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3,96%</w:t>
            </w:r>
          </w:p>
        </w:tc>
        <w:tc>
          <w:tcPr>
            <w:tcW w:w="708" w:type="dxa"/>
            <w:tcBorders>
              <w:top w:val="nil"/>
              <w:left w:val="nil"/>
              <w:bottom w:val="nil"/>
              <w:right w:val="single" w:sz="4" w:space="0" w:color="auto"/>
            </w:tcBorders>
            <w:shd w:val="clear" w:color="000000" w:fill="D8D8D8"/>
            <w:vAlign w:val="center"/>
            <w:hideMark/>
          </w:tcPr>
          <w:p w:rsidR="00807265" w:rsidRPr="00807265" w:rsidRDefault="004341F2" w:rsidP="00807265">
            <w:pPr>
              <w:ind w:right="170"/>
              <w:jc w:val="right"/>
              <w:rPr>
                <w:rFonts w:ascii="Arial Narrow" w:hAnsi="Arial Narrow" w:cs="Segoe UI"/>
                <w:b/>
                <w:bCs/>
                <w:sz w:val="15"/>
                <w:szCs w:val="15"/>
              </w:rPr>
            </w:pPr>
            <w:r>
              <w:rPr>
                <w:rFonts w:ascii="Arial Narrow" w:hAnsi="Arial Narrow" w:cs="Segoe UI"/>
                <w:b/>
                <w:bCs/>
                <w:sz w:val="15"/>
                <w:szCs w:val="15"/>
              </w:rPr>
              <w:t>3,60</w:t>
            </w:r>
            <w:r w:rsidR="00807265" w:rsidRPr="00807265">
              <w:rPr>
                <w:rFonts w:ascii="Arial Narrow" w:hAnsi="Arial Narrow" w:cs="Segoe UI"/>
                <w:b/>
                <w:bCs/>
                <w:sz w:val="15"/>
                <w:szCs w:val="15"/>
              </w:rPr>
              <w:t>%</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sz w:val="15"/>
                <w:szCs w:val="15"/>
              </w:rPr>
            </w:pPr>
            <w:r w:rsidRPr="004F40E8">
              <w:rPr>
                <w:rFonts w:ascii="Arial Narrow" w:hAnsi="Arial Narrow"/>
                <w:sz w:val="15"/>
                <w:szCs w:val="15"/>
              </w:rPr>
              <w:t> </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r>
      <w:tr w:rsidR="00807265" w:rsidRPr="004F40E8" w:rsidTr="007111DB">
        <w:trPr>
          <w:trHeight w:val="181"/>
        </w:trPr>
        <w:tc>
          <w:tcPr>
            <w:tcW w:w="320" w:type="dxa"/>
            <w:tcBorders>
              <w:top w:val="nil"/>
              <w:left w:val="single" w:sz="4" w:space="0" w:color="auto"/>
              <w:bottom w:val="nil"/>
              <w:right w:val="nil"/>
            </w:tcBorders>
            <w:shd w:val="clear" w:color="000000" w:fill="D8D8D8"/>
            <w:hideMark/>
          </w:tcPr>
          <w:p w:rsidR="00807265" w:rsidRPr="004F40E8" w:rsidRDefault="00807265" w:rsidP="008746FB">
            <w:pPr>
              <w:jc w:val="center"/>
              <w:rPr>
                <w:rFonts w:ascii="Arial Narrow" w:hAnsi="Arial Narrow"/>
                <w:b/>
                <w:bCs/>
                <w:sz w:val="15"/>
                <w:szCs w:val="15"/>
              </w:rPr>
            </w:pPr>
            <w:r>
              <w:rPr>
                <w:rFonts w:ascii="Arial Narrow" w:hAnsi="Arial Narrow"/>
                <w:b/>
                <w:bCs/>
                <w:sz w:val="15"/>
                <w:szCs w:val="15"/>
                <w:lang w:val="en-GB"/>
              </w:rPr>
              <w:t>IV</w:t>
            </w:r>
            <w:r w:rsidRPr="004F40E8">
              <w:rPr>
                <w:rFonts w:ascii="Arial Narrow" w:hAnsi="Arial Narrow"/>
                <w:b/>
                <w:bCs/>
                <w:sz w:val="15"/>
                <w:szCs w:val="15"/>
              </w:rPr>
              <w:t>.</w:t>
            </w:r>
          </w:p>
        </w:tc>
        <w:tc>
          <w:tcPr>
            <w:tcW w:w="4992" w:type="dxa"/>
            <w:tcBorders>
              <w:top w:val="nil"/>
              <w:left w:val="nil"/>
              <w:bottom w:val="nil"/>
              <w:right w:val="nil"/>
            </w:tcBorders>
            <w:shd w:val="clear" w:color="000000" w:fill="D8D8D8"/>
            <w:vAlign w:val="center"/>
            <w:hideMark/>
          </w:tcPr>
          <w:p w:rsidR="00807265" w:rsidRPr="00CD5C1E" w:rsidRDefault="00807265" w:rsidP="008746FB">
            <w:pPr>
              <w:rPr>
                <w:rFonts w:ascii="Arial Narrow" w:hAnsi="Arial Narrow"/>
                <w:b/>
                <w:bCs/>
                <w:sz w:val="15"/>
                <w:szCs w:val="15"/>
              </w:rPr>
            </w:pPr>
            <w:r w:rsidRPr="004F40E8">
              <w:rPr>
                <w:rFonts w:ascii="Arial Narrow" w:hAnsi="Arial Narrow"/>
                <w:b/>
                <w:bCs/>
                <w:sz w:val="15"/>
                <w:szCs w:val="15"/>
              </w:rPr>
              <w:t xml:space="preserve">Στόχος </w:t>
            </w:r>
            <w:r>
              <w:rPr>
                <w:rFonts w:ascii="Arial Narrow" w:hAnsi="Arial Narrow"/>
                <w:b/>
                <w:bCs/>
                <w:sz w:val="15"/>
                <w:szCs w:val="15"/>
              </w:rPr>
              <w:t>ενισχυμένης εποπτείας</w:t>
            </w:r>
          </w:p>
        </w:tc>
        <w:tc>
          <w:tcPr>
            <w:tcW w:w="851"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3.154</w:t>
            </w:r>
          </w:p>
        </w:tc>
        <w:tc>
          <w:tcPr>
            <w:tcW w:w="708"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6.404</w:t>
            </w:r>
          </w:p>
        </w:tc>
        <w:tc>
          <w:tcPr>
            <w:tcW w:w="709"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6.498</w:t>
            </w:r>
          </w:p>
        </w:tc>
        <w:tc>
          <w:tcPr>
            <w:tcW w:w="776"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6.641</w:t>
            </w:r>
          </w:p>
        </w:tc>
        <w:tc>
          <w:tcPr>
            <w:tcW w:w="708" w:type="dxa"/>
            <w:tcBorders>
              <w:top w:val="nil"/>
              <w:left w:val="nil"/>
              <w:bottom w:val="nil"/>
              <w:right w:val="single" w:sz="4" w:space="0" w:color="auto"/>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6.746</w:t>
            </w:r>
          </w:p>
        </w:tc>
      </w:tr>
      <w:tr w:rsidR="00807265" w:rsidRPr="004F40E8" w:rsidTr="007111DB">
        <w:trPr>
          <w:trHeight w:val="181"/>
        </w:trPr>
        <w:tc>
          <w:tcPr>
            <w:tcW w:w="320" w:type="dxa"/>
            <w:tcBorders>
              <w:top w:val="nil"/>
              <w:left w:val="single" w:sz="4" w:space="0" w:color="auto"/>
              <w:bottom w:val="nil"/>
              <w:right w:val="nil"/>
            </w:tcBorders>
            <w:shd w:val="clear" w:color="000000" w:fill="D8D8D8"/>
            <w:hideMark/>
          </w:tcPr>
          <w:p w:rsidR="00807265" w:rsidRPr="004F40E8" w:rsidRDefault="00807265" w:rsidP="008746FB">
            <w:pPr>
              <w:jc w:val="center"/>
              <w:rPr>
                <w:rFonts w:ascii="Arial Narrow" w:hAnsi="Arial Narrow"/>
                <w:b/>
                <w:bCs/>
                <w:sz w:val="15"/>
                <w:szCs w:val="15"/>
              </w:rPr>
            </w:pPr>
          </w:p>
        </w:tc>
        <w:tc>
          <w:tcPr>
            <w:tcW w:w="4992" w:type="dxa"/>
            <w:tcBorders>
              <w:top w:val="nil"/>
              <w:left w:val="nil"/>
              <w:bottom w:val="nil"/>
              <w:right w:val="nil"/>
            </w:tcBorders>
            <w:shd w:val="clear" w:color="000000" w:fill="D8D8D8"/>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1,75%</w:t>
            </w:r>
          </w:p>
        </w:tc>
        <w:tc>
          <w:tcPr>
            <w:tcW w:w="708"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3,50%</w:t>
            </w:r>
          </w:p>
        </w:tc>
        <w:tc>
          <w:tcPr>
            <w:tcW w:w="709"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3,50%</w:t>
            </w:r>
          </w:p>
        </w:tc>
        <w:tc>
          <w:tcPr>
            <w:tcW w:w="776"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3,50%</w:t>
            </w:r>
          </w:p>
        </w:tc>
        <w:tc>
          <w:tcPr>
            <w:tcW w:w="708" w:type="dxa"/>
            <w:tcBorders>
              <w:top w:val="nil"/>
              <w:left w:val="nil"/>
              <w:bottom w:val="nil"/>
              <w:right w:val="single" w:sz="4" w:space="0" w:color="auto"/>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3,50%</w:t>
            </w:r>
          </w:p>
        </w:tc>
      </w:tr>
      <w:tr w:rsidR="00807265" w:rsidRPr="004F40E8" w:rsidTr="007111DB">
        <w:trPr>
          <w:trHeight w:val="181"/>
        </w:trPr>
        <w:tc>
          <w:tcPr>
            <w:tcW w:w="320" w:type="dxa"/>
            <w:tcBorders>
              <w:top w:val="nil"/>
              <w:left w:val="single" w:sz="4" w:space="0" w:color="auto"/>
              <w:bottom w:val="nil"/>
              <w:right w:val="nil"/>
            </w:tcBorders>
            <w:shd w:val="clear" w:color="000000" w:fill="FFFFFF"/>
            <w:hideMark/>
          </w:tcPr>
          <w:p w:rsidR="00807265" w:rsidRPr="004F40E8" w:rsidRDefault="00807265" w:rsidP="008746FB">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807265" w:rsidRPr="004F40E8" w:rsidRDefault="00807265" w:rsidP="008746FB">
            <w:pPr>
              <w:rPr>
                <w:rFonts w:ascii="Arial Narrow" w:hAnsi="Arial Narrow"/>
                <w:sz w:val="15"/>
                <w:szCs w:val="15"/>
              </w:rPr>
            </w:pPr>
            <w:r w:rsidRPr="004F40E8">
              <w:rPr>
                <w:rFonts w:ascii="Arial Narrow" w:hAnsi="Arial Narrow"/>
                <w:sz w:val="15"/>
                <w:szCs w:val="15"/>
              </w:rPr>
              <w:t> </w:t>
            </w:r>
          </w:p>
        </w:tc>
        <w:tc>
          <w:tcPr>
            <w:tcW w:w="851"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8"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9"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76" w:type="dxa"/>
            <w:tcBorders>
              <w:top w:val="nil"/>
              <w:left w:val="nil"/>
              <w:bottom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8" w:type="dxa"/>
            <w:tcBorders>
              <w:top w:val="nil"/>
              <w:left w:val="nil"/>
              <w:bottom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r>
      <w:tr w:rsidR="00807265" w:rsidRPr="004F40E8" w:rsidTr="007111DB">
        <w:trPr>
          <w:trHeight w:val="181"/>
        </w:trPr>
        <w:tc>
          <w:tcPr>
            <w:tcW w:w="320" w:type="dxa"/>
            <w:tcBorders>
              <w:top w:val="nil"/>
              <w:left w:val="single" w:sz="4" w:space="0" w:color="auto"/>
              <w:bottom w:val="nil"/>
              <w:right w:val="nil"/>
            </w:tcBorders>
            <w:shd w:val="clear" w:color="000000" w:fill="D8D8D8"/>
            <w:hideMark/>
          </w:tcPr>
          <w:p w:rsidR="00807265" w:rsidRPr="004F40E8" w:rsidRDefault="00807265" w:rsidP="008746FB">
            <w:pPr>
              <w:jc w:val="center"/>
              <w:rPr>
                <w:rFonts w:ascii="Arial Narrow" w:hAnsi="Arial Narrow"/>
                <w:b/>
                <w:bCs/>
                <w:sz w:val="15"/>
                <w:szCs w:val="15"/>
              </w:rPr>
            </w:pPr>
            <w:r>
              <w:rPr>
                <w:rFonts w:ascii="Arial Narrow" w:hAnsi="Arial Narrow"/>
                <w:b/>
                <w:bCs/>
                <w:sz w:val="15"/>
                <w:szCs w:val="15"/>
                <w:lang w:val="en-GB"/>
              </w:rPr>
              <w:t>V</w:t>
            </w:r>
            <w:r w:rsidRPr="004F40E8">
              <w:rPr>
                <w:rFonts w:ascii="Arial Narrow" w:hAnsi="Arial Narrow"/>
                <w:b/>
                <w:bCs/>
                <w:sz w:val="15"/>
                <w:szCs w:val="15"/>
              </w:rPr>
              <w:t>.</w:t>
            </w:r>
          </w:p>
        </w:tc>
        <w:tc>
          <w:tcPr>
            <w:tcW w:w="4992" w:type="dxa"/>
            <w:tcBorders>
              <w:top w:val="nil"/>
              <w:left w:val="nil"/>
              <w:bottom w:val="nil"/>
              <w:right w:val="nil"/>
            </w:tcBorders>
            <w:shd w:val="clear" w:color="000000" w:fill="D8D8D8"/>
            <w:vAlign w:val="center"/>
            <w:hideMark/>
          </w:tcPr>
          <w:p w:rsidR="00807265" w:rsidRPr="00CD5C1E" w:rsidRDefault="00807265" w:rsidP="008746FB">
            <w:pPr>
              <w:rPr>
                <w:rFonts w:ascii="Arial Narrow" w:hAnsi="Arial Narrow"/>
                <w:b/>
                <w:bCs/>
                <w:sz w:val="15"/>
                <w:szCs w:val="15"/>
              </w:rPr>
            </w:pPr>
            <w:r w:rsidRPr="004F40E8">
              <w:rPr>
                <w:rFonts w:ascii="Arial Narrow" w:hAnsi="Arial Narrow"/>
                <w:b/>
                <w:bCs/>
                <w:sz w:val="15"/>
                <w:szCs w:val="15"/>
              </w:rPr>
              <w:t xml:space="preserve">Δημοσιονομικό Πλεόνασμα (+) ή Κενό (-) </w:t>
            </w:r>
            <w:r>
              <w:rPr>
                <w:rFonts w:ascii="Arial Narrow" w:hAnsi="Arial Narrow"/>
                <w:b/>
                <w:bCs/>
                <w:sz w:val="15"/>
                <w:szCs w:val="15"/>
              </w:rPr>
              <w:t>σύμφωνα με τη μεθοδολογία της ενισχ</w:t>
            </w:r>
            <w:r>
              <w:rPr>
                <w:rFonts w:ascii="Arial Narrow" w:hAnsi="Arial Narrow"/>
                <w:b/>
                <w:bCs/>
                <w:sz w:val="15"/>
                <w:szCs w:val="15"/>
              </w:rPr>
              <w:t>υ</w:t>
            </w:r>
            <w:r>
              <w:rPr>
                <w:rFonts w:ascii="Arial Narrow" w:hAnsi="Arial Narrow"/>
                <w:b/>
                <w:bCs/>
                <w:sz w:val="15"/>
                <w:szCs w:val="15"/>
              </w:rPr>
              <w:t>μένης εποπτείας (</w:t>
            </w:r>
            <w:r>
              <w:rPr>
                <w:rFonts w:ascii="Arial Narrow" w:hAnsi="Arial Narrow"/>
                <w:b/>
                <w:bCs/>
                <w:sz w:val="15"/>
                <w:szCs w:val="15"/>
                <w:lang w:val="en-GB"/>
              </w:rPr>
              <w:t>III</w:t>
            </w:r>
            <w:r w:rsidRPr="00CD5C1E">
              <w:rPr>
                <w:rFonts w:ascii="Arial Narrow" w:hAnsi="Arial Narrow"/>
                <w:b/>
                <w:bCs/>
                <w:sz w:val="15"/>
                <w:szCs w:val="15"/>
              </w:rPr>
              <w:t>-</w:t>
            </w:r>
            <w:r>
              <w:rPr>
                <w:rFonts w:ascii="Arial Narrow" w:hAnsi="Arial Narrow"/>
                <w:b/>
                <w:bCs/>
                <w:sz w:val="15"/>
                <w:szCs w:val="15"/>
                <w:lang w:val="en-GB"/>
              </w:rPr>
              <w:t>IV</w:t>
            </w:r>
            <w:r w:rsidRPr="00CD5C1E">
              <w:rPr>
                <w:rFonts w:ascii="Arial Narrow" w:hAnsi="Arial Narrow"/>
                <w:b/>
                <w:bCs/>
                <w:sz w:val="15"/>
                <w:szCs w:val="15"/>
              </w:rPr>
              <w:t>)</w:t>
            </w:r>
          </w:p>
        </w:tc>
        <w:tc>
          <w:tcPr>
            <w:tcW w:w="851"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4.288</w:t>
            </w:r>
          </w:p>
        </w:tc>
        <w:tc>
          <w:tcPr>
            <w:tcW w:w="708"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118</w:t>
            </w:r>
          </w:p>
        </w:tc>
        <w:tc>
          <w:tcPr>
            <w:tcW w:w="709" w:type="dxa"/>
            <w:tcBorders>
              <w:top w:val="nil"/>
              <w:left w:val="nil"/>
              <w:bottom w:val="nil"/>
              <w:right w:val="nil"/>
            </w:tcBorders>
            <w:shd w:val="clear" w:color="000000" w:fill="D8D8D8"/>
            <w:vAlign w:val="center"/>
            <w:hideMark/>
          </w:tcPr>
          <w:p w:rsidR="00807265" w:rsidRPr="00807265" w:rsidRDefault="004341F2" w:rsidP="00807265">
            <w:pPr>
              <w:ind w:right="170"/>
              <w:jc w:val="right"/>
              <w:rPr>
                <w:rFonts w:ascii="Arial Narrow" w:hAnsi="Arial Narrow" w:cs="Segoe UI"/>
                <w:b/>
                <w:bCs/>
                <w:sz w:val="15"/>
                <w:szCs w:val="15"/>
              </w:rPr>
            </w:pPr>
            <w:r>
              <w:rPr>
                <w:rFonts w:ascii="Arial Narrow" w:hAnsi="Arial Narrow" w:cs="Segoe UI"/>
                <w:b/>
                <w:bCs/>
                <w:sz w:val="15"/>
                <w:szCs w:val="15"/>
              </w:rPr>
              <w:t>8</w:t>
            </w:r>
            <w:r w:rsidR="00807265" w:rsidRPr="00807265">
              <w:rPr>
                <w:rFonts w:ascii="Arial Narrow" w:hAnsi="Arial Narrow" w:cs="Segoe UI"/>
                <w:b/>
                <w:bCs/>
                <w:sz w:val="15"/>
                <w:szCs w:val="15"/>
              </w:rPr>
              <w:t>85</w:t>
            </w:r>
          </w:p>
        </w:tc>
        <w:tc>
          <w:tcPr>
            <w:tcW w:w="776" w:type="dxa"/>
            <w:tcBorders>
              <w:top w:val="nil"/>
              <w:left w:val="nil"/>
              <w:bottom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876</w:t>
            </w:r>
          </w:p>
        </w:tc>
        <w:tc>
          <w:tcPr>
            <w:tcW w:w="708" w:type="dxa"/>
            <w:tcBorders>
              <w:top w:val="nil"/>
              <w:left w:val="nil"/>
              <w:bottom w:val="nil"/>
              <w:right w:val="single" w:sz="4" w:space="0" w:color="auto"/>
            </w:tcBorders>
            <w:shd w:val="clear" w:color="000000" w:fill="D8D8D8"/>
            <w:vAlign w:val="center"/>
            <w:hideMark/>
          </w:tcPr>
          <w:p w:rsidR="00807265" w:rsidRPr="00807265" w:rsidRDefault="004341F2" w:rsidP="00807265">
            <w:pPr>
              <w:ind w:right="170"/>
              <w:jc w:val="right"/>
              <w:rPr>
                <w:rFonts w:ascii="Arial Narrow" w:hAnsi="Arial Narrow" w:cs="Segoe UI"/>
                <w:b/>
                <w:bCs/>
                <w:sz w:val="15"/>
                <w:szCs w:val="15"/>
              </w:rPr>
            </w:pPr>
            <w:r>
              <w:rPr>
                <w:rFonts w:ascii="Arial Narrow" w:hAnsi="Arial Narrow" w:cs="Segoe UI"/>
                <w:b/>
                <w:bCs/>
                <w:sz w:val="15"/>
                <w:szCs w:val="15"/>
              </w:rPr>
              <w:t>19</w:t>
            </w:r>
            <w:r w:rsidR="00807265" w:rsidRPr="00807265">
              <w:rPr>
                <w:rFonts w:ascii="Arial Narrow" w:hAnsi="Arial Narrow" w:cs="Segoe UI"/>
                <w:b/>
                <w:bCs/>
                <w:sz w:val="15"/>
                <w:szCs w:val="15"/>
              </w:rPr>
              <w:t>9</w:t>
            </w:r>
          </w:p>
        </w:tc>
      </w:tr>
      <w:tr w:rsidR="00807265" w:rsidRPr="004F40E8" w:rsidTr="007111DB">
        <w:trPr>
          <w:trHeight w:val="181"/>
        </w:trPr>
        <w:tc>
          <w:tcPr>
            <w:tcW w:w="320" w:type="dxa"/>
            <w:tcBorders>
              <w:top w:val="nil"/>
              <w:left w:val="single" w:sz="4" w:space="0" w:color="auto"/>
              <w:right w:val="nil"/>
            </w:tcBorders>
            <w:shd w:val="clear" w:color="000000" w:fill="D8D8D8"/>
            <w:hideMark/>
          </w:tcPr>
          <w:p w:rsidR="00807265" w:rsidRPr="004F40E8" w:rsidRDefault="00807265" w:rsidP="008746FB">
            <w:pPr>
              <w:jc w:val="center"/>
              <w:rPr>
                <w:rFonts w:ascii="Arial Narrow" w:hAnsi="Arial Narrow"/>
                <w:b/>
                <w:bCs/>
                <w:sz w:val="15"/>
                <w:szCs w:val="15"/>
              </w:rPr>
            </w:pPr>
          </w:p>
        </w:tc>
        <w:tc>
          <w:tcPr>
            <w:tcW w:w="4992" w:type="dxa"/>
            <w:tcBorders>
              <w:top w:val="nil"/>
              <w:left w:val="nil"/>
              <w:right w:val="nil"/>
            </w:tcBorders>
            <w:shd w:val="clear" w:color="000000" w:fill="D8D8D8"/>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2,38%</w:t>
            </w:r>
          </w:p>
        </w:tc>
        <w:tc>
          <w:tcPr>
            <w:tcW w:w="708" w:type="dxa"/>
            <w:tcBorders>
              <w:top w:val="nil"/>
              <w:left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0,06%</w:t>
            </w:r>
          </w:p>
        </w:tc>
        <w:tc>
          <w:tcPr>
            <w:tcW w:w="709" w:type="dxa"/>
            <w:tcBorders>
              <w:top w:val="nil"/>
              <w:left w:val="nil"/>
              <w:right w:val="nil"/>
            </w:tcBorders>
            <w:shd w:val="clear" w:color="000000" w:fill="D8D8D8"/>
            <w:vAlign w:val="center"/>
            <w:hideMark/>
          </w:tcPr>
          <w:p w:rsidR="00807265" w:rsidRPr="00807265" w:rsidRDefault="004341F2" w:rsidP="00807265">
            <w:pPr>
              <w:ind w:right="170"/>
              <w:jc w:val="right"/>
              <w:rPr>
                <w:rFonts w:ascii="Arial Narrow" w:hAnsi="Arial Narrow" w:cs="Segoe UI"/>
                <w:b/>
                <w:bCs/>
                <w:sz w:val="15"/>
                <w:szCs w:val="15"/>
              </w:rPr>
            </w:pPr>
            <w:r>
              <w:rPr>
                <w:rFonts w:ascii="Arial Narrow" w:hAnsi="Arial Narrow" w:cs="Segoe UI"/>
                <w:b/>
                <w:bCs/>
                <w:sz w:val="15"/>
                <w:szCs w:val="15"/>
              </w:rPr>
              <w:t>0,48</w:t>
            </w:r>
            <w:r w:rsidR="00807265" w:rsidRPr="00807265">
              <w:rPr>
                <w:rFonts w:ascii="Arial Narrow" w:hAnsi="Arial Narrow" w:cs="Segoe UI"/>
                <w:b/>
                <w:bCs/>
                <w:sz w:val="15"/>
                <w:szCs w:val="15"/>
              </w:rPr>
              <w:t>%</w:t>
            </w:r>
          </w:p>
        </w:tc>
        <w:tc>
          <w:tcPr>
            <w:tcW w:w="776" w:type="dxa"/>
            <w:tcBorders>
              <w:top w:val="nil"/>
              <w:left w:val="nil"/>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0,46%</w:t>
            </w:r>
          </w:p>
        </w:tc>
        <w:tc>
          <w:tcPr>
            <w:tcW w:w="708" w:type="dxa"/>
            <w:tcBorders>
              <w:top w:val="nil"/>
              <w:left w:val="nil"/>
              <w:right w:val="single" w:sz="4" w:space="0" w:color="auto"/>
            </w:tcBorders>
            <w:shd w:val="clear" w:color="000000" w:fill="D8D8D8"/>
            <w:vAlign w:val="center"/>
            <w:hideMark/>
          </w:tcPr>
          <w:p w:rsidR="00807265" w:rsidRPr="00807265" w:rsidRDefault="004341F2" w:rsidP="00807265">
            <w:pPr>
              <w:ind w:right="170"/>
              <w:jc w:val="right"/>
              <w:rPr>
                <w:rFonts w:ascii="Arial Narrow" w:hAnsi="Arial Narrow" w:cs="Segoe UI"/>
                <w:b/>
                <w:bCs/>
                <w:sz w:val="15"/>
                <w:szCs w:val="15"/>
              </w:rPr>
            </w:pPr>
            <w:r>
              <w:rPr>
                <w:rFonts w:ascii="Arial Narrow" w:hAnsi="Arial Narrow" w:cs="Segoe UI"/>
                <w:b/>
                <w:bCs/>
                <w:sz w:val="15"/>
                <w:szCs w:val="15"/>
              </w:rPr>
              <w:t>0,10</w:t>
            </w:r>
            <w:r w:rsidR="00807265" w:rsidRPr="00807265">
              <w:rPr>
                <w:rFonts w:ascii="Arial Narrow" w:hAnsi="Arial Narrow" w:cs="Segoe UI"/>
                <w:b/>
                <w:bCs/>
                <w:sz w:val="15"/>
                <w:szCs w:val="15"/>
              </w:rPr>
              <w:t>%</w:t>
            </w:r>
          </w:p>
        </w:tc>
      </w:tr>
      <w:tr w:rsidR="00807265" w:rsidRPr="004F40E8" w:rsidTr="007111DB">
        <w:trPr>
          <w:trHeight w:val="181"/>
        </w:trPr>
        <w:tc>
          <w:tcPr>
            <w:tcW w:w="320" w:type="dxa"/>
            <w:tcBorders>
              <w:top w:val="nil"/>
              <w:left w:val="single" w:sz="4" w:space="0" w:color="auto"/>
              <w:right w:val="nil"/>
            </w:tcBorders>
            <w:shd w:val="clear" w:color="000000" w:fill="FFFFFF"/>
            <w:vAlign w:val="center"/>
            <w:hideMark/>
          </w:tcPr>
          <w:p w:rsidR="00807265" w:rsidRPr="004F40E8" w:rsidRDefault="00807265" w:rsidP="008746FB">
            <w:pPr>
              <w:jc w:val="center"/>
              <w:rPr>
                <w:rFonts w:ascii="Arial Narrow" w:hAnsi="Arial Narrow"/>
                <w:b/>
                <w:bCs/>
                <w:color w:val="000000"/>
                <w:sz w:val="15"/>
                <w:szCs w:val="15"/>
              </w:rPr>
            </w:pPr>
          </w:p>
        </w:tc>
        <w:tc>
          <w:tcPr>
            <w:tcW w:w="4992" w:type="dxa"/>
            <w:tcBorders>
              <w:top w:val="nil"/>
              <w:left w:val="nil"/>
              <w:right w:val="nil"/>
            </w:tcBorders>
            <w:shd w:val="clear" w:color="000000" w:fill="FFFFFF"/>
            <w:vAlign w:val="center"/>
            <w:hideMark/>
          </w:tcPr>
          <w:p w:rsidR="00807265" w:rsidRPr="004F40E8" w:rsidRDefault="00807265" w:rsidP="008746FB">
            <w:pPr>
              <w:rPr>
                <w:rFonts w:ascii="Arial Narrow" w:hAnsi="Arial Narrow"/>
                <w:sz w:val="15"/>
                <w:szCs w:val="15"/>
              </w:rPr>
            </w:pPr>
            <w:r w:rsidRPr="004F40E8">
              <w:rPr>
                <w:rFonts w:ascii="Arial Narrow" w:hAnsi="Arial Narrow"/>
                <w:sz w:val="15"/>
                <w:szCs w:val="15"/>
              </w:rPr>
              <w:t> </w:t>
            </w:r>
          </w:p>
        </w:tc>
        <w:tc>
          <w:tcPr>
            <w:tcW w:w="851" w:type="dxa"/>
            <w:tcBorders>
              <w:top w:val="nil"/>
              <w:left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8" w:type="dxa"/>
            <w:tcBorders>
              <w:top w:val="nil"/>
              <w:left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9" w:type="dxa"/>
            <w:tcBorders>
              <w:top w:val="nil"/>
              <w:left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76" w:type="dxa"/>
            <w:tcBorders>
              <w:top w:val="nil"/>
              <w:left w:val="nil"/>
              <w:right w:val="nil"/>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c>
          <w:tcPr>
            <w:tcW w:w="708" w:type="dxa"/>
            <w:tcBorders>
              <w:top w:val="nil"/>
              <w:left w:val="nil"/>
              <w:right w:val="single" w:sz="4" w:space="0" w:color="auto"/>
            </w:tcBorders>
            <w:shd w:val="clear" w:color="000000" w:fill="FFFFFF"/>
            <w:vAlign w:val="center"/>
            <w:hideMark/>
          </w:tcPr>
          <w:p w:rsidR="00807265" w:rsidRPr="00807265" w:rsidRDefault="00807265" w:rsidP="00807265">
            <w:pPr>
              <w:ind w:right="170"/>
              <w:jc w:val="right"/>
              <w:rPr>
                <w:rFonts w:ascii="Arial Narrow" w:hAnsi="Arial Narrow" w:cs="Segoe UI"/>
                <w:b/>
                <w:bCs/>
                <w:sz w:val="15"/>
                <w:szCs w:val="15"/>
              </w:rPr>
            </w:pPr>
          </w:p>
        </w:tc>
      </w:tr>
      <w:tr w:rsidR="00807265" w:rsidRPr="004F40E8" w:rsidTr="007111DB">
        <w:trPr>
          <w:trHeight w:val="181"/>
        </w:trPr>
        <w:tc>
          <w:tcPr>
            <w:tcW w:w="320" w:type="dxa"/>
            <w:tcBorders>
              <w:left w:val="single" w:sz="4" w:space="0" w:color="auto"/>
              <w:bottom w:val="single" w:sz="4" w:space="0" w:color="auto"/>
              <w:right w:val="nil"/>
            </w:tcBorders>
            <w:shd w:val="clear" w:color="000000" w:fill="D8D8D8"/>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 </w:t>
            </w:r>
          </w:p>
        </w:tc>
        <w:tc>
          <w:tcPr>
            <w:tcW w:w="4992" w:type="dxa"/>
            <w:tcBorders>
              <w:left w:val="nil"/>
              <w:bottom w:val="single" w:sz="4" w:space="0" w:color="auto"/>
              <w:right w:val="nil"/>
            </w:tcBorders>
            <w:shd w:val="clear" w:color="000000" w:fill="D8D8D8"/>
            <w:vAlign w:val="center"/>
            <w:hideMark/>
          </w:tcPr>
          <w:p w:rsidR="00807265" w:rsidRPr="004F40E8" w:rsidRDefault="00807265" w:rsidP="008746FB">
            <w:pPr>
              <w:rPr>
                <w:rFonts w:ascii="Arial Narrow" w:hAnsi="Arial Narrow"/>
                <w:b/>
                <w:bCs/>
                <w:sz w:val="15"/>
                <w:szCs w:val="15"/>
              </w:rPr>
            </w:pPr>
            <w:r w:rsidRPr="004F40E8">
              <w:rPr>
                <w:rFonts w:ascii="Arial Narrow" w:hAnsi="Arial Narrow"/>
                <w:b/>
                <w:bCs/>
                <w:sz w:val="15"/>
                <w:szCs w:val="15"/>
              </w:rPr>
              <w:t>ΑΕΠ</w:t>
            </w:r>
          </w:p>
        </w:tc>
        <w:tc>
          <w:tcPr>
            <w:tcW w:w="851" w:type="dxa"/>
            <w:tcBorders>
              <w:left w:val="nil"/>
              <w:bottom w:val="single" w:sz="4" w:space="0" w:color="auto"/>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180.218</w:t>
            </w:r>
          </w:p>
        </w:tc>
        <w:tc>
          <w:tcPr>
            <w:tcW w:w="708" w:type="dxa"/>
            <w:tcBorders>
              <w:left w:val="nil"/>
              <w:bottom w:val="single" w:sz="4" w:space="0" w:color="auto"/>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182.959</w:t>
            </w:r>
          </w:p>
        </w:tc>
        <w:tc>
          <w:tcPr>
            <w:tcW w:w="709" w:type="dxa"/>
            <w:tcBorders>
              <w:left w:val="nil"/>
              <w:bottom w:val="single" w:sz="4" w:space="0" w:color="auto"/>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185.658</w:t>
            </w:r>
          </w:p>
        </w:tc>
        <w:tc>
          <w:tcPr>
            <w:tcW w:w="776" w:type="dxa"/>
            <w:tcBorders>
              <w:left w:val="nil"/>
              <w:bottom w:val="single" w:sz="4" w:space="0" w:color="auto"/>
              <w:right w:val="nil"/>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189.743</w:t>
            </w:r>
          </w:p>
        </w:tc>
        <w:tc>
          <w:tcPr>
            <w:tcW w:w="708" w:type="dxa"/>
            <w:tcBorders>
              <w:left w:val="nil"/>
              <w:bottom w:val="single" w:sz="4" w:space="0" w:color="auto"/>
              <w:right w:val="single" w:sz="4" w:space="0" w:color="auto"/>
            </w:tcBorders>
            <w:shd w:val="clear" w:color="000000" w:fill="D8D8D8"/>
            <w:vAlign w:val="center"/>
            <w:hideMark/>
          </w:tcPr>
          <w:p w:rsidR="00807265" w:rsidRPr="00807265" w:rsidRDefault="00807265" w:rsidP="00807265">
            <w:pPr>
              <w:ind w:right="170"/>
              <w:jc w:val="right"/>
              <w:rPr>
                <w:rFonts w:ascii="Arial Narrow" w:hAnsi="Arial Narrow" w:cs="Segoe UI"/>
                <w:b/>
                <w:bCs/>
                <w:sz w:val="15"/>
                <w:szCs w:val="15"/>
              </w:rPr>
            </w:pPr>
            <w:r w:rsidRPr="00807265">
              <w:rPr>
                <w:rFonts w:ascii="Arial Narrow" w:hAnsi="Arial Narrow" w:cs="Segoe UI"/>
                <w:b/>
                <w:bCs/>
                <w:sz w:val="15"/>
                <w:szCs w:val="15"/>
              </w:rPr>
              <w:t>192.749</w:t>
            </w:r>
          </w:p>
        </w:tc>
      </w:tr>
    </w:tbl>
    <w:p w:rsidR="00153229" w:rsidRPr="00FC14E2" w:rsidRDefault="00153229" w:rsidP="00153229">
      <w:pPr>
        <w:ind w:left="284" w:right="281" w:hanging="142"/>
        <w:rPr>
          <w:rFonts w:ascii="Arial Narrow" w:hAnsi="Arial Narrow"/>
          <w:sz w:val="15"/>
          <w:szCs w:val="15"/>
        </w:rPr>
      </w:pPr>
      <w:r w:rsidRPr="00FC14E2">
        <w:rPr>
          <w:rFonts w:ascii="Arial Narrow" w:hAnsi="Arial Narrow"/>
          <w:sz w:val="15"/>
          <w:szCs w:val="15"/>
          <w:vertAlign w:val="superscript"/>
        </w:rPr>
        <w:t>1</w:t>
      </w:r>
      <w:r w:rsidRPr="00FC14E2">
        <w:rPr>
          <w:rFonts w:ascii="Arial Narrow" w:hAnsi="Arial Narrow"/>
          <w:sz w:val="15"/>
          <w:szCs w:val="15"/>
          <w:vertAlign w:val="superscript"/>
        </w:rPr>
        <w:tab/>
      </w:r>
      <w:r w:rsidRPr="00FC14E2">
        <w:rPr>
          <w:rFonts w:ascii="Arial Narrow" w:hAnsi="Arial Narrow"/>
          <w:sz w:val="15"/>
          <w:szCs w:val="15"/>
        </w:rPr>
        <w:t>Η Σύμβαση Χρηματοδοτικής Διευκόλυνσης ήταν σε ισχύ έως τις 20/8/2018. Από τις 21/8/2018 ισχύουν οι όροι της Ενισχυμένης Εποπτείας.</w:t>
      </w:r>
    </w:p>
    <w:p w:rsidR="00153229" w:rsidRPr="008A4C98" w:rsidRDefault="00153229" w:rsidP="00153229">
      <w:pPr>
        <w:contextualSpacing/>
        <w:jc w:val="both"/>
        <w:rPr>
          <w:szCs w:val="22"/>
        </w:rPr>
      </w:pPr>
    </w:p>
    <w:p w:rsidR="00013A09" w:rsidRDefault="00013A09">
      <w:pPr>
        <w:rPr>
          <w:sz w:val="20"/>
          <w:szCs w:val="22"/>
        </w:rPr>
      </w:pPr>
      <w:r>
        <w:rPr>
          <w:sz w:val="20"/>
          <w:szCs w:val="22"/>
        </w:rPr>
        <w:br w:type="page"/>
      </w:r>
    </w:p>
    <w:p w:rsidR="00510E92" w:rsidRPr="00514E97" w:rsidRDefault="00510E92" w:rsidP="00510E92">
      <w:pPr>
        <w:shd w:val="clear" w:color="auto" w:fill="7F7F7F" w:themeFill="text1" w:themeFillTint="80"/>
        <w:rPr>
          <w:rFonts w:ascii="Arial Narrow" w:hAnsi="Arial Narrow"/>
          <w:b/>
          <w:color w:val="FFFFFF" w:themeColor="background1"/>
          <w:sz w:val="26"/>
          <w:szCs w:val="26"/>
        </w:rPr>
      </w:pPr>
      <w:r>
        <w:rPr>
          <w:rFonts w:ascii="Arial Narrow" w:hAnsi="Arial Narrow"/>
          <w:b/>
          <w:color w:val="FFFFFF" w:themeColor="background1"/>
          <w:sz w:val="26"/>
          <w:szCs w:val="26"/>
        </w:rPr>
        <w:lastRenderedPageBreak/>
        <w:t>2.</w:t>
      </w:r>
      <w:r>
        <w:rPr>
          <w:rFonts w:ascii="Arial Narrow" w:hAnsi="Arial Narrow"/>
          <w:b/>
          <w:color w:val="FFFFFF" w:themeColor="background1"/>
          <w:sz w:val="26"/>
          <w:szCs w:val="26"/>
        </w:rPr>
        <w:tab/>
        <w:t xml:space="preserve">Κρατικός προϋπολογισμός </w:t>
      </w:r>
      <w:r w:rsidRPr="00514E97">
        <w:rPr>
          <w:rFonts w:ascii="Arial Narrow" w:hAnsi="Arial Narrow"/>
          <w:b/>
          <w:color w:val="FFFFFF" w:themeColor="background1"/>
          <w:sz w:val="26"/>
          <w:szCs w:val="26"/>
        </w:rPr>
        <w:t>201</w:t>
      </w:r>
      <w:r>
        <w:rPr>
          <w:rFonts w:ascii="Arial Narrow" w:hAnsi="Arial Narrow"/>
          <w:b/>
          <w:color w:val="FFFFFF" w:themeColor="background1"/>
          <w:sz w:val="26"/>
          <w:szCs w:val="26"/>
        </w:rPr>
        <w:t>8</w:t>
      </w:r>
    </w:p>
    <w:p w:rsidR="00510E92" w:rsidRPr="00973874" w:rsidRDefault="00510E92" w:rsidP="00510E92">
      <w:pPr>
        <w:jc w:val="both"/>
        <w:rPr>
          <w:sz w:val="20"/>
          <w:szCs w:val="22"/>
        </w:rPr>
      </w:pPr>
    </w:p>
    <w:p w:rsidR="00510E92" w:rsidRDefault="00A712D0" w:rsidP="00510E92">
      <w:pPr>
        <w:jc w:val="both"/>
        <w:rPr>
          <w:sz w:val="22"/>
          <w:szCs w:val="22"/>
          <w:lang w:eastAsia="en-US"/>
        </w:rPr>
      </w:pPr>
      <w:r>
        <w:rPr>
          <w:sz w:val="22"/>
          <w:szCs w:val="22"/>
          <w:lang w:eastAsia="en-US"/>
        </w:rPr>
        <w:t xml:space="preserve">Το </w:t>
      </w:r>
      <w:r w:rsidR="00594DC9">
        <w:rPr>
          <w:sz w:val="22"/>
          <w:szCs w:val="22"/>
          <w:lang w:eastAsia="en-US"/>
        </w:rPr>
        <w:t>έλλειμμα</w:t>
      </w:r>
      <w:r>
        <w:rPr>
          <w:sz w:val="22"/>
          <w:szCs w:val="22"/>
          <w:lang w:eastAsia="en-US"/>
        </w:rPr>
        <w:t xml:space="preserve"> του Κρατικού Προϋπολογισμού για το έτος 2018 εκτιμάται </w:t>
      </w:r>
      <w:r w:rsidR="00594DC9">
        <w:rPr>
          <w:sz w:val="22"/>
          <w:szCs w:val="22"/>
          <w:lang w:eastAsia="en-US"/>
        </w:rPr>
        <w:t xml:space="preserve">να ανέλθει </w:t>
      </w:r>
      <w:r>
        <w:rPr>
          <w:sz w:val="22"/>
          <w:szCs w:val="22"/>
          <w:lang w:eastAsia="en-US"/>
        </w:rPr>
        <w:t>σε 3.</w:t>
      </w:r>
      <w:r w:rsidR="007A6613">
        <w:rPr>
          <w:sz w:val="22"/>
          <w:szCs w:val="22"/>
          <w:lang w:eastAsia="en-US"/>
        </w:rPr>
        <w:t>209</w:t>
      </w:r>
      <w:r>
        <w:rPr>
          <w:sz w:val="22"/>
          <w:szCs w:val="22"/>
          <w:lang w:eastAsia="en-US"/>
        </w:rPr>
        <w:t xml:space="preserve"> εκατ. ευρώ σε ταμειακή βάση </w:t>
      </w:r>
      <w:r w:rsidR="007A6613">
        <w:rPr>
          <w:sz w:val="22"/>
          <w:szCs w:val="22"/>
          <w:lang w:eastAsia="en-US"/>
        </w:rPr>
        <w:t>(μειωμένο κατά 15</w:t>
      </w:r>
      <w:r w:rsidR="00796349">
        <w:rPr>
          <w:sz w:val="22"/>
          <w:szCs w:val="22"/>
          <w:lang w:eastAsia="en-US"/>
        </w:rPr>
        <w:t>9 εκατ. ευρώ σε σχέση με το στόχο</w:t>
      </w:r>
      <w:r w:rsidR="007A6613">
        <w:rPr>
          <w:sz w:val="22"/>
          <w:szCs w:val="22"/>
          <w:lang w:eastAsia="en-US"/>
        </w:rPr>
        <w:t xml:space="preserve"> του ΜΠΔΣ 2019-2022) και σε 4.65</w:t>
      </w:r>
      <w:r w:rsidR="00796349">
        <w:rPr>
          <w:sz w:val="22"/>
          <w:szCs w:val="22"/>
          <w:lang w:eastAsia="en-US"/>
        </w:rPr>
        <w:t>7</w:t>
      </w:r>
      <w:r>
        <w:rPr>
          <w:sz w:val="22"/>
          <w:szCs w:val="22"/>
          <w:lang w:eastAsia="en-US"/>
        </w:rPr>
        <w:t xml:space="preserve"> εκατ. ευρώ σε δημοσιονομική βάση</w:t>
      </w:r>
      <w:r w:rsidR="007A6613">
        <w:rPr>
          <w:sz w:val="22"/>
          <w:szCs w:val="22"/>
          <w:lang w:eastAsia="en-US"/>
        </w:rPr>
        <w:t xml:space="preserve"> (αυξημένο κατά 1</w:t>
      </w:r>
      <w:r w:rsidR="00796349">
        <w:rPr>
          <w:sz w:val="22"/>
          <w:szCs w:val="22"/>
          <w:lang w:eastAsia="en-US"/>
        </w:rPr>
        <w:t>1 εκατ. ευρώ σε σχέση με το στόχο του ΜΠΔΣ 2019-2022)</w:t>
      </w:r>
      <w:r>
        <w:rPr>
          <w:sz w:val="22"/>
          <w:szCs w:val="22"/>
          <w:lang w:eastAsia="en-US"/>
        </w:rPr>
        <w:t xml:space="preserve">. </w:t>
      </w:r>
    </w:p>
    <w:p w:rsidR="00A712D0" w:rsidRDefault="00A712D0" w:rsidP="00510E92">
      <w:pPr>
        <w:jc w:val="both"/>
        <w:rPr>
          <w:sz w:val="22"/>
          <w:szCs w:val="22"/>
          <w:lang w:eastAsia="en-US"/>
        </w:rPr>
      </w:pPr>
    </w:p>
    <w:p w:rsidR="00A712D0" w:rsidRPr="00A50FB2" w:rsidRDefault="00A712D0" w:rsidP="00510E92">
      <w:pPr>
        <w:jc w:val="both"/>
        <w:rPr>
          <w:sz w:val="22"/>
          <w:szCs w:val="22"/>
          <w:lang w:eastAsia="en-US"/>
        </w:rPr>
      </w:pPr>
      <w:r>
        <w:rPr>
          <w:sz w:val="22"/>
          <w:szCs w:val="22"/>
          <w:lang w:eastAsia="en-US"/>
        </w:rPr>
        <w:t xml:space="preserve">Επίσης, το πρωτογενές αποτέλεσμα του Κρατικού Προϋπολογισμού εκτιμάται, σε ταμειακή βάση, </w:t>
      </w:r>
      <w:r w:rsidR="002D0F0F">
        <w:rPr>
          <w:sz w:val="22"/>
          <w:szCs w:val="22"/>
          <w:lang w:eastAsia="en-US"/>
        </w:rPr>
        <w:t>σε πλεόνασμα ύψους 2.</w:t>
      </w:r>
      <w:r w:rsidR="007A6613">
        <w:rPr>
          <w:sz w:val="22"/>
          <w:szCs w:val="22"/>
          <w:lang w:eastAsia="en-US"/>
        </w:rPr>
        <w:t>30</w:t>
      </w:r>
      <w:r w:rsidR="00796349">
        <w:rPr>
          <w:sz w:val="22"/>
          <w:szCs w:val="22"/>
          <w:lang w:eastAsia="en-US"/>
        </w:rPr>
        <w:t>6</w:t>
      </w:r>
      <w:r w:rsidR="002D0F0F">
        <w:rPr>
          <w:sz w:val="22"/>
          <w:szCs w:val="22"/>
          <w:lang w:eastAsia="en-US"/>
        </w:rPr>
        <w:t xml:space="preserve"> εκατ. ευρώ</w:t>
      </w:r>
      <w:r w:rsidR="000C1425">
        <w:rPr>
          <w:sz w:val="22"/>
          <w:szCs w:val="22"/>
          <w:lang w:eastAsia="en-US"/>
        </w:rPr>
        <w:t>,</w:t>
      </w:r>
      <w:r w:rsidR="002D0F0F">
        <w:rPr>
          <w:sz w:val="22"/>
          <w:szCs w:val="22"/>
          <w:lang w:eastAsia="en-US"/>
        </w:rPr>
        <w:t xml:space="preserve"> αυξημένο κατά </w:t>
      </w:r>
      <w:r w:rsidR="007A6613">
        <w:rPr>
          <w:sz w:val="22"/>
          <w:szCs w:val="22"/>
          <w:lang w:eastAsia="en-US"/>
        </w:rPr>
        <w:t>52</w:t>
      </w:r>
      <w:r w:rsidR="00796349">
        <w:rPr>
          <w:sz w:val="22"/>
          <w:szCs w:val="22"/>
          <w:lang w:eastAsia="en-US"/>
        </w:rPr>
        <w:t>4</w:t>
      </w:r>
      <w:r w:rsidR="002D0F0F">
        <w:rPr>
          <w:sz w:val="22"/>
          <w:szCs w:val="22"/>
          <w:lang w:eastAsia="en-US"/>
        </w:rPr>
        <w:t xml:space="preserve"> εκατ. ευρώ έναντι του στόχου. Τέλος, το πρωτογενές αποτέλεσμα του Κρατικού Προϋπολογισμού σε δημοσιονομική βάση, εκτιμάται σε πλε</w:t>
      </w:r>
      <w:r w:rsidR="002D0F0F">
        <w:rPr>
          <w:sz w:val="22"/>
          <w:szCs w:val="22"/>
          <w:lang w:eastAsia="en-US"/>
        </w:rPr>
        <w:t>ό</w:t>
      </w:r>
      <w:r w:rsidR="002D0F0F">
        <w:rPr>
          <w:sz w:val="22"/>
          <w:szCs w:val="22"/>
          <w:lang w:eastAsia="en-US"/>
        </w:rPr>
        <w:t>να</w:t>
      </w:r>
      <w:r w:rsidR="007A6613">
        <w:rPr>
          <w:sz w:val="22"/>
          <w:szCs w:val="22"/>
          <w:lang w:eastAsia="en-US"/>
        </w:rPr>
        <w:t>σμα ύψους 2.43</w:t>
      </w:r>
      <w:r w:rsidR="00796349">
        <w:rPr>
          <w:sz w:val="22"/>
          <w:szCs w:val="22"/>
          <w:lang w:eastAsia="en-US"/>
        </w:rPr>
        <w:t>8</w:t>
      </w:r>
      <w:r w:rsidR="002D0F0F">
        <w:rPr>
          <w:sz w:val="22"/>
          <w:szCs w:val="22"/>
          <w:lang w:eastAsia="en-US"/>
        </w:rPr>
        <w:t xml:space="preserve"> εκατ. ευρώ</w:t>
      </w:r>
      <w:r w:rsidR="000C1425">
        <w:rPr>
          <w:sz w:val="22"/>
          <w:szCs w:val="22"/>
          <w:lang w:eastAsia="en-US"/>
        </w:rPr>
        <w:t>,</w:t>
      </w:r>
      <w:r w:rsidR="002D0F0F">
        <w:rPr>
          <w:sz w:val="22"/>
          <w:szCs w:val="22"/>
          <w:lang w:eastAsia="en-US"/>
        </w:rPr>
        <w:t xml:space="preserve"> </w:t>
      </w:r>
      <w:r w:rsidR="00796349">
        <w:rPr>
          <w:sz w:val="22"/>
          <w:szCs w:val="22"/>
          <w:lang w:eastAsia="en-US"/>
        </w:rPr>
        <w:t>αυξημένο</w:t>
      </w:r>
      <w:r w:rsidR="007A6613">
        <w:rPr>
          <w:sz w:val="22"/>
          <w:szCs w:val="22"/>
          <w:lang w:eastAsia="en-US"/>
        </w:rPr>
        <w:t xml:space="preserve"> κατά 23</w:t>
      </w:r>
      <w:r w:rsidR="00796349">
        <w:rPr>
          <w:sz w:val="22"/>
          <w:szCs w:val="22"/>
          <w:lang w:eastAsia="en-US"/>
        </w:rPr>
        <w:t>4</w:t>
      </w:r>
      <w:r w:rsidR="002D0F0F">
        <w:rPr>
          <w:sz w:val="22"/>
          <w:szCs w:val="22"/>
          <w:lang w:eastAsia="en-US"/>
        </w:rPr>
        <w:t xml:space="preserve"> εκατ. ευρώ, έναντι του στόχου</w:t>
      </w:r>
      <w:r w:rsidR="00093A9B">
        <w:rPr>
          <w:sz w:val="22"/>
          <w:szCs w:val="22"/>
          <w:lang w:eastAsia="en-US"/>
        </w:rPr>
        <w:t xml:space="preserve"> του ΜΠΔΣ 2019-2022</w:t>
      </w:r>
      <w:r w:rsidR="002D0F0F">
        <w:rPr>
          <w:sz w:val="22"/>
          <w:szCs w:val="22"/>
          <w:lang w:eastAsia="en-US"/>
        </w:rPr>
        <w:t>.</w:t>
      </w:r>
    </w:p>
    <w:p w:rsidR="00AD1B8C" w:rsidRDefault="00AD1B8C" w:rsidP="00A50FB2">
      <w:pPr>
        <w:jc w:val="both"/>
        <w:rPr>
          <w:bCs/>
          <w:sz w:val="22"/>
          <w:szCs w:val="22"/>
        </w:rPr>
      </w:pPr>
    </w:p>
    <w:p w:rsidR="00A50FB2" w:rsidRPr="00E36FE7" w:rsidRDefault="00E36FE7" w:rsidP="00E36FE7">
      <w:pPr>
        <w:shd w:val="clear" w:color="auto" w:fill="BFBFBF" w:themeFill="background1" w:themeFillShade="BF"/>
        <w:jc w:val="both"/>
        <w:rPr>
          <w:rFonts w:ascii="Arial Narrow" w:hAnsi="Arial Narrow"/>
          <w:b/>
          <w:szCs w:val="22"/>
        </w:rPr>
      </w:pPr>
      <w:r w:rsidRPr="00E36FE7">
        <w:rPr>
          <w:rFonts w:ascii="Arial Narrow" w:hAnsi="Arial Narrow"/>
          <w:b/>
          <w:szCs w:val="22"/>
        </w:rPr>
        <w:t>2.1</w:t>
      </w:r>
      <w:r w:rsidRPr="00E36FE7">
        <w:rPr>
          <w:rFonts w:ascii="Arial Narrow" w:hAnsi="Arial Narrow"/>
          <w:b/>
          <w:szCs w:val="22"/>
        </w:rPr>
        <w:tab/>
      </w:r>
      <w:r w:rsidR="00A50FB2" w:rsidRPr="00E36FE7">
        <w:rPr>
          <w:rFonts w:ascii="Arial Narrow" w:hAnsi="Arial Narrow"/>
          <w:b/>
          <w:szCs w:val="22"/>
        </w:rPr>
        <w:t>Έσοδα</w:t>
      </w:r>
    </w:p>
    <w:p w:rsidR="00A50FB2" w:rsidRPr="00973874" w:rsidRDefault="00A50FB2" w:rsidP="0092772E">
      <w:pPr>
        <w:rPr>
          <w:sz w:val="20"/>
          <w:szCs w:val="22"/>
          <w:lang w:eastAsia="en-US"/>
        </w:rPr>
      </w:pPr>
    </w:p>
    <w:p w:rsidR="00986A91" w:rsidRPr="00986A91" w:rsidRDefault="00986A91" w:rsidP="0092772E">
      <w:pPr>
        <w:jc w:val="both"/>
        <w:rPr>
          <w:sz w:val="22"/>
          <w:szCs w:val="22"/>
        </w:rPr>
      </w:pPr>
      <w:r w:rsidRPr="00986A91">
        <w:rPr>
          <w:sz w:val="22"/>
          <w:szCs w:val="22"/>
        </w:rPr>
        <w:t>Τα καθαρά έσοδα του Κρατικού Προϋπολογισμού, σε δημοσιονομική βάση, μετά τη</w:t>
      </w:r>
      <w:r w:rsidR="00B10215">
        <w:rPr>
          <w:sz w:val="22"/>
          <w:szCs w:val="22"/>
        </w:rPr>
        <w:t>ν αφαίρεση</w:t>
      </w:r>
      <w:r w:rsidRPr="00986A91">
        <w:rPr>
          <w:sz w:val="22"/>
          <w:szCs w:val="22"/>
        </w:rPr>
        <w:t xml:space="preserve"> των επιστροφών φόρων,</w:t>
      </w:r>
      <w:r w:rsidR="0068124D">
        <w:rPr>
          <w:sz w:val="22"/>
          <w:szCs w:val="22"/>
        </w:rPr>
        <w:t xml:space="preserve"> </w:t>
      </w:r>
      <w:r w:rsidRPr="00986A91">
        <w:rPr>
          <w:sz w:val="22"/>
          <w:szCs w:val="22"/>
        </w:rPr>
        <w:t>εκτιμάται ότι θα διαμορφωθούν στα 53.</w:t>
      </w:r>
      <w:r w:rsidR="0087224C">
        <w:rPr>
          <w:sz w:val="22"/>
          <w:szCs w:val="22"/>
        </w:rPr>
        <w:t>616</w:t>
      </w:r>
      <w:r w:rsidRPr="00986A91">
        <w:rPr>
          <w:sz w:val="22"/>
          <w:szCs w:val="22"/>
        </w:rPr>
        <w:t xml:space="preserve"> εκατ. ευρώ</w:t>
      </w:r>
      <w:r w:rsidR="00E36FE7">
        <w:rPr>
          <w:sz w:val="22"/>
          <w:szCs w:val="22"/>
        </w:rPr>
        <w:t>,</w:t>
      </w:r>
      <w:r w:rsidRPr="00986A91">
        <w:rPr>
          <w:sz w:val="22"/>
          <w:szCs w:val="22"/>
        </w:rPr>
        <w:t xml:space="preserve"> παρουσιάζοντας αύξηση κατά </w:t>
      </w:r>
      <w:r w:rsidR="0087224C">
        <w:rPr>
          <w:sz w:val="22"/>
          <w:szCs w:val="22"/>
        </w:rPr>
        <w:t>755</w:t>
      </w:r>
      <w:r w:rsidRPr="00986A91">
        <w:rPr>
          <w:sz w:val="22"/>
          <w:szCs w:val="22"/>
        </w:rPr>
        <w:t xml:space="preserve"> εκατ. </w:t>
      </w:r>
      <w:r w:rsidR="0092772E">
        <w:rPr>
          <w:sz w:val="22"/>
          <w:szCs w:val="22"/>
        </w:rPr>
        <w:t xml:space="preserve">ευρώ ή </w:t>
      </w:r>
      <w:r w:rsidR="0087224C">
        <w:rPr>
          <w:sz w:val="22"/>
          <w:szCs w:val="22"/>
        </w:rPr>
        <w:t>1,4</w:t>
      </w:r>
      <w:r w:rsidRPr="00986A91">
        <w:rPr>
          <w:sz w:val="22"/>
          <w:szCs w:val="22"/>
        </w:rPr>
        <w:t>%, έναντι του στόχου του ΜΠΔΣ 2019-2022.</w:t>
      </w:r>
    </w:p>
    <w:p w:rsidR="00986A91" w:rsidRPr="00986A91" w:rsidRDefault="00986A91" w:rsidP="0092772E">
      <w:pPr>
        <w:jc w:val="both"/>
        <w:rPr>
          <w:sz w:val="22"/>
          <w:szCs w:val="22"/>
        </w:rPr>
      </w:pPr>
    </w:p>
    <w:p w:rsidR="00986A91" w:rsidRPr="00986A91" w:rsidRDefault="00986A91" w:rsidP="0092772E">
      <w:pPr>
        <w:jc w:val="both"/>
        <w:rPr>
          <w:sz w:val="22"/>
          <w:szCs w:val="22"/>
        </w:rPr>
      </w:pPr>
      <w:r w:rsidRPr="00986A91">
        <w:rPr>
          <w:sz w:val="22"/>
          <w:szCs w:val="22"/>
        </w:rPr>
        <w:t>Τα παραπάνω έσοδα, σε ταμειακή βάση, εκτιμάται ότι θα διαμορφωθούν στα 53.</w:t>
      </w:r>
      <w:r w:rsidR="0087224C">
        <w:rPr>
          <w:sz w:val="22"/>
          <w:szCs w:val="22"/>
        </w:rPr>
        <w:t>82</w:t>
      </w:r>
      <w:r w:rsidR="0082682A">
        <w:rPr>
          <w:sz w:val="22"/>
          <w:szCs w:val="22"/>
        </w:rPr>
        <w:t>4</w:t>
      </w:r>
      <w:r w:rsidRPr="00986A91">
        <w:rPr>
          <w:sz w:val="22"/>
          <w:szCs w:val="22"/>
        </w:rPr>
        <w:t xml:space="preserve"> εκατ. ευρώ, π</w:t>
      </w:r>
      <w:r w:rsidRPr="00986A91">
        <w:rPr>
          <w:sz w:val="22"/>
          <w:szCs w:val="22"/>
        </w:rPr>
        <w:t>α</w:t>
      </w:r>
      <w:r w:rsidRPr="00986A91">
        <w:rPr>
          <w:sz w:val="22"/>
          <w:szCs w:val="22"/>
        </w:rPr>
        <w:t>ρου</w:t>
      </w:r>
      <w:r w:rsidR="0082682A">
        <w:rPr>
          <w:sz w:val="22"/>
          <w:szCs w:val="22"/>
        </w:rPr>
        <w:t xml:space="preserve">σιάζοντας αύξηση κατά </w:t>
      </w:r>
      <w:r w:rsidR="0087224C">
        <w:rPr>
          <w:sz w:val="22"/>
          <w:szCs w:val="22"/>
        </w:rPr>
        <w:t>1.033</w:t>
      </w:r>
      <w:r w:rsidR="0092772E">
        <w:rPr>
          <w:sz w:val="22"/>
          <w:szCs w:val="22"/>
        </w:rPr>
        <w:t xml:space="preserve"> εκατ. ευρώ ή </w:t>
      </w:r>
      <w:r w:rsidR="0087224C">
        <w:rPr>
          <w:sz w:val="22"/>
          <w:szCs w:val="22"/>
        </w:rPr>
        <w:t>2,0</w:t>
      </w:r>
      <w:r w:rsidRPr="00986A91">
        <w:rPr>
          <w:sz w:val="22"/>
          <w:szCs w:val="22"/>
        </w:rPr>
        <w:t xml:space="preserve">% έναντι του στόχου του ΜΠΔΣ 2019-2022. </w:t>
      </w:r>
    </w:p>
    <w:p w:rsidR="00986A91" w:rsidRPr="00986A91" w:rsidRDefault="00986A91" w:rsidP="0092772E">
      <w:pPr>
        <w:jc w:val="both"/>
        <w:rPr>
          <w:sz w:val="22"/>
          <w:szCs w:val="22"/>
        </w:rPr>
      </w:pPr>
    </w:p>
    <w:p w:rsidR="00986A91" w:rsidRPr="00986A91" w:rsidRDefault="00986A91" w:rsidP="0092772E">
      <w:pPr>
        <w:jc w:val="both"/>
        <w:rPr>
          <w:sz w:val="22"/>
          <w:szCs w:val="22"/>
        </w:rPr>
      </w:pPr>
      <w:r w:rsidRPr="00986A91">
        <w:rPr>
          <w:sz w:val="22"/>
          <w:szCs w:val="22"/>
        </w:rPr>
        <w:t>Η μεταβολή αυτή</w:t>
      </w:r>
      <w:r w:rsidR="0068124D">
        <w:rPr>
          <w:sz w:val="22"/>
          <w:szCs w:val="22"/>
        </w:rPr>
        <w:t xml:space="preserve"> </w:t>
      </w:r>
      <w:r w:rsidRPr="00986A91">
        <w:rPr>
          <w:sz w:val="22"/>
          <w:szCs w:val="22"/>
        </w:rPr>
        <w:t>οφείλεται κυρίως:</w:t>
      </w:r>
    </w:p>
    <w:p w:rsidR="00986A91" w:rsidRPr="00986A91" w:rsidRDefault="00986A91" w:rsidP="0092772E">
      <w:pPr>
        <w:jc w:val="both"/>
        <w:rPr>
          <w:sz w:val="22"/>
          <w:szCs w:val="22"/>
        </w:rPr>
      </w:pPr>
    </w:p>
    <w:p w:rsidR="00986A91" w:rsidRPr="00986A91" w:rsidRDefault="0082682A" w:rsidP="006556BD">
      <w:pPr>
        <w:numPr>
          <w:ilvl w:val="0"/>
          <w:numId w:val="8"/>
        </w:numPr>
        <w:ind w:left="284" w:hanging="284"/>
        <w:jc w:val="both"/>
        <w:rPr>
          <w:sz w:val="22"/>
          <w:szCs w:val="22"/>
        </w:rPr>
      </w:pPr>
      <w:r>
        <w:rPr>
          <w:sz w:val="22"/>
          <w:szCs w:val="22"/>
        </w:rPr>
        <w:t xml:space="preserve">στα αυξημένα κατά </w:t>
      </w:r>
      <w:r w:rsidR="00986A91" w:rsidRPr="00986A91">
        <w:rPr>
          <w:sz w:val="22"/>
          <w:szCs w:val="22"/>
        </w:rPr>
        <w:t>6</w:t>
      </w:r>
      <w:r>
        <w:rPr>
          <w:sz w:val="22"/>
          <w:szCs w:val="22"/>
        </w:rPr>
        <w:t>1</w:t>
      </w:r>
      <w:r w:rsidR="00986A91" w:rsidRPr="00986A91">
        <w:rPr>
          <w:sz w:val="22"/>
          <w:szCs w:val="22"/>
        </w:rPr>
        <w:t>1 εκατ. ευρώ έσοδα από Φόρο Προστιθέμενης Αξίας (ΦΠΑ),</w:t>
      </w:r>
    </w:p>
    <w:p w:rsidR="00986A91" w:rsidRPr="00986A91" w:rsidRDefault="00986A91" w:rsidP="006556BD">
      <w:pPr>
        <w:numPr>
          <w:ilvl w:val="0"/>
          <w:numId w:val="8"/>
        </w:numPr>
        <w:ind w:left="284" w:hanging="284"/>
        <w:jc w:val="both"/>
        <w:rPr>
          <w:sz w:val="22"/>
          <w:szCs w:val="22"/>
        </w:rPr>
      </w:pPr>
      <w:r w:rsidRPr="00986A91">
        <w:rPr>
          <w:sz w:val="22"/>
          <w:szCs w:val="22"/>
        </w:rPr>
        <w:t xml:space="preserve">στα μειωμένα, σε ταμειακή βάση, έσοδα από τους τακτικούς φόρους ακίνητης περιουσίας κατά 281 εκατ. ευρώ, λόγω μετακύλισης είσπραξης της τελευταίας δόσης του ΕΝΦΙΑ </w:t>
      </w:r>
      <w:r w:rsidR="00980C38">
        <w:rPr>
          <w:sz w:val="22"/>
          <w:szCs w:val="22"/>
        </w:rPr>
        <w:t xml:space="preserve">έτους </w:t>
      </w:r>
      <w:r w:rsidRPr="00986A91">
        <w:rPr>
          <w:sz w:val="22"/>
          <w:szCs w:val="22"/>
        </w:rPr>
        <w:t>2018</w:t>
      </w:r>
      <w:r w:rsidR="00013A09">
        <w:rPr>
          <w:sz w:val="22"/>
          <w:szCs w:val="22"/>
        </w:rPr>
        <w:t xml:space="preserve"> </w:t>
      </w:r>
      <w:r w:rsidR="00E36FE7">
        <w:rPr>
          <w:sz w:val="22"/>
          <w:szCs w:val="22"/>
        </w:rPr>
        <w:t>σ</w:t>
      </w:r>
      <w:r w:rsidR="00013A09">
        <w:rPr>
          <w:sz w:val="22"/>
          <w:szCs w:val="22"/>
        </w:rPr>
        <w:t>τον Ιανουάριο 2019</w:t>
      </w:r>
      <w:r w:rsidR="00606E4E">
        <w:rPr>
          <w:sz w:val="22"/>
          <w:szCs w:val="22"/>
        </w:rPr>
        <w:t xml:space="preserve"> (η ανωτέρω μεταβολή δεν έχει δημοσιονομική επίπτωση)</w:t>
      </w:r>
      <w:r w:rsidR="00013A09">
        <w:rPr>
          <w:sz w:val="22"/>
          <w:szCs w:val="22"/>
        </w:rPr>
        <w:t>,</w:t>
      </w:r>
    </w:p>
    <w:p w:rsidR="00986A91" w:rsidRPr="00986A91" w:rsidRDefault="0092772E" w:rsidP="006556BD">
      <w:pPr>
        <w:numPr>
          <w:ilvl w:val="0"/>
          <w:numId w:val="8"/>
        </w:numPr>
        <w:ind w:left="284" w:hanging="284"/>
        <w:jc w:val="both"/>
        <w:rPr>
          <w:sz w:val="22"/>
          <w:szCs w:val="22"/>
        </w:rPr>
      </w:pPr>
      <w:r>
        <w:rPr>
          <w:sz w:val="22"/>
          <w:szCs w:val="22"/>
        </w:rPr>
        <w:t xml:space="preserve">στα αυξημένα κατά </w:t>
      </w:r>
      <w:r w:rsidR="000C1425">
        <w:rPr>
          <w:sz w:val="22"/>
          <w:szCs w:val="22"/>
        </w:rPr>
        <w:t>373</w:t>
      </w:r>
      <w:r w:rsidR="00986A91" w:rsidRPr="00986A91">
        <w:rPr>
          <w:sz w:val="22"/>
          <w:szCs w:val="22"/>
        </w:rPr>
        <w:t xml:space="preserve"> εκατ. ευρώ έσοδα από </w:t>
      </w:r>
      <w:r w:rsidR="0068124D">
        <w:rPr>
          <w:sz w:val="22"/>
          <w:szCs w:val="22"/>
        </w:rPr>
        <w:t>φόρο ε</w:t>
      </w:r>
      <w:r w:rsidR="00986A91" w:rsidRPr="00986A91">
        <w:rPr>
          <w:sz w:val="22"/>
          <w:szCs w:val="22"/>
        </w:rPr>
        <w:t>ισοδήματος,</w:t>
      </w:r>
    </w:p>
    <w:p w:rsidR="00986A91" w:rsidRPr="00986A91" w:rsidRDefault="00986A91" w:rsidP="006556BD">
      <w:pPr>
        <w:numPr>
          <w:ilvl w:val="0"/>
          <w:numId w:val="8"/>
        </w:numPr>
        <w:ind w:left="284" w:hanging="284"/>
        <w:jc w:val="both"/>
        <w:rPr>
          <w:sz w:val="22"/>
          <w:szCs w:val="22"/>
        </w:rPr>
      </w:pPr>
      <w:r w:rsidRPr="00986A91">
        <w:rPr>
          <w:sz w:val="22"/>
          <w:szCs w:val="22"/>
        </w:rPr>
        <w:t>στα αυξημένα κατά 586 εκατ. ευρώ, σε ταμειακή βάση, έσοδα από πωλήσεις αγαθών και υπηρεσ</w:t>
      </w:r>
      <w:r w:rsidRPr="00986A91">
        <w:rPr>
          <w:sz w:val="22"/>
          <w:szCs w:val="22"/>
        </w:rPr>
        <w:t>ι</w:t>
      </w:r>
      <w:r w:rsidRPr="00986A91">
        <w:rPr>
          <w:sz w:val="22"/>
          <w:szCs w:val="22"/>
        </w:rPr>
        <w:t>ών, λόγω του επαναπροσδιορισμού του ποσού που εκτιμάται ότι θα εισπραχθεί από την επέκταση της σύμβασης του Διεθνούς Αερολιμένα Αθηνών για την περίοδο 2026</w:t>
      </w:r>
      <w:r>
        <w:rPr>
          <w:sz w:val="22"/>
          <w:szCs w:val="22"/>
        </w:rPr>
        <w:t>-</w:t>
      </w:r>
      <w:r w:rsidRPr="00986A91">
        <w:rPr>
          <w:sz w:val="22"/>
          <w:szCs w:val="22"/>
        </w:rPr>
        <w:t>2046.</w:t>
      </w:r>
      <w:r w:rsidR="0068124D">
        <w:rPr>
          <w:sz w:val="22"/>
          <w:szCs w:val="22"/>
        </w:rPr>
        <w:t xml:space="preserve"> </w:t>
      </w:r>
      <w:r w:rsidRPr="00986A91">
        <w:rPr>
          <w:sz w:val="22"/>
          <w:szCs w:val="22"/>
        </w:rPr>
        <w:t>Η ανωτέρω ταμει</w:t>
      </w:r>
      <w:r w:rsidRPr="00986A91">
        <w:rPr>
          <w:sz w:val="22"/>
          <w:szCs w:val="22"/>
        </w:rPr>
        <w:t>α</w:t>
      </w:r>
      <w:r w:rsidRPr="00986A91">
        <w:rPr>
          <w:sz w:val="22"/>
          <w:szCs w:val="22"/>
        </w:rPr>
        <w:t xml:space="preserve">κή αύξηση δεν έχει δημοσιονομική επίπτωση, καθόσον συνοδεύεται </w:t>
      </w:r>
      <w:r w:rsidR="00E36FE7">
        <w:rPr>
          <w:sz w:val="22"/>
          <w:szCs w:val="22"/>
        </w:rPr>
        <w:t>από ισόποση αρνητική πρ</w:t>
      </w:r>
      <w:r w:rsidR="00E36FE7">
        <w:rPr>
          <w:sz w:val="22"/>
          <w:szCs w:val="22"/>
        </w:rPr>
        <w:t>ο</w:t>
      </w:r>
      <w:r w:rsidR="00E36FE7">
        <w:rPr>
          <w:sz w:val="22"/>
          <w:szCs w:val="22"/>
        </w:rPr>
        <w:t>σαρμογή,</w:t>
      </w:r>
    </w:p>
    <w:p w:rsidR="00986A91" w:rsidRPr="00986A91" w:rsidRDefault="00E146A1" w:rsidP="006556BD">
      <w:pPr>
        <w:numPr>
          <w:ilvl w:val="0"/>
          <w:numId w:val="8"/>
        </w:numPr>
        <w:ind w:left="284" w:hanging="284"/>
        <w:jc w:val="both"/>
        <w:rPr>
          <w:sz w:val="22"/>
          <w:szCs w:val="22"/>
        </w:rPr>
      </w:pPr>
      <w:r>
        <w:rPr>
          <w:sz w:val="22"/>
          <w:szCs w:val="22"/>
        </w:rPr>
        <w:t>στα αυξημένα κατά 369</w:t>
      </w:r>
      <w:r w:rsidR="00986A91" w:rsidRPr="00986A91">
        <w:rPr>
          <w:sz w:val="22"/>
          <w:szCs w:val="22"/>
        </w:rPr>
        <w:t xml:space="preserve"> εκατ. ευρώ λοιπά τρέχοντα έσοδα,</w:t>
      </w:r>
    </w:p>
    <w:p w:rsidR="00986A91" w:rsidRPr="00986A91" w:rsidRDefault="0082682A" w:rsidP="006556BD">
      <w:pPr>
        <w:numPr>
          <w:ilvl w:val="0"/>
          <w:numId w:val="8"/>
        </w:numPr>
        <w:ind w:left="284" w:hanging="284"/>
        <w:jc w:val="both"/>
        <w:rPr>
          <w:sz w:val="22"/>
          <w:szCs w:val="22"/>
        </w:rPr>
      </w:pPr>
      <w:r>
        <w:rPr>
          <w:sz w:val="22"/>
          <w:szCs w:val="22"/>
        </w:rPr>
        <w:t>στα μειωμένα κατά 344</w:t>
      </w:r>
      <w:r w:rsidR="00986A91" w:rsidRPr="00986A91">
        <w:rPr>
          <w:sz w:val="22"/>
          <w:szCs w:val="22"/>
        </w:rPr>
        <w:t xml:space="preserve"> εκατ. ευρώ έσοδα από </w:t>
      </w:r>
      <w:r w:rsidR="00E36FE7">
        <w:rPr>
          <w:sz w:val="22"/>
          <w:szCs w:val="22"/>
        </w:rPr>
        <w:t>πωλήσεις</w:t>
      </w:r>
      <w:r w:rsidR="00986A91" w:rsidRPr="00986A91">
        <w:rPr>
          <w:sz w:val="22"/>
          <w:szCs w:val="22"/>
        </w:rPr>
        <w:t xml:space="preserve"> π</w:t>
      </w:r>
      <w:r w:rsidR="00E36FE7">
        <w:rPr>
          <w:sz w:val="22"/>
          <w:szCs w:val="22"/>
        </w:rPr>
        <w:t>άγιων περιουσιακών στοιχείων</w:t>
      </w:r>
      <w:r w:rsidR="00986A91" w:rsidRPr="00986A91">
        <w:rPr>
          <w:sz w:val="22"/>
          <w:szCs w:val="22"/>
        </w:rPr>
        <w:t>,</w:t>
      </w:r>
    </w:p>
    <w:p w:rsidR="00986A91" w:rsidRPr="00986A91" w:rsidRDefault="00986A91" w:rsidP="006556BD">
      <w:pPr>
        <w:numPr>
          <w:ilvl w:val="0"/>
          <w:numId w:val="8"/>
        </w:numPr>
        <w:ind w:left="284" w:hanging="284"/>
        <w:jc w:val="both"/>
        <w:rPr>
          <w:sz w:val="22"/>
          <w:szCs w:val="22"/>
        </w:rPr>
      </w:pPr>
      <w:r w:rsidRPr="00986A91">
        <w:rPr>
          <w:sz w:val="22"/>
          <w:szCs w:val="22"/>
        </w:rPr>
        <w:t>στις αυξημένες κατά 699 εκατ. ευρώ επιστροφές φόρων.</w:t>
      </w:r>
    </w:p>
    <w:p w:rsidR="00986A91" w:rsidRDefault="00986A91" w:rsidP="0092772E">
      <w:pPr>
        <w:jc w:val="both"/>
        <w:rPr>
          <w:sz w:val="22"/>
          <w:szCs w:val="22"/>
        </w:rPr>
      </w:pPr>
    </w:p>
    <w:p w:rsidR="00E36FE7" w:rsidRPr="002B63E6" w:rsidRDefault="00E36FE7" w:rsidP="0092772E">
      <w:pPr>
        <w:jc w:val="both"/>
        <w:rPr>
          <w:rFonts w:ascii="Arial Narrow" w:hAnsi="Arial Narrow"/>
          <w:b/>
          <w:color w:val="000080"/>
          <w:szCs w:val="22"/>
        </w:rPr>
      </w:pPr>
      <w:r>
        <w:rPr>
          <w:rFonts w:ascii="Arial Narrow" w:hAnsi="Arial Narrow"/>
          <w:b/>
          <w:color w:val="000080"/>
          <w:szCs w:val="22"/>
        </w:rPr>
        <w:t>Ανάλυση εσόδων κατά μείζονα κατηγορία</w:t>
      </w:r>
    </w:p>
    <w:p w:rsidR="00E36FE7" w:rsidRDefault="00E36FE7" w:rsidP="0092772E">
      <w:pPr>
        <w:jc w:val="both"/>
        <w:rPr>
          <w:sz w:val="22"/>
          <w:szCs w:val="22"/>
        </w:rPr>
      </w:pPr>
    </w:p>
    <w:p w:rsidR="0090589B" w:rsidRPr="0090589B" w:rsidRDefault="0090589B" w:rsidP="0092772E">
      <w:pPr>
        <w:jc w:val="both"/>
        <w:rPr>
          <w:rFonts w:ascii="Arial Narrow" w:hAnsi="Arial Narrow"/>
          <w:b/>
          <w:sz w:val="22"/>
          <w:szCs w:val="22"/>
        </w:rPr>
      </w:pPr>
      <w:r w:rsidRPr="0090589B">
        <w:rPr>
          <w:rFonts w:ascii="Arial Narrow" w:hAnsi="Arial Narrow"/>
          <w:b/>
          <w:sz w:val="22"/>
          <w:szCs w:val="22"/>
        </w:rPr>
        <w:t>Έσοδα μη χρηματοοικονομικών συναλλαγών</w:t>
      </w:r>
    </w:p>
    <w:p w:rsidR="0090589B" w:rsidRDefault="0090589B" w:rsidP="0092772E">
      <w:pPr>
        <w:jc w:val="both"/>
        <w:rPr>
          <w:rFonts w:ascii="Arial Narrow" w:hAnsi="Arial Narrow"/>
          <w:b/>
          <w:i/>
          <w:sz w:val="22"/>
          <w:szCs w:val="22"/>
        </w:rPr>
      </w:pPr>
    </w:p>
    <w:p w:rsidR="0092772E" w:rsidRDefault="0092772E" w:rsidP="0092772E">
      <w:pPr>
        <w:jc w:val="both"/>
        <w:rPr>
          <w:sz w:val="22"/>
          <w:szCs w:val="22"/>
        </w:rPr>
      </w:pPr>
      <w:r w:rsidRPr="00C20BBA">
        <w:rPr>
          <w:rFonts w:ascii="Arial Narrow" w:hAnsi="Arial Narrow"/>
          <w:b/>
          <w:i/>
          <w:sz w:val="22"/>
          <w:szCs w:val="22"/>
        </w:rPr>
        <w:t>Φόροι</w:t>
      </w:r>
    </w:p>
    <w:p w:rsidR="0092772E" w:rsidRDefault="0092772E" w:rsidP="0092772E">
      <w:pPr>
        <w:jc w:val="both"/>
        <w:rPr>
          <w:rFonts w:ascii="Arial Narrow" w:hAnsi="Arial Narrow"/>
          <w:b/>
          <w:i/>
          <w:sz w:val="22"/>
          <w:szCs w:val="22"/>
        </w:rPr>
      </w:pPr>
    </w:p>
    <w:p w:rsidR="00986A91" w:rsidRPr="0092772E" w:rsidRDefault="00986A91" w:rsidP="006556BD">
      <w:pPr>
        <w:pStyle w:val="af2"/>
        <w:numPr>
          <w:ilvl w:val="0"/>
          <w:numId w:val="18"/>
        </w:numPr>
        <w:spacing w:after="0" w:line="240" w:lineRule="auto"/>
        <w:ind w:left="284" w:hanging="284"/>
        <w:contextualSpacing w:val="0"/>
        <w:jc w:val="both"/>
        <w:rPr>
          <w:rFonts w:ascii="Times New Roman" w:hAnsi="Times New Roman"/>
          <w:b/>
          <w:i/>
        </w:rPr>
      </w:pPr>
      <w:r w:rsidRPr="0092772E">
        <w:rPr>
          <w:rFonts w:ascii="Times New Roman" w:hAnsi="Times New Roman"/>
          <w:b/>
          <w:i/>
        </w:rPr>
        <w:t>Φόροι επί αγαθών και υπηρεσιών</w:t>
      </w:r>
    </w:p>
    <w:p w:rsidR="00986A91" w:rsidRPr="00986A91" w:rsidRDefault="00986A91" w:rsidP="0092772E">
      <w:pPr>
        <w:jc w:val="both"/>
        <w:rPr>
          <w:sz w:val="22"/>
          <w:szCs w:val="22"/>
        </w:rPr>
      </w:pPr>
    </w:p>
    <w:p w:rsidR="00986A91" w:rsidRPr="00986A91" w:rsidRDefault="00986A91" w:rsidP="00366933">
      <w:pPr>
        <w:jc w:val="both"/>
        <w:rPr>
          <w:sz w:val="22"/>
          <w:szCs w:val="22"/>
        </w:rPr>
      </w:pPr>
      <w:r w:rsidRPr="00986A91">
        <w:rPr>
          <w:sz w:val="22"/>
          <w:szCs w:val="22"/>
        </w:rPr>
        <w:t>Στην κατηγορία αυτή περιλαμβάνονται κυρίως ο ΦΠΑ, οι Ειδικοί Φόροι Κατανάλωσης (ΕΦΚ), οι φ</w:t>
      </w:r>
      <w:r w:rsidRPr="00986A91">
        <w:rPr>
          <w:sz w:val="22"/>
          <w:szCs w:val="22"/>
        </w:rPr>
        <w:t>ό</w:t>
      </w:r>
      <w:r w:rsidRPr="00986A91">
        <w:rPr>
          <w:sz w:val="22"/>
          <w:szCs w:val="22"/>
        </w:rPr>
        <w:t>ροι με μορφή χαρτοσήμου και οι φόροι επί χρηματοοικονομικών και κεφαλαιακών συναλλαγών. Από φόρους επί αγαθών και υπηρεσιών, εκτιμάται ότι θα εισπραχθούν έσοδα ύψους 27.3</w:t>
      </w:r>
      <w:r w:rsidR="0082682A">
        <w:rPr>
          <w:sz w:val="22"/>
          <w:szCs w:val="22"/>
        </w:rPr>
        <w:t>5</w:t>
      </w:r>
      <w:r w:rsidRPr="00986A91">
        <w:rPr>
          <w:sz w:val="22"/>
          <w:szCs w:val="22"/>
        </w:rPr>
        <w:t>7 εκατ. ευρώ, αυ</w:t>
      </w:r>
      <w:r w:rsidR="0082682A">
        <w:rPr>
          <w:sz w:val="22"/>
          <w:szCs w:val="22"/>
        </w:rPr>
        <w:t>ξημένα κατά 843</w:t>
      </w:r>
      <w:r w:rsidRPr="00986A91">
        <w:rPr>
          <w:sz w:val="22"/>
          <w:szCs w:val="22"/>
        </w:rPr>
        <w:t xml:space="preserve"> εκατ.</w:t>
      </w:r>
      <w:r w:rsidR="00E36FE7">
        <w:rPr>
          <w:sz w:val="22"/>
          <w:szCs w:val="22"/>
        </w:rPr>
        <w:t xml:space="preserve"> ευρώ</w:t>
      </w:r>
      <w:r w:rsidR="0082682A">
        <w:rPr>
          <w:sz w:val="22"/>
          <w:szCs w:val="22"/>
        </w:rPr>
        <w:t xml:space="preserve"> ή 3,2</w:t>
      </w:r>
      <w:r w:rsidRPr="00986A91">
        <w:rPr>
          <w:sz w:val="22"/>
          <w:szCs w:val="22"/>
        </w:rPr>
        <w:t>% έναντι του στόχου του ΜΠΔΣ 2019-2022. Η υπέρβαση του στόχου προέρχεται κυρίως από τον ΦΠΑ και οφείλεται στη</w:t>
      </w:r>
      <w:r w:rsidR="00E36FE7">
        <w:rPr>
          <w:sz w:val="22"/>
          <w:szCs w:val="22"/>
        </w:rPr>
        <w:t>ν</w:t>
      </w:r>
      <w:r w:rsidRPr="00986A91">
        <w:rPr>
          <w:sz w:val="22"/>
          <w:szCs w:val="22"/>
        </w:rPr>
        <w:t xml:space="preserve"> </w:t>
      </w:r>
      <w:r w:rsidR="00E36FE7">
        <w:rPr>
          <w:sz w:val="22"/>
          <w:szCs w:val="22"/>
        </w:rPr>
        <w:t>αυξημένη</w:t>
      </w:r>
      <w:r w:rsidRPr="00986A91">
        <w:rPr>
          <w:sz w:val="22"/>
          <w:szCs w:val="22"/>
        </w:rPr>
        <w:t xml:space="preserve"> καταναλωτική δαπάνη.</w:t>
      </w:r>
    </w:p>
    <w:p w:rsidR="0097301E" w:rsidRDefault="0097301E" w:rsidP="0097301E">
      <w:pPr>
        <w:jc w:val="both"/>
        <w:rPr>
          <w:sz w:val="22"/>
          <w:szCs w:val="22"/>
        </w:rPr>
      </w:pPr>
    </w:p>
    <w:p w:rsidR="0016075B" w:rsidRDefault="0016075B" w:rsidP="0097301E">
      <w:pPr>
        <w:jc w:val="both"/>
        <w:rPr>
          <w:sz w:val="22"/>
          <w:szCs w:val="22"/>
        </w:rPr>
      </w:pPr>
    </w:p>
    <w:p w:rsidR="0016075B" w:rsidRDefault="0016075B" w:rsidP="0097301E">
      <w:pPr>
        <w:jc w:val="both"/>
        <w:rPr>
          <w:sz w:val="22"/>
          <w:szCs w:val="22"/>
        </w:rPr>
      </w:pPr>
    </w:p>
    <w:p w:rsidR="00FE5D7A" w:rsidRPr="0092772E" w:rsidRDefault="00FE5D7A" w:rsidP="006556BD">
      <w:pPr>
        <w:pStyle w:val="af2"/>
        <w:numPr>
          <w:ilvl w:val="0"/>
          <w:numId w:val="18"/>
        </w:numPr>
        <w:spacing w:after="0" w:line="240" w:lineRule="auto"/>
        <w:ind w:left="284" w:hanging="284"/>
        <w:contextualSpacing w:val="0"/>
        <w:jc w:val="both"/>
        <w:rPr>
          <w:rFonts w:ascii="Times New Roman" w:hAnsi="Times New Roman"/>
          <w:b/>
          <w:i/>
        </w:rPr>
      </w:pPr>
      <w:r w:rsidRPr="0092772E">
        <w:rPr>
          <w:rFonts w:ascii="Times New Roman" w:hAnsi="Times New Roman"/>
          <w:b/>
          <w:i/>
        </w:rPr>
        <w:lastRenderedPageBreak/>
        <w:t xml:space="preserve">Φόροι </w:t>
      </w:r>
      <w:r>
        <w:rPr>
          <w:rFonts w:ascii="Times New Roman" w:hAnsi="Times New Roman"/>
          <w:b/>
          <w:i/>
        </w:rPr>
        <w:t>και δασμοί επί εισαγωγ</w:t>
      </w:r>
      <w:r w:rsidRPr="0092772E">
        <w:rPr>
          <w:rFonts w:ascii="Times New Roman" w:hAnsi="Times New Roman"/>
          <w:b/>
          <w:i/>
        </w:rPr>
        <w:t>ών</w:t>
      </w:r>
    </w:p>
    <w:p w:rsidR="00FE5D7A" w:rsidRDefault="00FE5D7A" w:rsidP="00366933">
      <w:pPr>
        <w:jc w:val="both"/>
        <w:rPr>
          <w:sz w:val="22"/>
          <w:szCs w:val="22"/>
        </w:rPr>
      </w:pPr>
    </w:p>
    <w:p w:rsidR="00FE5D7A" w:rsidRDefault="00FE5D7A" w:rsidP="00366933">
      <w:pPr>
        <w:jc w:val="both"/>
        <w:rPr>
          <w:sz w:val="22"/>
          <w:szCs w:val="22"/>
        </w:rPr>
      </w:pPr>
      <w:r>
        <w:rPr>
          <w:sz w:val="22"/>
          <w:szCs w:val="22"/>
        </w:rPr>
        <w:t>Στην κατηγορία αυτή περιλαμβάνονται κυρίως οι δασμοί και τα λοιπά τέλη που επιβάλλονται στις ε</w:t>
      </w:r>
      <w:r>
        <w:rPr>
          <w:sz w:val="22"/>
          <w:szCs w:val="22"/>
        </w:rPr>
        <w:t>ι</w:t>
      </w:r>
      <w:r w:rsidR="000F6E08">
        <w:rPr>
          <w:sz w:val="22"/>
          <w:szCs w:val="22"/>
        </w:rPr>
        <w:t xml:space="preserve">σαγωγές από κράτη μη </w:t>
      </w:r>
      <w:r>
        <w:rPr>
          <w:sz w:val="22"/>
          <w:szCs w:val="22"/>
        </w:rPr>
        <w:t>μέλη της ΕΕ με βάση το κοινό τελωνειακό δασμολόγιο. Εκτιμώνται έσοδα 225 εκατ. ευρώ, αυξημένα κατά 14 εκατ. ευρώ</w:t>
      </w:r>
      <w:r w:rsidR="000C1425">
        <w:rPr>
          <w:sz w:val="22"/>
          <w:szCs w:val="22"/>
        </w:rPr>
        <w:t>,</w:t>
      </w:r>
      <w:r>
        <w:rPr>
          <w:sz w:val="22"/>
          <w:szCs w:val="22"/>
        </w:rPr>
        <w:t xml:space="preserve"> έναντι του στόχου του ΜΠΔΣ 2019-2022.</w:t>
      </w:r>
    </w:p>
    <w:p w:rsidR="00FE5D7A" w:rsidRPr="00986A91" w:rsidRDefault="00FE5D7A" w:rsidP="00366933">
      <w:pPr>
        <w:jc w:val="both"/>
        <w:rPr>
          <w:sz w:val="22"/>
          <w:szCs w:val="22"/>
        </w:rPr>
      </w:pPr>
    </w:p>
    <w:p w:rsidR="00986A91" w:rsidRPr="00FE5D7A" w:rsidRDefault="00986A91" w:rsidP="006556BD">
      <w:pPr>
        <w:pStyle w:val="af2"/>
        <w:numPr>
          <w:ilvl w:val="0"/>
          <w:numId w:val="18"/>
        </w:numPr>
        <w:spacing w:after="0" w:line="240" w:lineRule="auto"/>
        <w:ind w:left="284" w:hanging="284"/>
        <w:contextualSpacing w:val="0"/>
        <w:jc w:val="both"/>
        <w:rPr>
          <w:rFonts w:ascii="Times New Roman" w:hAnsi="Times New Roman"/>
          <w:b/>
          <w:i/>
        </w:rPr>
      </w:pPr>
      <w:r w:rsidRPr="00FE5D7A">
        <w:rPr>
          <w:rFonts w:ascii="Times New Roman" w:hAnsi="Times New Roman"/>
          <w:b/>
          <w:i/>
        </w:rPr>
        <w:t>Τακτικοί φόροι ακίνητης περιουσίας</w:t>
      </w:r>
    </w:p>
    <w:p w:rsidR="00986A91" w:rsidRPr="00986A91" w:rsidRDefault="00986A91" w:rsidP="00366933">
      <w:pPr>
        <w:jc w:val="both"/>
        <w:rPr>
          <w:b/>
          <w:i/>
          <w:sz w:val="22"/>
          <w:szCs w:val="22"/>
        </w:rPr>
      </w:pPr>
    </w:p>
    <w:p w:rsidR="00986A91" w:rsidRPr="00986A91" w:rsidRDefault="00986A91" w:rsidP="00366933">
      <w:pPr>
        <w:jc w:val="both"/>
        <w:rPr>
          <w:sz w:val="22"/>
          <w:szCs w:val="22"/>
        </w:rPr>
      </w:pPr>
      <w:r w:rsidRPr="00986A91">
        <w:rPr>
          <w:sz w:val="22"/>
          <w:szCs w:val="22"/>
        </w:rPr>
        <w:t xml:space="preserve">Από τους τακτικούς φόρους ακίνητης περιουσίας, που περιλαμβάνουν κυρίως τον ΕΝΦΙΑ, αναμένεται να εισπραχθούν έσοδα ύψους 3.063 εκατ. ευρώ, μειωμένα σε ταμειακή βάση κατά 281 εκατ. ευρώ </w:t>
      </w:r>
      <w:r w:rsidRPr="00986A91">
        <w:rPr>
          <w:sz w:val="22"/>
          <w:szCs w:val="22"/>
        </w:rPr>
        <w:t>έ</w:t>
      </w:r>
      <w:r w:rsidRPr="00986A91">
        <w:rPr>
          <w:sz w:val="22"/>
          <w:szCs w:val="22"/>
        </w:rPr>
        <w:t xml:space="preserve">ναντι του στόχου, αυξημένα όμως κατά 41 εκατ. ευρώ σε δημοσιονομική βάση. Αυτό οφείλεται στο γεγονός της μετακύλισης της τελευταίας δόσης του ΕΝΦΙΑ </w:t>
      </w:r>
      <w:r w:rsidR="00980C38">
        <w:rPr>
          <w:sz w:val="22"/>
          <w:szCs w:val="22"/>
        </w:rPr>
        <w:t xml:space="preserve">έτους </w:t>
      </w:r>
      <w:r w:rsidRPr="00986A91">
        <w:rPr>
          <w:sz w:val="22"/>
          <w:szCs w:val="22"/>
        </w:rPr>
        <w:t xml:space="preserve">2018 </w:t>
      </w:r>
      <w:r w:rsidR="00E36FE7">
        <w:rPr>
          <w:sz w:val="22"/>
          <w:szCs w:val="22"/>
        </w:rPr>
        <w:t>σ</w:t>
      </w:r>
      <w:r w:rsidRPr="00986A91">
        <w:rPr>
          <w:sz w:val="22"/>
          <w:szCs w:val="22"/>
        </w:rPr>
        <w:t xml:space="preserve">τον Ιανουάριο 2019, που όμως δημοσιονομικά </w:t>
      </w:r>
      <w:r w:rsidR="00980C38">
        <w:rPr>
          <w:sz w:val="22"/>
          <w:szCs w:val="22"/>
        </w:rPr>
        <w:t>συν</w:t>
      </w:r>
      <w:r w:rsidRPr="00986A91">
        <w:rPr>
          <w:sz w:val="22"/>
          <w:szCs w:val="22"/>
        </w:rPr>
        <w:t>υπολογίζεται στα έσοδα του 2018.</w:t>
      </w:r>
    </w:p>
    <w:p w:rsidR="003C2FC0" w:rsidRDefault="003C2FC0" w:rsidP="00366933">
      <w:pPr>
        <w:jc w:val="both"/>
        <w:rPr>
          <w:bCs/>
          <w:sz w:val="22"/>
          <w:szCs w:val="22"/>
        </w:rPr>
      </w:pPr>
    </w:p>
    <w:p w:rsidR="00B053DB" w:rsidRPr="00FE5D7A" w:rsidRDefault="00B053DB" w:rsidP="006556BD">
      <w:pPr>
        <w:pStyle w:val="af2"/>
        <w:numPr>
          <w:ilvl w:val="0"/>
          <w:numId w:val="18"/>
        </w:numPr>
        <w:spacing w:after="0" w:line="240" w:lineRule="auto"/>
        <w:ind w:left="284" w:hanging="284"/>
        <w:contextualSpacing w:val="0"/>
        <w:jc w:val="both"/>
        <w:rPr>
          <w:rFonts w:ascii="Times New Roman" w:hAnsi="Times New Roman"/>
          <w:b/>
          <w:i/>
        </w:rPr>
      </w:pPr>
      <w:r w:rsidRPr="00FE5D7A">
        <w:rPr>
          <w:rFonts w:ascii="Times New Roman" w:hAnsi="Times New Roman"/>
          <w:b/>
          <w:i/>
        </w:rPr>
        <w:t>Λοιποί φόροι παραγωγής</w:t>
      </w:r>
    </w:p>
    <w:p w:rsidR="00B053DB" w:rsidRPr="00986A91" w:rsidRDefault="00B053DB" w:rsidP="00366933">
      <w:pPr>
        <w:jc w:val="both"/>
        <w:rPr>
          <w:sz w:val="22"/>
          <w:szCs w:val="22"/>
        </w:rPr>
      </w:pPr>
    </w:p>
    <w:p w:rsidR="00B053DB" w:rsidRPr="00986A91" w:rsidRDefault="00B053DB" w:rsidP="00366933">
      <w:pPr>
        <w:jc w:val="both"/>
        <w:rPr>
          <w:sz w:val="22"/>
          <w:szCs w:val="22"/>
        </w:rPr>
      </w:pPr>
      <w:r w:rsidRPr="00986A91">
        <w:rPr>
          <w:sz w:val="22"/>
          <w:szCs w:val="22"/>
        </w:rPr>
        <w:t xml:space="preserve">Τα κύρια έσοδα της κατηγορίας αυτής προέρχονται από το τέλος επιτηδεύματος και τη συμμετοχή του Δημοσίου στα κέρδη της Τράπεζας της Ελλάδος. Από τους λοιπούς φόρους παραγωγής εκτιμάται ότι θα εισπραχθούν 1.209 εκατ. ευρώ, πλησίον του στόχου του ΜΠΔΣ </w:t>
      </w:r>
      <w:r w:rsidR="00980C38">
        <w:rPr>
          <w:sz w:val="22"/>
          <w:szCs w:val="22"/>
        </w:rPr>
        <w:t>(</w:t>
      </w:r>
      <w:r>
        <w:rPr>
          <w:sz w:val="22"/>
          <w:szCs w:val="22"/>
        </w:rPr>
        <w:t>ύψους</w:t>
      </w:r>
      <w:r w:rsidRPr="00986A91">
        <w:rPr>
          <w:sz w:val="22"/>
          <w:szCs w:val="22"/>
        </w:rPr>
        <w:t xml:space="preserve"> 1.222 εκατ. ευρώ</w:t>
      </w:r>
      <w:r w:rsidR="00980C38">
        <w:rPr>
          <w:sz w:val="22"/>
          <w:szCs w:val="22"/>
        </w:rPr>
        <w:t>)</w:t>
      </w:r>
      <w:r w:rsidRPr="00986A91">
        <w:rPr>
          <w:sz w:val="22"/>
          <w:szCs w:val="22"/>
        </w:rPr>
        <w:t xml:space="preserve">. </w:t>
      </w:r>
    </w:p>
    <w:p w:rsidR="00B053DB" w:rsidRDefault="00B053DB" w:rsidP="00366933">
      <w:pPr>
        <w:jc w:val="both"/>
        <w:rPr>
          <w:sz w:val="22"/>
          <w:szCs w:val="22"/>
        </w:rPr>
      </w:pPr>
    </w:p>
    <w:p w:rsidR="003C2FC0" w:rsidRPr="00FE5D7A" w:rsidRDefault="003C2FC0" w:rsidP="006556BD">
      <w:pPr>
        <w:pStyle w:val="af2"/>
        <w:numPr>
          <w:ilvl w:val="0"/>
          <w:numId w:val="18"/>
        </w:numPr>
        <w:spacing w:after="0" w:line="240" w:lineRule="auto"/>
        <w:ind w:left="284" w:hanging="284"/>
        <w:contextualSpacing w:val="0"/>
        <w:jc w:val="both"/>
        <w:rPr>
          <w:rFonts w:ascii="Times New Roman" w:hAnsi="Times New Roman"/>
          <w:b/>
          <w:i/>
        </w:rPr>
      </w:pPr>
      <w:r w:rsidRPr="00FE5D7A">
        <w:rPr>
          <w:rFonts w:ascii="Times New Roman" w:hAnsi="Times New Roman"/>
          <w:b/>
          <w:i/>
        </w:rPr>
        <w:t>Φόρος εισοδήματος</w:t>
      </w:r>
    </w:p>
    <w:p w:rsidR="003C2FC0" w:rsidRPr="00986A91" w:rsidRDefault="003C2FC0" w:rsidP="00366933">
      <w:pPr>
        <w:jc w:val="both"/>
        <w:rPr>
          <w:sz w:val="22"/>
          <w:szCs w:val="22"/>
        </w:rPr>
      </w:pPr>
    </w:p>
    <w:p w:rsidR="003C2FC0" w:rsidRPr="00986A91" w:rsidRDefault="003C2FC0" w:rsidP="00366933">
      <w:pPr>
        <w:jc w:val="both"/>
        <w:rPr>
          <w:sz w:val="22"/>
          <w:szCs w:val="22"/>
        </w:rPr>
      </w:pPr>
      <w:r w:rsidRPr="00986A91">
        <w:rPr>
          <w:sz w:val="22"/>
          <w:szCs w:val="22"/>
        </w:rPr>
        <w:t>Από το φόρο εισοδήματος (φυσ</w:t>
      </w:r>
      <w:r w:rsidR="00B053DB">
        <w:rPr>
          <w:sz w:val="22"/>
          <w:szCs w:val="22"/>
        </w:rPr>
        <w:t>ικών προσώπων, νομικών προσώπων και</w:t>
      </w:r>
      <w:r w:rsidRPr="00986A91">
        <w:rPr>
          <w:sz w:val="22"/>
          <w:szCs w:val="22"/>
        </w:rPr>
        <w:t xml:space="preserve"> </w:t>
      </w:r>
      <w:r w:rsidR="00FE5D7A">
        <w:rPr>
          <w:sz w:val="22"/>
          <w:szCs w:val="22"/>
        </w:rPr>
        <w:t>ειδικών κατηγοριών</w:t>
      </w:r>
      <w:r w:rsidRPr="00986A91">
        <w:rPr>
          <w:sz w:val="22"/>
          <w:szCs w:val="22"/>
        </w:rPr>
        <w:t>), αναμ</w:t>
      </w:r>
      <w:r w:rsidRPr="00986A91">
        <w:rPr>
          <w:sz w:val="22"/>
          <w:szCs w:val="22"/>
        </w:rPr>
        <w:t>έ</w:t>
      </w:r>
      <w:r w:rsidRPr="00986A91">
        <w:rPr>
          <w:sz w:val="22"/>
          <w:szCs w:val="22"/>
        </w:rPr>
        <w:t>νεται να εισπραχθούν έσοδα ύψους 16.</w:t>
      </w:r>
      <w:r w:rsidR="000C1425">
        <w:rPr>
          <w:sz w:val="22"/>
          <w:szCs w:val="22"/>
        </w:rPr>
        <w:t>644</w:t>
      </w:r>
      <w:r w:rsidRPr="00986A91">
        <w:rPr>
          <w:sz w:val="22"/>
          <w:szCs w:val="22"/>
        </w:rPr>
        <w:t xml:space="preserve"> εκατ. ευρ</w:t>
      </w:r>
      <w:r w:rsidR="00FE5D7A">
        <w:rPr>
          <w:sz w:val="22"/>
          <w:szCs w:val="22"/>
        </w:rPr>
        <w:t xml:space="preserve">ώ, παρουσιάζοντας αύξηση κατά </w:t>
      </w:r>
      <w:r w:rsidR="000C1425">
        <w:rPr>
          <w:sz w:val="22"/>
          <w:szCs w:val="22"/>
        </w:rPr>
        <w:t>373</w:t>
      </w:r>
      <w:r w:rsidR="00713E61">
        <w:rPr>
          <w:sz w:val="22"/>
          <w:szCs w:val="22"/>
        </w:rPr>
        <w:t xml:space="preserve"> εκατ. ευρώ ή </w:t>
      </w:r>
      <w:r w:rsidR="00A2307E" w:rsidRPr="00F327BC">
        <w:rPr>
          <w:sz w:val="22"/>
          <w:szCs w:val="22"/>
        </w:rPr>
        <w:t>2,3</w:t>
      </w:r>
      <w:r w:rsidRPr="00986A91">
        <w:rPr>
          <w:sz w:val="22"/>
          <w:szCs w:val="22"/>
        </w:rPr>
        <w:t>%, έναντι του στόχου του ΜΠΔΣ 2019-2022. Η αύξηση αυτή προέρχεται κυρίως από το φόρο εισοδήματος νομικών προσώπων και από τον παρακρατούμενο φόρο εισοδήματος στα φυσικά πρ</w:t>
      </w:r>
      <w:r w:rsidRPr="00986A91">
        <w:rPr>
          <w:sz w:val="22"/>
          <w:szCs w:val="22"/>
        </w:rPr>
        <w:t>ό</w:t>
      </w:r>
      <w:r w:rsidRPr="00986A91">
        <w:rPr>
          <w:sz w:val="22"/>
          <w:szCs w:val="22"/>
        </w:rPr>
        <w:t>σω</w:t>
      </w:r>
      <w:r w:rsidR="00AF4B5B">
        <w:rPr>
          <w:sz w:val="22"/>
          <w:szCs w:val="22"/>
        </w:rPr>
        <w:t>πα</w:t>
      </w:r>
      <w:r w:rsidR="006073A5">
        <w:rPr>
          <w:sz w:val="22"/>
          <w:szCs w:val="22"/>
        </w:rPr>
        <w:t>,</w:t>
      </w:r>
      <w:r w:rsidR="00AF4B5B">
        <w:rPr>
          <w:sz w:val="22"/>
          <w:szCs w:val="22"/>
        </w:rPr>
        <w:t xml:space="preserve"> και ιδίως από την παρακράτηση του φόρου λόγω καταβολής </w:t>
      </w:r>
      <w:r w:rsidR="00626AD7">
        <w:rPr>
          <w:sz w:val="22"/>
          <w:szCs w:val="22"/>
        </w:rPr>
        <w:t>του εφάπαξ χρηματικού ποσού σε διάφορες κατηγορίες δικαιούχων ειδικών μισθολογίων.</w:t>
      </w:r>
    </w:p>
    <w:p w:rsidR="003C2FC0" w:rsidRDefault="003C2FC0" w:rsidP="00366933">
      <w:pPr>
        <w:jc w:val="both"/>
        <w:rPr>
          <w:sz w:val="22"/>
          <w:szCs w:val="22"/>
        </w:rPr>
      </w:pPr>
    </w:p>
    <w:p w:rsidR="00A22338" w:rsidRPr="00FE5D7A" w:rsidRDefault="00A22338" w:rsidP="006556BD">
      <w:pPr>
        <w:pStyle w:val="af2"/>
        <w:numPr>
          <w:ilvl w:val="0"/>
          <w:numId w:val="18"/>
        </w:numPr>
        <w:spacing w:after="0" w:line="240" w:lineRule="auto"/>
        <w:ind w:left="284" w:hanging="284"/>
        <w:contextualSpacing w:val="0"/>
        <w:jc w:val="both"/>
        <w:rPr>
          <w:rFonts w:ascii="Times New Roman" w:hAnsi="Times New Roman"/>
          <w:b/>
          <w:i/>
        </w:rPr>
      </w:pPr>
      <w:r w:rsidRPr="00FE5D7A">
        <w:rPr>
          <w:rFonts w:ascii="Times New Roman" w:hAnsi="Times New Roman"/>
          <w:b/>
          <w:i/>
        </w:rPr>
        <w:t>Φόρο</w:t>
      </w:r>
      <w:r>
        <w:rPr>
          <w:rFonts w:ascii="Times New Roman" w:hAnsi="Times New Roman"/>
          <w:b/>
          <w:i/>
        </w:rPr>
        <w:t>ι κεφαλαίου</w:t>
      </w:r>
    </w:p>
    <w:p w:rsidR="00A22338" w:rsidRDefault="00A22338" w:rsidP="00366933">
      <w:pPr>
        <w:jc w:val="both"/>
        <w:rPr>
          <w:sz w:val="22"/>
          <w:szCs w:val="22"/>
        </w:rPr>
      </w:pPr>
    </w:p>
    <w:p w:rsidR="00A22338" w:rsidRDefault="00A22338" w:rsidP="00366933">
      <w:pPr>
        <w:jc w:val="both"/>
        <w:rPr>
          <w:sz w:val="22"/>
          <w:szCs w:val="22"/>
        </w:rPr>
      </w:pPr>
      <w:r>
        <w:rPr>
          <w:sz w:val="22"/>
          <w:szCs w:val="22"/>
        </w:rPr>
        <w:t>Στην κατηγορία αυτή περιλαμβάνονται οι φόροι και τα τέλη των κληρονομιών, των δωρεών, των γ</w:t>
      </w:r>
      <w:r>
        <w:rPr>
          <w:sz w:val="22"/>
          <w:szCs w:val="22"/>
        </w:rPr>
        <w:t>ο</w:t>
      </w:r>
      <w:r>
        <w:rPr>
          <w:sz w:val="22"/>
          <w:szCs w:val="22"/>
        </w:rPr>
        <w:t>νικών και λοιπών παροχ</w:t>
      </w:r>
      <w:r w:rsidR="005530E5">
        <w:rPr>
          <w:sz w:val="22"/>
          <w:szCs w:val="22"/>
        </w:rPr>
        <w:t>ών. Εκτιμώνται έσοδα 163 εκατ. ευρώ, αυξημένα κατά 8 εκατ. ευρώ, έναντι του στόχου του ΜΠΔΣ 2019-2022.</w:t>
      </w:r>
    </w:p>
    <w:p w:rsidR="005530E5" w:rsidRPr="00986A91" w:rsidRDefault="005530E5" w:rsidP="00366933">
      <w:pPr>
        <w:jc w:val="both"/>
        <w:rPr>
          <w:sz w:val="22"/>
          <w:szCs w:val="22"/>
        </w:rPr>
      </w:pPr>
    </w:p>
    <w:p w:rsidR="003C2FC0" w:rsidRPr="00FE5D7A" w:rsidRDefault="003C2FC0" w:rsidP="006556BD">
      <w:pPr>
        <w:pStyle w:val="af2"/>
        <w:numPr>
          <w:ilvl w:val="0"/>
          <w:numId w:val="18"/>
        </w:numPr>
        <w:spacing w:after="0" w:line="240" w:lineRule="auto"/>
        <w:ind w:left="284" w:hanging="284"/>
        <w:contextualSpacing w:val="0"/>
        <w:jc w:val="both"/>
        <w:rPr>
          <w:rFonts w:ascii="Times New Roman" w:hAnsi="Times New Roman"/>
          <w:b/>
          <w:i/>
        </w:rPr>
      </w:pPr>
      <w:r w:rsidRPr="00FE5D7A">
        <w:rPr>
          <w:rFonts w:ascii="Times New Roman" w:hAnsi="Times New Roman"/>
          <w:b/>
          <w:i/>
        </w:rPr>
        <w:t>Λοιποί τρέχοντες φόροι</w:t>
      </w:r>
    </w:p>
    <w:p w:rsidR="003C2FC0" w:rsidRPr="00986A91" w:rsidRDefault="003C2FC0" w:rsidP="00366933">
      <w:pPr>
        <w:jc w:val="both"/>
        <w:rPr>
          <w:b/>
          <w:i/>
          <w:sz w:val="22"/>
          <w:szCs w:val="22"/>
        </w:rPr>
      </w:pPr>
    </w:p>
    <w:p w:rsidR="003C2FC0" w:rsidRPr="00986A91" w:rsidRDefault="003C2FC0" w:rsidP="00366933">
      <w:pPr>
        <w:jc w:val="both"/>
        <w:rPr>
          <w:sz w:val="22"/>
          <w:szCs w:val="22"/>
        </w:rPr>
      </w:pPr>
      <w:r w:rsidRPr="00986A91">
        <w:rPr>
          <w:sz w:val="22"/>
          <w:szCs w:val="22"/>
        </w:rPr>
        <w:t>Η κατηγορία αυτή περιλαμβάνει κυρίως τα τέλη κυκλοφορίας οχημάτων και τα διάφορα μη ταξινομ</w:t>
      </w:r>
      <w:r w:rsidRPr="00986A91">
        <w:rPr>
          <w:sz w:val="22"/>
          <w:szCs w:val="22"/>
        </w:rPr>
        <w:t>η</w:t>
      </w:r>
      <w:r w:rsidRPr="00986A91">
        <w:rPr>
          <w:sz w:val="22"/>
          <w:szCs w:val="22"/>
        </w:rPr>
        <w:t>μένα φορολογικά έσοδα. Τα έσοδα από τους λοιπούς τρέχοντες φόρους αναμένεται να ανέλθουν στο ποσό των 2.598 εκατ. ευρώ, αυξημένα κατά 146 εκατ. ευρώ, έναντι του στόχου του Μ</w:t>
      </w:r>
      <w:r w:rsidR="00BF78AB">
        <w:rPr>
          <w:sz w:val="22"/>
          <w:szCs w:val="22"/>
        </w:rPr>
        <w:t>ΠΔΣ 2019-2022.</w:t>
      </w:r>
    </w:p>
    <w:p w:rsidR="00366933" w:rsidRDefault="00366933" w:rsidP="00366933">
      <w:pPr>
        <w:jc w:val="both"/>
        <w:rPr>
          <w:rFonts w:ascii="Arial Narrow" w:hAnsi="Arial Narrow"/>
          <w:b/>
          <w:i/>
          <w:sz w:val="22"/>
          <w:szCs w:val="22"/>
        </w:rPr>
      </w:pPr>
    </w:p>
    <w:p w:rsidR="00366933" w:rsidRPr="00C20BBA" w:rsidRDefault="00366933" w:rsidP="00366933">
      <w:pPr>
        <w:jc w:val="both"/>
        <w:rPr>
          <w:rFonts w:ascii="Arial Narrow" w:hAnsi="Arial Narrow"/>
          <w:b/>
          <w:i/>
          <w:sz w:val="22"/>
          <w:szCs w:val="22"/>
        </w:rPr>
      </w:pPr>
      <w:r>
        <w:rPr>
          <w:rFonts w:ascii="Arial Narrow" w:hAnsi="Arial Narrow"/>
          <w:b/>
          <w:i/>
          <w:sz w:val="22"/>
          <w:szCs w:val="22"/>
        </w:rPr>
        <w:t>Κοινωνικές εισφορές</w:t>
      </w:r>
    </w:p>
    <w:p w:rsidR="003C2FC0" w:rsidRDefault="003C2FC0" w:rsidP="00366933">
      <w:pPr>
        <w:jc w:val="both"/>
        <w:rPr>
          <w:sz w:val="22"/>
          <w:szCs w:val="22"/>
        </w:rPr>
      </w:pPr>
    </w:p>
    <w:p w:rsidR="00366933" w:rsidRPr="00986A91" w:rsidRDefault="00366933" w:rsidP="00366933">
      <w:pPr>
        <w:jc w:val="both"/>
        <w:rPr>
          <w:sz w:val="22"/>
          <w:szCs w:val="22"/>
        </w:rPr>
      </w:pPr>
      <w:r>
        <w:rPr>
          <w:sz w:val="22"/>
          <w:szCs w:val="22"/>
        </w:rPr>
        <w:t>Η κατηγορία αυτή περιλαμβάνει κυρίως τις εισφορές των εργαζομένων για παροχές υγείας από</w:t>
      </w:r>
      <w:r w:rsidR="00236900">
        <w:rPr>
          <w:sz w:val="22"/>
          <w:szCs w:val="22"/>
        </w:rPr>
        <w:t xml:space="preserve"> το Δημόσιο. Εκτιμώνται έσοδα 71</w:t>
      </w:r>
      <w:r>
        <w:rPr>
          <w:sz w:val="22"/>
          <w:szCs w:val="22"/>
        </w:rPr>
        <w:t xml:space="preserve"> εκατ. ευρώ, αυξημένα κατά </w:t>
      </w:r>
      <w:r w:rsidR="00236900">
        <w:rPr>
          <w:sz w:val="22"/>
          <w:szCs w:val="22"/>
        </w:rPr>
        <w:t>20</w:t>
      </w:r>
      <w:r>
        <w:rPr>
          <w:sz w:val="22"/>
          <w:szCs w:val="22"/>
        </w:rPr>
        <w:t xml:space="preserve"> εκατ. ευρώ, έναντι του στόχου του ΜΠΔΣ 2019-2022.</w:t>
      </w:r>
    </w:p>
    <w:p w:rsidR="00366933" w:rsidRDefault="00366933" w:rsidP="00366933">
      <w:pPr>
        <w:jc w:val="both"/>
        <w:rPr>
          <w:rFonts w:ascii="Arial Narrow" w:hAnsi="Arial Narrow"/>
          <w:b/>
          <w:i/>
          <w:sz w:val="22"/>
          <w:szCs w:val="22"/>
        </w:rPr>
      </w:pPr>
    </w:p>
    <w:p w:rsidR="003C2FC0" w:rsidRPr="00C20BBA" w:rsidRDefault="003C2FC0" w:rsidP="00366933">
      <w:pPr>
        <w:jc w:val="both"/>
        <w:rPr>
          <w:rFonts w:ascii="Arial Narrow" w:hAnsi="Arial Narrow"/>
          <w:b/>
          <w:i/>
          <w:sz w:val="22"/>
          <w:szCs w:val="22"/>
        </w:rPr>
      </w:pPr>
      <w:r w:rsidRPr="00C20BBA">
        <w:rPr>
          <w:rFonts w:ascii="Arial Narrow" w:hAnsi="Arial Narrow"/>
          <w:b/>
          <w:i/>
          <w:sz w:val="22"/>
          <w:szCs w:val="22"/>
        </w:rPr>
        <w:t>Μεταβιβάσεις</w:t>
      </w:r>
    </w:p>
    <w:p w:rsidR="003C2FC0" w:rsidRPr="00986A91" w:rsidRDefault="003C2FC0" w:rsidP="00366933">
      <w:pPr>
        <w:jc w:val="both"/>
        <w:rPr>
          <w:sz w:val="22"/>
          <w:szCs w:val="22"/>
        </w:rPr>
      </w:pPr>
    </w:p>
    <w:p w:rsidR="00366933" w:rsidRDefault="003C2FC0" w:rsidP="00366933">
      <w:pPr>
        <w:jc w:val="both"/>
        <w:rPr>
          <w:sz w:val="22"/>
          <w:szCs w:val="22"/>
        </w:rPr>
      </w:pPr>
      <w:r w:rsidRPr="00986A91">
        <w:rPr>
          <w:sz w:val="22"/>
          <w:szCs w:val="22"/>
        </w:rPr>
        <w:t xml:space="preserve">Σε αυτή </w:t>
      </w:r>
      <w:r w:rsidR="00626AD7">
        <w:rPr>
          <w:sz w:val="22"/>
          <w:szCs w:val="22"/>
        </w:rPr>
        <w:t>την κατηγορία εσόδων περιλαμβάνον</w:t>
      </w:r>
      <w:r w:rsidRPr="00986A91">
        <w:rPr>
          <w:sz w:val="22"/>
          <w:szCs w:val="22"/>
        </w:rPr>
        <w:t xml:space="preserve">ται </w:t>
      </w:r>
      <w:r w:rsidR="00B25BEF">
        <w:rPr>
          <w:sz w:val="22"/>
          <w:szCs w:val="22"/>
        </w:rPr>
        <w:t>κυρ</w:t>
      </w:r>
      <w:r w:rsidR="001D2CEE">
        <w:rPr>
          <w:sz w:val="22"/>
          <w:szCs w:val="22"/>
        </w:rPr>
        <w:t>ίως</w:t>
      </w:r>
      <w:r w:rsidR="00366933">
        <w:rPr>
          <w:sz w:val="22"/>
          <w:szCs w:val="22"/>
        </w:rPr>
        <w:t>:</w:t>
      </w:r>
    </w:p>
    <w:p w:rsidR="00F66938" w:rsidRDefault="00F66938" w:rsidP="00366933">
      <w:pPr>
        <w:jc w:val="both"/>
        <w:rPr>
          <w:sz w:val="22"/>
          <w:szCs w:val="22"/>
        </w:rPr>
      </w:pPr>
    </w:p>
    <w:p w:rsidR="00366933" w:rsidRDefault="003C2FC0" w:rsidP="006556BD">
      <w:pPr>
        <w:pStyle w:val="af2"/>
        <w:numPr>
          <w:ilvl w:val="0"/>
          <w:numId w:val="18"/>
        </w:numPr>
        <w:spacing w:after="0" w:line="240" w:lineRule="auto"/>
        <w:ind w:left="425" w:hanging="425"/>
        <w:contextualSpacing w:val="0"/>
        <w:jc w:val="both"/>
        <w:rPr>
          <w:rFonts w:ascii="Times New Roman" w:hAnsi="Times New Roman"/>
        </w:rPr>
      </w:pPr>
      <w:r w:rsidRPr="00366933">
        <w:rPr>
          <w:rFonts w:ascii="Times New Roman" w:hAnsi="Times New Roman"/>
        </w:rPr>
        <w:lastRenderedPageBreak/>
        <w:t>το συγχρηματοδοτούμενο σκέλος του Προγράμματος Δημοσίων Επενδύσεων</w:t>
      </w:r>
      <w:r w:rsidR="0076735A">
        <w:rPr>
          <w:rFonts w:ascii="Times New Roman" w:hAnsi="Times New Roman"/>
        </w:rPr>
        <w:t xml:space="preserve"> (ΠΔΕ)</w:t>
      </w:r>
      <w:r w:rsidRPr="00366933">
        <w:rPr>
          <w:rFonts w:ascii="Times New Roman" w:hAnsi="Times New Roman"/>
        </w:rPr>
        <w:t xml:space="preserve"> που αναμ</w:t>
      </w:r>
      <w:r w:rsidRPr="00366933">
        <w:rPr>
          <w:rFonts w:ascii="Times New Roman" w:hAnsi="Times New Roman"/>
        </w:rPr>
        <w:t>έ</w:t>
      </w:r>
      <w:r w:rsidRPr="00366933">
        <w:rPr>
          <w:rFonts w:ascii="Times New Roman" w:hAnsi="Times New Roman"/>
        </w:rPr>
        <w:t>νεται να α</w:t>
      </w:r>
      <w:r w:rsidR="00366933">
        <w:rPr>
          <w:rFonts w:ascii="Times New Roman" w:hAnsi="Times New Roman"/>
        </w:rPr>
        <w:t xml:space="preserve">νέλθει σε 3.555 εκατ. ευρώ, </w:t>
      </w:r>
      <w:r w:rsidR="00236900">
        <w:rPr>
          <w:rFonts w:ascii="Times New Roman" w:hAnsi="Times New Roman"/>
        </w:rPr>
        <w:t xml:space="preserve">καθώς </w:t>
      </w:r>
      <w:r w:rsidR="00366933">
        <w:rPr>
          <w:rFonts w:ascii="Times New Roman" w:hAnsi="Times New Roman"/>
        </w:rPr>
        <w:t>και</w:t>
      </w:r>
      <w:r w:rsidR="00236900">
        <w:rPr>
          <w:rFonts w:ascii="Times New Roman" w:hAnsi="Times New Roman"/>
        </w:rPr>
        <w:t xml:space="preserve"> μικρό μέρος του εθνικού σκέλους του ΠΔΕ, ύψους 22 εκατ. ευρώ,</w:t>
      </w:r>
    </w:p>
    <w:p w:rsidR="00366933" w:rsidRDefault="003C2FC0" w:rsidP="006556BD">
      <w:pPr>
        <w:pStyle w:val="af2"/>
        <w:numPr>
          <w:ilvl w:val="0"/>
          <w:numId w:val="18"/>
        </w:numPr>
        <w:spacing w:after="0" w:line="240" w:lineRule="auto"/>
        <w:ind w:left="425" w:hanging="425"/>
        <w:contextualSpacing w:val="0"/>
        <w:jc w:val="both"/>
        <w:rPr>
          <w:rFonts w:ascii="Times New Roman" w:hAnsi="Times New Roman"/>
        </w:rPr>
      </w:pPr>
      <w:r w:rsidRPr="00366933">
        <w:rPr>
          <w:rFonts w:ascii="Times New Roman" w:hAnsi="Times New Roman"/>
        </w:rPr>
        <w:t>τα έσοδα από τη μεταφορά αποδόσεων λόγω της διακράτησης ομολόγων του Ελληνικού Δημοσ</w:t>
      </w:r>
      <w:r w:rsidRPr="00366933">
        <w:rPr>
          <w:rFonts w:ascii="Times New Roman" w:hAnsi="Times New Roman"/>
        </w:rPr>
        <w:t>ί</w:t>
      </w:r>
      <w:r w:rsidRPr="00366933">
        <w:rPr>
          <w:rFonts w:ascii="Times New Roman" w:hAnsi="Times New Roman"/>
        </w:rPr>
        <w:t xml:space="preserve">ου στα χαρτοφυλάκια των Κεντρικών Τραπεζών του Ευρωσυστήματος (ANFAs), καθώς και από το Πρόγραμμα Αγοράς Ομολόγων (SMPs), της Ευρωπαϊκής Κεντρικής Τράπεζας (ΕΚΤ), όπου και προβλέπονται έσοδα ύψους 314 εκατ. ευρώ. Σημειώνεται ότι τα έσοδα αυτά κατατίθενται </w:t>
      </w:r>
      <w:r w:rsidRPr="00366933">
        <w:rPr>
          <w:rFonts w:ascii="Times New Roman" w:hAnsi="Times New Roman"/>
        </w:rPr>
        <w:t>α</w:t>
      </w:r>
      <w:r w:rsidRPr="00366933">
        <w:rPr>
          <w:rFonts w:ascii="Times New Roman" w:hAnsi="Times New Roman"/>
        </w:rPr>
        <w:t xml:space="preserve">πευθείας στον ειδικό λογαριασμό εξυπηρέτησης του δημόσιου χρέους (Segregated </w:t>
      </w:r>
      <w:r w:rsidRPr="00366933">
        <w:rPr>
          <w:rFonts w:ascii="Times New Roman" w:hAnsi="Times New Roman"/>
          <w:lang w:val="en-US"/>
        </w:rPr>
        <w:t>A</w:t>
      </w:r>
      <w:r w:rsidRPr="00366933">
        <w:rPr>
          <w:rFonts w:ascii="Times New Roman" w:hAnsi="Times New Roman"/>
        </w:rPr>
        <w:t>ccount) και δεν υπολογίζονται στο αποτέλεσμα της Γενικής Κυβέρνησης, σύμφωνα με τους όρους της Ενι</w:t>
      </w:r>
      <w:r w:rsidR="00236900">
        <w:rPr>
          <w:rFonts w:ascii="Times New Roman" w:hAnsi="Times New Roman"/>
        </w:rPr>
        <w:t>σ</w:t>
      </w:r>
      <w:r w:rsidR="00236900">
        <w:rPr>
          <w:rFonts w:ascii="Times New Roman" w:hAnsi="Times New Roman"/>
        </w:rPr>
        <w:t>χυμένης Εποπτείας,</w:t>
      </w:r>
    </w:p>
    <w:p w:rsidR="00236900" w:rsidRDefault="00236900" w:rsidP="006556BD">
      <w:pPr>
        <w:pStyle w:val="af2"/>
        <w:numPr>
          <w:ilvl w:val="0"/>
          <w:numId w:val="18"/>
        </w:numPr>
        <w:spacing w:after="0" w:line="240" w:lineRule="auto"/>
        <w:ind w:left="425" w:hanging="425"/>
        <w:contextualSpacing w:val="0"/>
        <w:jc w:val="both"/>
        <w:rPr>
          <w:rFonts w:ascii="Times New Roman" w:hAnsi="Times New Roman"/>
        </w:rPr>
      </w:pPr>
      <w:r>
        <w:rPr>
          <w:rFonts w:ascii="Times New Roman" w:hAnsi="Times New Roman"/>
        </w:rPr>
        <w:t>οι μεταβιβάσεις από τα κοινοτικά ταμεία και τα κράτη μέλη της ΕΕ που αφορούν τον τακτικό προϋπολογισμό, συμπεριλαμβανομένων των απολήψεων από το ΕΓΤΑΑ και των δράσεων μετ</w:t>
      </w:r>
      <w:r>
        <w:rPr>
          <w:rFonts w:ascii="Times New Roman" w:hAnsi="Times New Roman"/>
        </w:rPr>
        <w:t>α</w:t>
      </w:r>
      <w:r>
        <w:rPr>
          <w:rFonts w:ascii="Times New Roman" w:hAnsi="Times New Roman"/>
        </w:rPr>
        <w:t>ναστευτικών ροών συνολικών εκτιμώμενων εσόδων ύψους 229 εκατ. ευρώ.</w:t>
      </w:r>
    </w:p>
    <w:p w:rsidR="00F66938" w:rsidRDefault="00F66938" w:rsidP="00F66938">
      <w:pPr>
        <w:pStyle w:val="af2"/>
        <w:spacing w:after="0" w:line="240" w:lineRule="auto"/>
        <w:ind w:left="425"/>
        <w:contextualSpacing w:val="0"/>
        <w:jc w:val="both"/>
        <w:rPr>
          <w:rFonts w:ascii="Times New Roman" w:hAnsi="Times New Roman"/>
        </w:rPr>
      </w:pPr>
    </w:p>
    <w:p w:rsidR="003C2FC0" w:rsidRPr="002D0F0F" w:rsidRDefault="003C2FC0" w:rsidP="00366933">
      <w:pPr>
        <w:jc w:val="both"/>
        <w:rPr>
          <w:sz w:val="22"/>
        </w:rPr>
      </w:pPr>
      <w:r w:rsidRPr="002D0F0F">
        <w:rPr>
          <w:sz w:val="22"/>
        </w:rPr>
        <w:t>Τ</w:t>
      </w:r>
      <w:r w:rsidR="00E660EB" w:rsidRPr="002D0F0F">
        <w:rPr>
          <w:sz w:val="22"/>
        </w:rPr>
        <w:t xml:space="preserve">ο σύνολο των εσόδων </w:t>
      </w:r>
      <w:r w:rsidRPr="002D0F0F">
        <w:rPr>
          <w:sz w:val="22"/>
        </w:rPr>
        <w:t>από μεταβιβάσεις αναμένεται να ανέλθ</w:t>
      </w:r>
      <w:r w:rsidR="00E660EB" w:rsidRPr="002D0F0F">
        <w:rPr>
          <w:sz w:val="22"/>
        </w:rPr>
        <w:t>ει</w:t>
      </w:r>
      <w:r w:rsidRPr="002D0F0F">
        <w:rPr>
          <w:sz w:val="22"/>
        </w:rPr>
        <w:t xml:space="preserve"> στα 4.4</w:t>
      </w:r>
      <w:r w:rsidR="0016075B">
        <w:rPr>
          <w:sz w:val="22"/>
        </w:rPr>
        <w:t>57</w:t>
      </w:r>
      <w:r w:rsidRPr="002D0F0F">
        <w:rPr>
          <w:sz w:val="22"/>
        </w:rPr>
        <w:t xml:space="preserve"> εκατ. ευρώ, πλησίον του στόχου του ΜΠΔΣ </w:t>
      </w:r>
      <w:r w:rsidR="00E660EB" w:rsidRPr="002D0F0F">
        <w:rPr>
          <w:sz w:val="22"/>
        </w:rPr>
        <w:t>2019-2022 ύψους</w:t>
      </w:r>
      <w:r w:rsidR="00236900">
        <w:rPr>
          <w:sz w:val="22"/>
        </w:rPr>
        <w:t xml:space="preserve"> 4.4</w:t>
      </w:r>
      <w:r w:rsidR="0016075B">
        <w:rPr>
          <w:sz w:val="22"/>
        </w:rPr>
        <w:t>48</w:t>
      </w:r>
      <w:r w:rsidRPr="002D0F0F">
        <w:rPr>
          <w:sz w:val="22"/>
        </w:rPr>
        <w:t xml:space="preserve"> εκατ. ευρώ.</w:t>
      </w:r>
    </w:p>
    <w:p w:rsidR="003C2FC0" w:rsidRDefault="003C2FC0" w:rsidP="00366933">
      <w:pPr>
        <w:jc w:val="both"/>
        <w:rPr>
          <w:rFonts w:ascii="Arial Narrow" w:hAnsi="Arial Narrow"/>
          <w:b/>
          <w:i/>
          <w:sz w:val="22"/>
          <w:szCs w:val="22"/>
        </w:rPr>
      </w:pPr>
    </w:p>
    <w:p w:rsidR="003C2FC0" w:rsidRPr="00C20BBA" w:rsidRDefault="003C2FC0" w:rsidP="00366933">
      <w:pPr>
        <w:jc w:val="both"/>
        <w:rPr>
          <w:rFonts w:ascii="Arial Narrow" w:hAnsi="Arial Narrow"/>
          <w:b/>
          <w:i/>
          <w:sz w:val="22"/>
          <w:szCs w:val="22"/>
        </w:rPr>
      </w:pPr>
      <w:r w:rsidRPr="00C20BBA">
        <w:rPr>
          <w:rFonts w:ascii="Arial Narrow" w:hAnsi="Arial Narrow"/>
          <w:b/>
          <w:i/>
          <w:sz w:val="22"/>
          <w:szCs w:val="22"/>
        </w:rPr>
        <w:t>Πωλήσεις αγαθών και υπηρεσιών</w:t>
      </w:r>
    </w:p>
    <w:p w:rsidR="003C2FC0" w:rsidRPr="00986A91" w:rsidRDefault="003C2FC0" w:rsidP="00366933">
      <w:pPr>
        <w:jc w:val="both"/>
        <w:rPr>
          <w:sz w:val="22"/>
          <w:szCs w:val="22"/>
        </w:rPr>
      </w:pPr>
    </w:p>
    <w:p w:rsidR="003C2FC0" w:rsidRPr="00986A91" w:rsidRDefault="003C2FC0" w:rsidP="00366933">
      <w:pPr>
        <w:jc w:val="both"/>
        <w:rPr>
          <w:sz w:val="22"/>
          <w:szCs w:val="22"/>
        </w:rPr>
      </w:pPr>
      <w:r w:rsidRPr="00986A91">
        <w:rPr>
          <w:sz w:val="22"/>
          <w:szCs w:val="22"/>
        </w:rPr>
        <w:t>Η κατηγορία αυτή περιλαμβάνει κυρίως τα έσοδα από παράβολα, από μισθώματα κτιρίων και υποδ</w:t>
      </w:r>
      <w:r w:rsidRPr="00986A91">
        <w:rPr>
          <w:sz w:val="22"/>
          <w:szCs w:val="22"/>
        </w:rPr>
        <w:t>ο</w:t>
      </w:r>
      <w:r w:rsidRPr="00986A91">
        <w:rPr>
          <w:sz w:val="22"/>
          <w:szCs w:val="22"/>
        </w:rPr>
        <w:t>μών και από προμήθειες λόγω παροχής της εγγύησης του Ελληνικού Δημοσίου. Αναμένεται να ει</w:t>
      </w:r>
      <w:r w:rsidRPr="00986A91">
        <w:rPr>
          <w:sz w:val="22"/>
          <w:szCs w:val="22"/>
        </w:rPr>
        <w:t>σ</w:t>
      </w:r>
      <w:r w:rsidRPr="00986A91">
        <w:rPr>
          <w:sz w:val="22"/>
          <w:szCs w:val="22"/>
        </w:rPr>
        <w:t>πραχθούν έσοδα ύψους 1.793 εκατ. ευρώ, έναντι στόχου 1.208 εκατ. ευρώ. Η αύξηση αυτή οφείλεται κυρίως στην αναπροσαρμογή του τιμήματος που αναμένεται να εισπραχθεί από την επέκταση της σύμβασης του Διεθνούς Αερολιμένα Αθηνών για την περίοδο 2026</w:t>
      </w:r>
      <w:r>
        <w:rPr>
          <w:sz w:val="22"/>
          <w:szCs w:val="22"/>
        </w:rPr>
        <w:t>-</w:t>
      </w:r>
      <w:r w:rsidRPr="00986A91">
        <w:rPr>
          <w:sz w:val="22"/>
          <w:szCs w:val="22"/>
        </w:rPr>
        <w:t>2046 (από 484 εκατ. ευρώ σε 1.115 εκατ. ευρώ)</w:t>
      </w:r>
      <w:r w:rsidR="006073A5">
        <w:rPr>
          <w:sz w:val="22"/>
          <w:szCs w:val="22"/>
        </w:rPr>
        <w:t>,</w:t>
      </w:r>
      <w:r w:rsidRPr="00986A91">
        <w:rPr>
          <w:sz w:val="22"/>
          <w:szCs w:val="22"/>
        </w:rPr>
        <w:t xml:space="preserve"> που όμως δεν έχει καμία δημοσιονομική επίπτωση </w:t>
      </w:r>
      <w:r w:rsidR="001D2CEE">
        <w:rPr>
          <w:sz w:val="22"/>
          <w:szCs w:val="22"/>
        </w:rPr>
        <w:t xml:space="preserve">στο τρέχον έτος </w:t>
      </w:r>
      <w:r w:rsidRPr="00986A91">
        <w:rPr>
          <w:sz w:val="22"/>
          <w:szCs w:val="22"/>
        </w:rPr>
        <w:t>καθόσον αφ</w:t>
      </w:r>
      <w:r w:rsidRPr="00986A91">
        <w:rPr>
          <w:sz w:val="22"/>
          <w:szCs w:val="22"/>
        </w:rPr>
        <w:t>ο</w:t>
      </w:r>
      <w:r w:rsidRPr="00986A91">
        <w:rPr>
          <w:sz w:val="22"/>
          <w:szCs w:val="22"/>
        </w:rPr>
        <w:t>ρά σε μεταγενέστερα έτη.</w:t>
      </w:r>
    </w:p>
    <w:p w:rsidR="003C2FC0" w:rsidRPr="00986A91" w:rsidRDefault="003C2FC0" w:rsidP="00366933">
      <w:pPr>
        <w:jc w:val="both"/>
        <w:rPr>
          <w:sz w:val="22"/>
          <w:szCs w:val="22"/>
        </w:rPr>
      </w:pPr>
    </w:p>
    <w:p w:rsidR="003C2FC0" w:rsidRPr="00C20BBA" w:rsidRDefault="003C2FC0" w:rsidP="00366933">
      <w:pPr>
        <w:jc w:val="both"/>
        <w:rPr>
          <w:rFonts w:ascii="Arial Narrow" w:hAnsi="Arial Narrow"/>
          <w:b/>
          <w:i/>
          <w:sz w:val="22"/>
          <w:szCs w:val="22"/>
        </w:rPr>
      </w:pPr>
      <w:r w:rsidRPr="00C20BBA">
        <w:rPr>
          <w:rFonts w:ascii="Arial Narrow" w:hAnsi="Arial Narrow"/>
          <w:b/>
          <w:i/>
          <w:sz w:val="22"/>
          <w:szCs w:val="22"/>
        </w:rPr>
        <w:t>Λοιπά τρέχοντα έσοδα</w:t>
      </w:r>
    </w:p>
    <w:p w:rsidR="003C2FC0" w:rsidRPr="00986A91" w:rsidRDefault="003C2FC0" w:rsidP="00366933">
      <w:pPr>
        <w:jc w:val="both"/>
        <w:rPr>
          <w:sz w:val="22"/>
          <w:szCs w:val="22"/>
        </w:rPr>
      </w:pPr>
    </w:p>
    <w:p w:rsidR="00366933" w:rsidRDefault="003C2FC0" w:rsidP="00366933">
      <w:pPr>
        <w:jc w:val="both"/>
        <w:rPr>
          <w:sz w:val="22"/>
          <w:szCs w:val="22"/>
        </w:rPr>
      </w:pPr>
      <w:r w:rsidRPr="00986A91">
        <w:rPr>
          <w:sz w:val="22"/>
          <w:szCs w:val="22"/>
        </w:rPr>
        <w:t xml:space="preserve">Η κατηγορία αυτή περιλαμβάνει διάφορες κατηγορίες εσόδων με τις κυριότερες να είναι τα μερίσματα από τη συμμετοχή </w:t>
      </w:r>
      <w:r>
        <w:rPr>
          <w:sz w:val="22"/>
          <w:szCs w:val="22"/>
        </w:rPr>
        <w:t>του Δημοσίου στο μετοχικό κεφάλα</w:t>
      </w:r>
      <w:r w:rsidRPr="00986A91">
        <w:rPr>
          <w:sz w:val="22"/>
          <w:szCs w:val="22"/>
        </w:rPr>
        <w:t xml:space="preserve">ιο διαφόρων εταιρειών, οι τόκοι από ομόλογα </w:t>
      </w:r>
      <w:r w:rsidR="00366933">
        <w:rPr>
          <w:sz w:val="22"/>
          <w:szCs w:val="22"/>
        </w:rPr>
        <w:t>που κατέχει το Ελληνικό</w:t>
      </w:r>
      <w:r w:rsidR="001D2CEE">
        <w:rPr>
          <w:sz w:val="22"/>
          <w:szCs w:val="22"/>
        </w:rPr>
        <w:t xml:space="preserve"> </w:t>
      </w:r>
      <w:r w:rsidRPr="00986A91">
        <w:rPr>
          <w:sz w:val="22"/>
          <w:szCs w:val="22"/>
        </w:rPr>
        <w:t>Δημ</w:t>
      </w:r>
      <w:r w:rsidR="00366933">
        <w:rPr>
          <w:sz w:val="22"/>
          <w:szCs w:val="22"/>
        </w:rPr>
        <w:t>όσιο</w:t>
      </w:r>
      <w:r w:rsidRPr="00986A91">
        <w:rPr>
          <w:sz w:val="22"/>
          <w:szCs w:val="22"/>
        </w:rPr>
        <w:t xml:space="preserve">, οι διάφορες κατηγορίες προστίμων και προσαυξήσεων, </w:t>
      </w:r>
      <w:r w:rsidR="00236900">
        <w:rPr>
          <w:sz w:val="22"/>
          <w:szCs w:val="22"/>
        </w:rPr>
        <w:t>το μεγαλ</w:t>
      </w:r>
      <w:r w:rsidR="00236900">
        <w:rPr>
          <w:sz w:val="22"/>
          <w:szCs w:val="22"/>
        </w:rPr>
        <w:t>ύ</w:t>
      </w:r>
      <w:r w:rsidR="00236900">
        <w:rPr>
          <w:sz w:val="22"/>
          <w:szCs w:val="22"/>
        </w:rPr>
        <w:t xml:space="preserve">τερο μέρος του εθνικού σκέλους του ΠΔΕ, </w:t>
      </w:r>
      <w:r w:rsidRPr="00986A91">
        <w:rPr>
          <w:sz w:val="22"/>
          <w:szCs w:val="22"/>
        </w:rPr>
        <w:t>καθώς και οι επιστροφές ιδίων πόρων από την ΕΕ. Τα λο</w:t>
      </w:r>
      <w:r w:rsidRPr="00986A91">
        <w:rPr>
          <w:sz w:val="22"/>
          <w:szCs w:val="22"/>
        </w:rPr>
        <w:t>ι</w:t>
      </w:r>
      <w:r w:rsidRPr="00986A91">
        <w:rPr>
          <w:sz w:val="22"/>
          <w:szCs w:val="22"/>
        </w:rPr>
        <w:t>πά τρέχοντα έσοδα αναμένεται να διαμορφωθούν στα 2.</w:t>
      </w:r>
      <w:r w:rsidR="00F84D28">
        <w:rPr>
          <w:sz w:val="22"/>
          <w:szCs w:val="22"/>
        </w:rPr>
        <w:t>194</w:t>
      </w:r>
      <w:r w:rsidRPr="00986A91">
        <w:rPr>
          <w:sz w:val="22"/>
          <w:szCs w:val="22"/>
        </w:rPr>
        <w:t xml:space="preserve"> εκατ. ευρώ, αυξημένα κα</w:t>
      </w:r>
      <w:r w:rsidR="00236900">
        <w:rPr>
          <w:sz w:val="22"/>
          <w:szCs w:val="22"/>
        </w:rPr>
        <w:t xml:space="preserve">τά </w:t>
      </w:r>
      <w:r w:rsidR="00F84D28">
        <w:rPr>
          <w:sz w:val="22"/>
          <w:szCs w:val="22"/>
        </w:rPr>
        <w:t>36</w:t>
      </w:r>
      <w:r w:rsidR="00236900">
        <w:rPr>
          <w:sz w:val="22"/>
          <w:szCs w:val="22"/>
        </w:rPr>
        <w:t>9</w:t>
      </w:r>
      <w:r w:rsidRPr="00986A91">
        <w:rPr>
          <w:sz w:val="22"/>
          <w:szCs w:val="22"/>
        </w:rPr>
        <w:t xml:space="preserve"> εκατ. ε</w:t>
      </w:r>
      <w:r w:rsidRPr="00986A91">
        <w:rPr>
          <w:sz w:val="22"/>
          <w:szCs w:val="22"/>
        </w:rPr>
        <w:t>υ</w:t>
      </w:r>
      <w:r w:rsidRPr="00986A91">
        <w:rPr>
          <w:sz w:val="22"/>
          <w:szCs w:val="22"/>
        </w:rPr>
        <w:t xml:space="preserve">ρώ ή </w:t>
      </w:r>
      <w:r w:rsidR="00F84D28">
        <w:rPr>
          <w:sz w:val="22"/>
          <w:szCs w:val="22"/>
        </w:rPr>
        <w:t>20,2</w:t>
      </w:r>
      <w:r w:rsidRPr="00986A91">
        <w:rPr>
          <w:sz w:val="22"/>
          <w:szCs w:val="22"/>
        </w:rPr>
        <w:t>% έναντι των προβλέψεων του ΜΠΔΣ 2019-2022. Η αύξηση αυτή οφείλεται κατά κύριο λ</w:t>
      </w:r>
      <w:r w:rsidRPr="00986A91">
        <w:rPr>
          <w:sz w:val="22"/>
          <w:szCs w:val="22"/>
        </w:rPr>
        <w:t>ό</w:t>
      </w:r>
      <w:r w:rsidRPr="00986A91">
        <w:rPr>
          <w:sz w:val="22"/>
          <w:szCs w:val="22"/>
        </w:rPr>
        <w:t>γο στ</w:t>
      </w:r>
      <w:r w:rsidR="00B164E2">
        <w:rPr>
          <w:sz w:val="22"/>
          <w:szCs w:val="22"/>
        </w:rPr>
        <w:t>α αυξημένα έσοδα από:</w:t>
      </w:r>
    </w:p>
    <w:p w:rsidR="00B164E2" w:rsidRDefault="00B164E2" w:rsidP="00366933">
      <w:pPr>
        <w:jc w:val="both"/>
        <w:rPr>
          <w:sz w:val="22"/>
          <w:szCs w:val="22"/>
        </w:rPr>
      </w:pPr>
    </w:p>
    <w:p w:rsidR="00366933" w:rsidRDefault="003C2FC0" w:rsidP="006556BD">
      <w:pPr>
        <w:pStyle w:val="af2"/>
        <w:numPr>
          <w:ilvl w:val="0"/>
          <w:numId w:val="18"/>
        </w:numPr>
        <w:spacing w:after="0" w:line="240" w:lineRule="auto"/>
        <w:ind w:left="425" w:hanging="425"/>
        <w:contextualSpacing w:val="0"/>
        <w:jc w:val="both"/>
        <w:rPr>
          <w:rFonts w:ascii="Times New Roman" w:hAnsi="Times New Roman"/>
        </w:rPr>
      </w:pPr>
      <w:r w:rsidRPr="00366933">
        <w:rPr>
          <w:rFonts w:ascii="Times New Roman" w:hAnsi="Times New Roman"/>
        </w:rPr>
        <w:t xml:space="preserve">επιστροφές ιδίων πόρων από την ΕΕ, </w:t>
      </w:r>
      <w:r w:rsidR="00366933">
        <w:rPr>
          <w:rFonts w:ascii="Times New Roman" w:hAnsi="Times New Roman"/>
        </w:rPr>
        <w:t>κατά 59 εκατ. ευρώ,</w:t>
      </w:r>
    </w:p>
    <w:p w:rsidR="0064589E" w:rsidRDefault="0064589E" w:rsidP="006556BD">
      <w:pPr>
        <w:pStyle w:val="af2"/>
        <w:numPr>
          <w:ilvl w:val="0"/>
          <w:numId w:val="18"/>
        </w:numPr>
        <w:spacing w:after="0" w:line="240" w:lineRule="auto"/>
        <w:ind w:left="425" w:hanging="425"/>
        <w:contextualSpacing w:val="0"/>
        <w:jc w:val="both"/>
        <w:rPr>
          <w:rFonts w:ascii="Times New Roman" w:hAnsi="Times New Roman"/>
        </w:rPr>
      </w:pPr>
      <w:r w:rsidRPr="00366933">
        <w:rPr>
          <w:rFonts w:ascii="Times New Roman" w:hAnsi="Times New Roman"/>
        </w:rPr>
        <w:t>μερίσματα,</w:t>
      </w:r>
      <w:r>
        <w:rPr>
          <w:rFonts w:ascii="Times New Roman" w:hAnsi="Times New Roman"/>
        </w:rPr>
        <w:t xml:space="preserve"> </w:t>
      </w:r>
      <w:r w:rsidR="003C2FC0" w:rsidRPr="00366933">
        <w:rPr>
          <w:rFonts w:ascii="Times New Roman" w:hAnsi="Times New Roman"/>
        </w:rPr>
        <w:t>κατά 56 εκατ. ευρώ</w:t>
      </w:r>
      <w:r>
        <w:rPr>
          <w:rFonts w:ascii="Times New Roman" w:hAnsi="Times New Roman"/>
        </w:rPr>
        <w:t>,</w:t>
      </w:r>
    </w:p>
    <w:p w:rsidR="0064589E" w:rsidRDefault="0064589E" w:rsidP="006556BD">
      <w:pPr>
        <w:pStyle w:val="af2"/>
        <w:numPr>
          <w:ilvl w:val="0"/>
          <w:numId w:val="18"/>
        </w:numPr>
        <w:spacing w:after="0" w:line="240" w:lineRule="auto"/>
        <w:ind w:left="425" w:hanging="425"/>
        <w:contextualSpacing w:val="0"/>
        <w:jc w:val="both"/>
        <w:rPr>
          <w:rFonts w:ascii="Times New Roman" w:hAnsi="Times New Roman"/>
        </w:rPr>
      </w:pPr>
      <w:r w:rsidRPr="00366933">
        <w:rPr>
          <w:rFonts w:ascii="Times New Roman" w:hAnsi="Times New Roman"/>
        </w:rPr>
        <w:t>τόκους ομολόγων</w:t>
      </w:r>
      <w:r>
        <w:rPr>
          <w:rFonts w:ascii="Times New Roman" w:hAnsi="Times New Roman"/>
        </w:rPr>
        <w:t>,</w:t>
      </w:r>
      <w:r w:rsidR="003C2FC0" w:rsidRPr="00366933">
        <w:rPr>
          <w:rFonts w:ascii="Times New Roman" w:hAnsi="Times New Roman"/>
        </w:rPr>
        <w:t xml:space="preserve"> κατά 58 εκατ.</w:t>
      </w:r>
      <w:r w:rsidR="00EE7D99" w:rsidRPr="00366933">
        <w:rPr>
          <w:rFonts w:ascii="Times New Roman" w:hAnsi="Times New Roman"/>
        </w:rPr>
        <w:t xml:space="preserve"> ευρώ</w:t>
      </w:r>
      <w:r w:rsidR="00F84D28">
        <w:rPr>
          <w:rFonts w:ascii="Times New Roman" w:hAnsi="Times New Roman"/>
        </w:rPr>
        <w:t>,</w:t>
      </w:r>
      <w:r w:rsidR="00EE7D99" w:rsidRPr="00366933">
        <w:rPr>
          <w:rFonts w:ascii="Times New Roman" w:hAnsi="Times New Roman"/>
        </w:rPr>
        <w:t xml:space="preserve"> </w:t>
      </w:r>
    </w:p>
    <w:p w:rsidR="003C2FC0" w:rsidRDefault="0064589E" w:rsidP="006556BD">
      <w:pPr>
        <w:pStyle w:val="af2"/>
        <w:numPr>
          <w:ilvl w:val="0"/>
          <w:numId w:val="18"/>
        </w:numPr>
        <w:spacing w:after="0" w:line="240" w:lineRule="auto"/>
        <w:ind w:left="425" w:hanging="425"/>
        <w:contextualSpacing w:val="0"/>
        <w:jc w:val="both"/>
        <w:rPr>
          <w:rFonts w:ascii="Times New Roman" w:hAnsi="Times New Roman"/>
        </w:rPr>
      </w:pPr>
      <w:r w:rsidRPr="00366933">
        <w:rPr>
          <w:rFonts w:ascii="Times New Roman" w:hAnsi="Times New Roman"/>
        </w:rPr>
        <w:t>πρόστιμα και προσαυξήσεις</w:t>
      </w:r>
      <w:r>
        <w:rPr>
          <w:rFonts w:ascii="Times New Roman" w:hAnsi="Times New Roman"/>
        </w:rPr>
        <w:t xml:space="preserve">, </w:t>
      </w:r>
      <w:r w:rsidR="00F84D28">
        <w:rPr>
          <w:rFonts w:ascii="Times New Roman" w:hAnsi="Times New Roman"/>
        </w:rPr>
        <w:t>κατά 37 εκατ. ευρώ και</w:t>
      </w:r>
    </w:p>
    <w:p w:rsidR="00F84D28" w:rsidRPr="00366933" w:rsidRDefault="00F84D28" w:rsidP="006556BD">
      <w:pPr>
        <w:pStyle w:val="af2"/>
        <w:numPr>
          <w:ilvl w:val="0"/>
          <w:numId w:val="18"/>
        </w:numPr>
        <w:spacing w:after="0" w:line="240" w:lineRule="auto"/>
        <w:ind w:left="425" w:hanging="425"/>
        <w:contextualSpacing w:val="0"/>
        <w:jc w:val="both"/>
        <w:rPr>
          <w:rFonts w:ascii="Times New Roman" w:hAnsi="Times New Roman"/>
        </w:rPr>
      </w:pPr>
      <w:r>
        <w:rPr>
          <w:rFonts w:ascii="Times New Roman" w:hAnsi="Times New Roman"/>
        </w:rPr>
        <w:t>εθνικό σκέλος του ΠΔΕ, κατά 98 εκατ. ευρώ.</w:t>
      </w:r>
    </w:p>
    <w:p w:rsidR="003C2FC0" w:rsidRPr="00986A91" w:rsidRDefault="003C2FC0" w:rsidP="00366933">
      <w:pPr>
        <w:jc w:val="both"/>
        <w:rPr>
          <w:sz w:val="22"/>
          <w:szCs w:val="22"/>
        </w:rPr>
      </w:pPr>
    </w:p>
    <w:p w:rsidR="003C2FC0" w:rsidRPr="00C20BBA" w:rsidRDefault="0064589E" w:rsidP="00366933">
      <w:pPr>
        <w:jc w:val="both"/>
        <w:rPr>
          <w:rFonts w:ascii="Arial Narrow" w:hAnsi="Arial Narrow"/>
          <w:b/>
          <w:i/>
          <w:sz w:val="22"/>
          <w:szCs w:val="22"/>
        </w:rPr>
      </w:pPr>
      <w:r>
        <w:rPr>
          <w:rFonts w:ascii="Arial Narrow" w:hAnsi="Arial Narrow"/>
          <w:b/>
          <w:i/>
          <w:sz w:val="22"/>
          <w:szCs w:val="22"/>
        </w:rPr>
        <w:t>Πωλήσεις παγίων περιουσιακών στοιχείων</w:t>
      </w:r>
    </w:p>
    <w:p w:rsidR="003C2FC0" w:rsidRPr="00986A91" w:rsidRDefault="003C2FC0" w:rsidP="00366933">
      <w:pPr>
        <w:jc w:val="both"/>
        <w:rPr>
          <w:sz w:val="22"/>
          <w:szCs w:val="22"/>
        </w:rPr>
      </w:pPr>
    </w:p>
    <w:p w:rsidR="003C2FC0" w:rsidRPr="00986A91" w:rsidRDefault="003C2FC0" w:rsidP="00366933">
      <w:pPr>
        <w:jc w:val="both"/>
        <w:rPr>
          <w:sz w:val="22"/>
          <w:szCs w:val="22"/>
        </w:rPr>
      </w:pPr>
      <w:r w:rsidRPr="00986A91">
        <w:rPr>
          <w:sz w:val="22"/>
          <w:szCs w:val="22"/>
        </w:rPr>
        <w:t>Η σημαντική</w:t>
      </w:r>
      <w:r w:rsidR="00CF01B3">
        <w:rPr>
          <w:sz w:val="22"/>
          <w:szCs w:val="22"/>
        </w:rPr>
        <w:t>, κατά 343 εκατ. ευρώ,</w:t>
      </w:r>
      <w:r w:rsidRPr="00986A91">
        <w:rPr>
          <w:sz w:val="22"/>
          <w:szCs w:val="22"/>
        </w:rPr>
        <w:t xml:space="preserve"> υστέρηση </w:t>
      </w:r>
      <w:r w:rsidR="00CF01B3">
        <w:rPr>
          <w:sz w:val="22"/>
          <w:szCs w:val="22"/>
        </w:rPr>
        <w:t xml:space="preserve">των εσόδων αυτών </w:t>
      </w:r>
      <w:r w:rsidRPr="00986A91">
        <w:rPr>
          <w:sz w:val="22"/>
          <w:szCs w:val="22"/>
        </w:rPr>
        <w:t xml:space="preserve">σε σχέση με το στόχο του ΜΠΔΣ 2019-2022, οφείλεται </w:t>
      </w:r>
      <w:r w:rsidR="0064589E">
        <w:rPr>
          <w:sz w:val="22"/>
          <w:szCs w:val="22"/>
        </w:rPr>
        <w:t xml:space="preserve">κυρίως </w:t>
      </w:r>
      <w:r w:rsidRPr="00986A91">
        <w:rPr>
          <w:sz w:val="22"/>
          <w:szCs w:val="22"/>
        </w:rPr>
        <w:t xml:space="preserve">στη μη είσπραξη </w:t>
      </w:r>
      <w:r w:rsidR="00CF01B3">
        <w:rPr>
          <w:sz w:val="22"/>
          <w:szCs w:val="22"/>
        </w:rPr>
        <w:t>σ</w:t>
      </w:r>
      <w:r w:rsidRPr="00986A91">
        <w:rPr>
          <w:sz w:val="22"/>
          <w:szCs w:val="22"/>
        </w:rPr>
        <w:t xml:space="preserve">το τρέχον έτος </w:t>
      </w:r>
      <w:r w:rsidR="00CF01B3">
        <w:rPr>
          <w:sz w:val="22"/>
          <w:szCs w:val="22"/>
        </w:rPr>
        <w:t xml:space="preserve">του προβλεπόμενου </w:t>
      </w:r>
      <w:r w:rsidRPr="00986A91">
        <w:rPr>
          <w:sz w:val="22"/>
          <w:szCs w:val="22"/>
        </w:rPr>
        <w:t xml:space="preserve">αντιτίμου από την αξιοποίηση της έκτασης του </w:t>
      </w:r>
      <w:r w:rsidR="0064589E">
        <w:rPr>
          <w:sz w:val="22"/>
          <w:szCs w:val="22"/>
        </w:rPr>
        <w:t xml:space="preserve">πρώην Διεθνούς Αεροδρομίου του </w:t>
      </w:r>
      <w:r w:rsidRPr="00986A91">
        <w:rPr>
          <w:sz w:val="22"/>
          <w:szCs w:val="22"/>
        </w:rPr>
        <w:t>Ελληνικού, που πρόκειται να πραγμ</w:t>
      </w:r>
      <w:r w:rsidRPr="00986A91">
        <w:rPr>
          <w:sz w:val="22"/>
          <w:szCs w:val="22"/>
        </w:rPr>
        <w:t>α</w:t>
      </w:r>
      <w:r w:rsidRPr="00986A91">
        <w:rPr>
          <w:sz w:val="22"/>
          <w:szCs w:val="22"/>
        </w:rPr>
        <w:t>τοποιηθεί το 2019.</w:t>
      </w:r>
    </w:p>
    <w:p w:rsidR="003C2FC0" w:rsidRPr="00986A91" w:rsidRDefault="003C2FC0" w:rsidP="00366933">
      <w:pPr>
        <w:jc w:val="both"/>
        <w:rPr>
          <w:sz w:val="22"/>
          <w:szCs w:val="22"/>
        </w:rPr>
      </w:pPr>
    </w:p>
    <w:p w:rsidR="003C2FC0" w:rsidRPr="00C20BBA" w:rsidRDefault="003C2FC0" w:rsidP="00366933">
      <w:pPr>
        <w:jc w:val="both"/>
        <w:rPr>
          <w:rFonts w:ascii="Arial Narrow" w:hAnsi="Arial Narrow"/>
          <w:b/>
          <w:i/>
          <w:sz w:val="22"/>
          <w:szCs w:val="22"/>
        </w:rPr>
      </w:pPr>
      <w:r w:rsidRPr="00C20BBA">
        <w:rPr>
          <w:rFonts w:ascii="Arial Narrow" w:hAnsi="Arial Narrow"/>
          <w:b/>
          <w:i/>
          <w:sz w:val="22"/>
          <w:szCs w:val="22"/>
        </w:rPr>
        <w:t>Επιστροφές φόρων</w:t>
      </w:r>
    </w:p>
    <w:p w:rsidR="003C2FC0" w:rsidRPr="00986A91" w:rsidRDefault="003C2FC0" w:rsidP="00366933">
      <w:pPr>
        <w:jc w:val="both"/>
        <w:rPr>
          <w:sz w:val="22"/>
          <w:szCs w:val="22"/>
        </w:rPr>
      </w:pPr>
    </w:p>
    <w:p w:rsidR="003C2FC0" w:rsidRPr="00986A91" w:rsidRDefault="003C2FC0" w:rsidP="00366933">
      <w:pPr>
        <w:jc w:val="both"/>
        <w:rPr>
          <w:sz w:val="22"/>
          <w:szCs w:val="22"/>
        </w:rPr>
      </w:pPr>
      <w:r w:rsidRPr="00986A91">
        <w:rPr>
          <w:sz w:val="22"/>
          <w:szCs w:val="22"/>
        </w:rPr>
        <w:t>Οι επιστροφές αχρεωστήτως εισπραχθέντων εσόδων σε ταμειακή βάση</w:t>
      </w:r>
      <w:r>
        <w:rPr>
          <w:sz w:val="22"/>
          <w:szCs w:val="22"/>
        </w:rPr>
        <w:t xml:space="preserve"> </w:t>
      </w:r>
      <w:r w:rsidRPr="00986A91">
        <w:rPr>
          <w:sz w:val="22"/>
          <w:szCs w:val="22"/>
        </w:rPr>
        <w:t>αναμένεται να διαμορφωθούν στα 5.988 εκατ. ευρώ, αυξημένες κατά 699 εκατ. ευρώ ή 13,2%</w:t>
      </w:r>
      <w:r w:rsidR="00B164E2">
        <w:rPr>
          <w:sz w:val="22"/>
          <w:szCs w:val="22"/>
        </w:rPr>
        <w:t>,</w:t>
      </w:r>
      <w:r w:rsidRPr="00986A91">
        <w:rPr>
          <w:sz w:val="22"/>
          <w:szCs w:val="22"/>
        </w:rPr>
        <w:t xml:space="preserve"> έναντι των προβλέψεων του ΜΠΔΣ </w:t>
      </w:r>
      <w:r w:rsidRPr="00986A91">
        <w:rPr>
          <w:sz w:val="22"/>
          <w:szCs w:val="22"/>
        </w:rPr>
        <w:lastRenderedPageBreak/>
        <w:t xml:space="preserve">2019-2022. Σε δημοσιονομική βάση, στην οποία συμπεριλαμβάνεται και η μεταβολή του όγκου των εκκρεμών επιστροφών για τις οποίες έχει εκδοθεί ΑΦΕΚ, αναμένεται να διαμορφωθούν σε 5.103 </w:t>
      </w:r>
      <w:r w:rsidRPr="00986A91">
        <w:rPr>
          <w:sz w:val="22"/>
          <w:szCs w:val="22"/>
        </w:rPr>
        <w:t>ε</w:t>
      </w:r>
      <w:r w:rsidRPr="00986A91">
        <w:rPr>
          <w:sz w:val="22"/>
          <w:szCs w:val="22"/>
        </w:rPr>
        <w:t>κατ. ευρώ, έναντι στόχου 4.404 εκατ. ευρώ</w:t>
      </w:r>
      <w:r w:rsidR="006073A5">
        <w:rPr>
          <w:sz w:val="22"/>
          <w:szCs w:val="22"/>
        </w:rPr>
        <w:t xml:space="preserve"> στο ΜΠΔΣ</w:t>
      </w:r>
      <w:r w:rsidRPr="00986A91">
        <w:rPr>
          <w:sz w:val="22"/>
          <w:szCs w:val="22"/>
        </w:rPr>
        <w:t>.</w:t>
      </w:r>
    </w:p>
    <w:p w:rsidR="003C2FC0" w:rsidRPr="00986A91" w:rsidRDefault="003C2FC0" w:rsidP="00366933">
      <w:pPr>
        <w:jc w:val="both"/>
        <w:rPr>
          <w:bCs/>
          <w:sz w:val="22"/>
          <w:szCs w:val="22"/>
        </w:rPr>
      </w:pPr>
    </w:p>
    <w:p w:rsidR="003C2FC0" w:rsidRPr="00C20BBA" w:rsidRDefault="003C2FC0" w:rsidP="00366933">
      <w:pPr>
        <w:jc w:val="both"/>
        <w:rPr>
          <w:rFonts w:ascii="Arial Narrow" w:hAnsi="Arial Narrow"/>
          <w:b/>
          <w:i/>
          <w:sz w:val="22"/>
          <w:szCs w:val="22"/>
        </w:rPr>
      </w:pPr>
      <w:r w:rsidRPr="00C20BBA">
        <w:rPr>
          <w:rFonts w:ascii="Arial Narrow" w:hAnsi="Arial Narrow"/>
          <w:b/>
          <w:i/>
          <w:sz w:val="22"/>
          <w:szCs w:val="22"/>
        </w:rPr>
        <w:t>Έσοδα Προγράμματος Δημοσίων Επενδύσεων</w:t>
      </w:r>
    </w:p>
    <w:p w:rsidR="003C2FC0" w:rsidRPr="00986A91" w:rsidRDefault="003C2FC0" w:rsidP="00366933">
      <w:pPr>
        <w:jc w:val="both"/>
        <w:rPr>
          <w:bCs/>
          <w:sz w:val="22"/>
          <w:szCs w:val="22"/>
        </w:rPr>
      </w:pPr>
    </w:p>
    <w:p w:rsidR="003C2FC0" w:rsidRPr="00986A91" w:rsidRDefault="00CF01B3" w:rsidP="00366933">
      <w:pPr>
        <w:jc w:val="both"/>
        <w:rPr>
          <w:sz w:val="22"/>
          <w:szCs w:val="22"/>
        </w:rPr>
      </w:pPr>
      <w:r>
        <w:rPr>
          <w:sz w:val="22"/>
          <w:szCs w:val="22"/>
        </w:rPr>
        <w:t>Τα έσοδα του ΠΔΕ</w:t>
      </w:r>
      <w:r w:rsidR="003C2FC0" w:rsidRPr="00986A91">
        <w:rPr>
          <w:sz w:val="22"/>
          <w:szCs w:val="22"/>
        </w:rPr>
        <w:t xml:space="preserve"> περιλαμβάνονται στις κατηγορίες «Μεταβιβάσεις» και «Λοιπά τρέχοντα έσοδα». Ειδικότερα, τα </w:t>
      </w:r>
      <w:r w:rsidRPr="00986A91">
        <w:rPr>
          <w:sz w:val="22"/>
          <w:szCs w:val="22"/>
        </w:rPr>
        <w:t xml:space="preserve">έσοδα ΠΔΕ </w:t>
      </w:r>
      <w:r w:rsidR="003C2FC0" w:rsidRPr="00986A91">
        <w:rPr>
          <w:sz w:val="22"/>
          <w:szCs w:val="22"/>
        </w:rPr>
        <w:t>σε ταμειακή βάση, αναμένεται να ανέλθουν στο ποσό των 3.</w:t>
      </w:r>
      <w:r w:rsidR="00F84D28">
        <w:rPr>
          <w:sz w:val="22"/>
          <w:szCs w:val="22"/>
        </w:rPr>
        <w:t>85</w:t>
      </w:r>
      <w:r w:rsidR="003C2FC0" w:rsidRPr="00986A91">
        <w:rPr>
          <w:sz w:val="22"/>
          <w:szCs w:val="22"/>
        </w:rPr>
        <w:t>5 εκατ. ε</w:t>
      </w:r>
      <w:r w:rsidR="003C2FC0" w:rsidRPr="00986A91">
        <w:rPr>
          <w:sz w:val="22"/>
          <w:szCs w:val="22"/>
        </w:rPr>
        <w:t>υ</w:t>
      </w:r>
      <w:r w:rsidR="003C2FC0" w:rsidRPr="00986A91">
        <w:rPr>
          <w:sz w:val="22"/>
          <w:szCs w:val="22"/>
        </w:rPr>
        <w:t>ρώ</w:t>
      </w:r>
      <w:r w:rsidR="006073A5">
        <w:rPr>
          <w:sz w:val="22"/>
          <w:szCs w:val="22"/>
        </w:rPr>
        <w:t>,</w:t>
      </w:r>
      <w:r w:rsidR="003C2FC0" w:rsidRPr="00986A91">
        <w:rPr>
          <w:sz w:val="22"/>
          <w:szCs w:val="22"/>
        </w:rPr>
        <w:t xml:space="preserve"> εκ των οπο</w:t>
      </w:r>
      <w:r w:rsidR="00A902CC">
        <w:rPr>
          <w:sz w:val="22"/>
          <w:szCs w:val="22"/>
        </w:rPr>
        <w:t>ίων ποσό 3.577</w:t>
      </w:r>
      <w:r w:rsidR="003C2FC0" w:rsidRPr="00986A91">
        <w:rPr>
          <w:sz w:val="22"/>
          <w:szCs w:val="22"/>
        </w:rPr>
        <w:t xml:space="preserve"> εκατ. ευρώ περιλαμβάνεται στην κατηγορία «Μεταβιβάσεις» και </w:t>
      </w:r>
      <w:r w:rsidR="00F84D28">
        <w:rPr>
          <w:sz w:val="22"/>
          <w:szCs w:val="22"/>
        </w:rPr>
        <w:t>278</w:t>
      </w:r>
      <w:r w:rsidR="003C2FC0" w:rsidRPr="00986A91">
        <w:rPr>
          <w:sz w:val="22"/>
          <w:szCs w:val="22"/>
        </w:rPr>
        <w:t xml:space="preserve"> εκατ. ευρώ στην κατηγορία «Λοιπά τρέχοντα έσοδα», </w:t>
      </w:r>
      <w:r w:rsidR="00F84D28">
        <w:rPr>
          <w:sz w:val="22"/>
          <w:szCs w:val="22"/>
        </w:rPr>
        <w:t xml:space="preserve">αυξημένα κατά 120 εκατ. ευρώ </w:t>
      </w:r>
      <w:r w:rsidR="003C2FC0" w:rsidRPr="00986A91">
        <w:rPr>
          <w:sz w:val="22"/>
          <w:szCs w:val="22"/>
        </w:rPr>
        <w:t>έναντι του στ</w:t>
      </w:r>
      <w:r w:rsidR="003C2FC0" w:rsidRPr="00986A91">
        <w:rPr>
          <w:sz w:val="22"/>
          <w:szCs w:val="22"/>
        </w:rPr>
        <w:t>ό</w:t>
      </w:r>
      <w:r w:rsidR="003C2FC0" w:rsidRPr="00986A91">
        <w:rPr>
          <w:sz w:val="22"/>
          <w:szCs w:val="22"/>
        </w:rPr>
        <w:t>χου. Σε δημοσιονομική βάση τα έ</w:t>
      </w:r>
      <w:r w:rsidR="00F84D28">
        <w:rPr>
          <w:sz w:val="22"/>
          <w:szCs w:val="22"/>
        </w:rPr>
        <w:t>σοδα ΠΔΕ θα διαμορφωθούν στα 3.</w:t>
      </w:r>
      <w:r w:rsidR="003C2FC0" w:rsidRPr="00986A91">
        <w:rPr>
          <w:sz w:val="22"/>
          <w:szCs w:val="22"/>
        </w:rPr>
        <w:t>9</w:t>
      </w:r>
      <w:r w:rsidR="00F84D28">
        <w:rPr>
          <w:sz w:val="22"/>
          <w:szCs w:val="22"/>
        </w:rPr>
        <w:t>1</w:t>
      </w:r>
      <w:r w:rsidR="003C2FC0" w:rsidRPr="00986A91">
        <w:rPr>
          <w:sz w:val="22"/>
          <w:szCs w:val="22"/>
        </w:rPr>
        <w:t>0 εκατ. ευρώ.</w:t>
      </w:r>
      <w:r w:rsidR="0064589E">
        <w:rPr>
          <w:sz w:val="22"/>
          <w:szCs w:val="22"/>
        </w:rPr>
        <w:t xml:space="preserve"> Στον πίνακα </w:t>
      </w:r>
      <w:r w:rsidR="00DF616A" w:rsidRPr="00AE4C28">
        <w:rPr>
          <w:sz w:val="22"/>
          <w:szCs w:val="22"/>
        </w:rPr>
        <w:t>3.8</w:t>
      </w:r>
      <w:r w:rsidR="0064589E">
        <w:rPr>
          <w:sz w:val="22"/>
          <w:szCs w:val="22"/>
        </w:rPr>
        <w:t xml:space="preserve"> παρουσιάζονται οι πηγές χρηματοδότησης του ΠΔΕ.</w:t>
      </w:r>
    </w:p>
    <w:p w:rsidR="00297E72" w:rsidRDefault="00297E72" w:rsidP="0097301E">
      <w:pPr>
        <w:rPr>
          <w:rFonts w:ascii="Arial Narrow" w:hAnsi="Arial Narrow"/>
          <w:b/>
          <w:i/>
          <w:sz w:val="22"/>
          <w:szCs w:val="22"/>
        </w:rPr>
      </w:pPr>
    </w:p>
    <w:p w:rsidR="001F343E" w:rsidRPr="0090589B" w:rsidRDefault="001F343E" w:rsidP="001F343E">
      <w:pPr>
        <w:jc w:val="both"/>
        <w:rPr>
          <w:rFonts w:ascii="Arial Narrow" w:hAnsi="Arial Narrow"/>
          <w:b/>
          <w:sz w:val="22"/>
          <w:szCs w:val="22"/>
        </w:rPr>
      </w:pPr>
      <w:r w:rsidRPr="0090589B">
        <w:rPr>
          <w:rFonts w:ascii="Arial Narrow" w:hAnsi="Arial Narrow"/>
          <w:b/>
          <w:sz w:val="22"/>
          <w:szCs w:val="22"/>
        </w:rPr>
        <w:t>Έσοδα χρηματοοικονομικών συναλλαγών</w:t>
      </w:r>
    </w:p>
    <w:p w:rsidR="001F343E" w:rsidRDefault="001F343E" w:rsidP="0097301E">
      <w:pPr>
        <w:rPr>
          <w:rFonts w:ascii="Arial Narrow" w:hAnsi="Arial Narrow"/>
          <w:b/>
          <w:i/>
          <w:sz w:val="22"/>
          <w:szCs w:val="22"/>
        </w:rPr>
      </w:pPr>
    </w:p>
    <w:p w:rsidR="00E26C82" w:rsidRPr="00E26C82" w:rsidRDefault="00E26C82" w:rsidP="00E26C82">
      <w:pPr>
        <w:jc w:val="both"/>
        <w:rPr>
          <w:rFonts w:ascii="Arial Narrow" w:hAnsi="Arial Narrow"/>
          <w:b/>
          <w:i/>
          <w:sz w:val="22"/>
          <w:szCs w:val="22"/>
        </w:rPr>
      </w:pPr>
      <w:r>
        <w:rPr>
          <w:rFonts w:ascii="Arial Narrow" w:hAnsi="Arial Narrow"/>
          <w:b/>
          <w:i/>
          <w:sz w:val="22"/>
          <w:szCs w:val="22"/>
        </w:rPr>
        <w:t>Χρεωστικοί τίτλοι</w:t>
      </w:r>
    </w:p>
    <w:p w:rsidR="0097301E" w:rsidRPr="00E26C82" w:rsidRDefault="0097301E" w:rsidP="00E26C82">
      <w:pPr>
        <w:jc w:val="both"/>
        <w:rPr>
          <w:sz w:val="22"/>
          <w:szCs w:val="22"/>
        </w:rPr>
      </w:pPr>
    </w:p>
    <w:p w:rsidR="00F2161F" w:rsidRPr="00F63898" w:rsidRDefault="00E26C82" w:rsidP="00E26C82">
      <w:pPr>
        <w:jc w:val="both"/>
        <w:rPr>
          <w:sz w:val="22"/>
          <w:szCs w:val="22"/>
        </w:rPr>
      </w:pPr>
      <w:r w:rsidRPr="00E26C82">
        <w:rPr>
          <w:sz w:val="22"/>
          <w:szCs w:val="22"/>
        </w:rPr>
        <w:t>Η κα</w:t>
      </w:r>
      <w:r>
        <w:rPr>
          <w:sz w:val="22"/>
          <w:szCs w:val="22"/>
        </w:rPr>
        <w:t>τηγορία αυτή των χρηματοοικονομικών εσόδων περιλαμβάνει τα έσοδα του Ελληνικού Δημοσ</w:t>
      </w:r>
      <w:r>
        <w:rPr>
          <w:sz w:val="22"/>
          <w:szCs w:val="22"/>
        </w:rPr>
        <w:t>ί</w:t>
      </w:r>
      <w:r>
        <w:rPr>
          <w:sz w:val="22"/>
          <w:szCs w:val="22"/>
        </w:rPr>
        <w:t>ου από χρεολύσια επενδύσεων σε ομόλογα. Εκτιμώνται έσοδα 753 εκατ. ευρώ που προέρχονται από τα χρεολύσια ομολόγων ΟΣΕ</w:t>
      </w:r>
      <w:r w:rsidR="00F2161F">
        <w:rPr>
          <w:sz w:val="22"/>
          <w:szCs w:val="22"/>
        </w:rPr>
        <w:t xml:space="preserve"> και ΕΑΣ</w:t>
      </w:r>
      <w:r w:rsidR="006073A5">
        <w:rPr>
          <w:sz w:val="22"/>
          <w:szCs w:val="22"/>
        </w:rPr>
        <w:t>,</w:t>
      </w:r>
      <w:r w:rsidR="00F2161F">
        <w:rPr>
          <w:sz w:val="22"/>
          <w:szCs w:val="22"/>
        </w:rPr>
        <w:t xml:space="preserve"> τα οποία πέρασαν στην κατοχή του Ελληνικού Δημοσίου μετά το </w:t>
      </w:r>
      <w:r w:rsidR="00F2161F">
        <w:rPr>
          <w:sz w:val="22"/>
          <w:szCs w:val="22"/>
          <w:lang w:val="en-GB"/>
        </w:rPr>
        <w:t>PSI</w:t>
      </w:r>
      <w:r w:rsidR="00612DF2">
        <w:rPr>
          <w:sz w:val="22"/>
          <w:szCs w:val="22"/>
        </w:rPr>
        <w:t xml:space="preserve"> (πίνακας 3.4)</w:t>
      </w:r>
      <w:r w:rsidR="00F2161F" w:rsidRPr="00F2161F">
        <w:rPr>
          <w:sz w:val="22"/>
          <w:szCs w:val="22"/>
        </w:rPr>
        <w:t>.</w:t>
      </w:r>
    </w:p>
    <w:p w:rsidR="00F2161F" w:rsidRPr="00F63898" w:rsidRDefault="00F2161F" w:rsidP="00E26C82">
      <w:pPr>
        <w:jc w:val="both"/>
        <w:rPr>
          <w:sz w:val="22"/>
          <w:szCs w:val="22"/>
        </w:rPr>
      </w:pPr>
    </w:p>
    <w:p w:rsidR="00F2161F" w:rsidRPr="00E26C82" w:rsidRDefault="00F2161F" w:rsidP="00F2161F">
      <w:pPr>
        <w:jc w:val="both"/>
        <w:rPr>
          <w:rFonts w:ascii="Arial Narrow" w:hAnsi="Arial Narrow"/>
          <w:b/>
          <w:i/>
          <w:sz w:val="22"/>
          <w:szCs w:val="22"/>
        </w:rPr>
      </w:pPr>
      <w:r>
        <w:rPr>
          <w:rFonts w:ascii="Arial Narrow" w:hAnsi="Arial Narrow"/>
          <w:b/>
          <w:i/>
          <w:sz w:val="22"/>
          <w:szCs w:val="22"/>
        </w:rPr>
        <w:t>Συμμετοχικοί τίτλοι</w:t>
      </w:r>
    </w:p>
    <w:p w:rsidR="00F2161F" w:rsidRDefault="00F2161F" w:rsidP="00E26C82">
      <w:pPr>
        <w:jc w:val="both"/>
        <w:rPr>
          <w:sz w:val="22"/>
          <w:szCs w:val="22"/>
        </w:rPr>
      </w:pPr>
    </w:p>
    <w:p w:rsidR="00F2161F" w:rsidRDefault="00F2161F" w:rsidP="00E26C82">
      <w:pPr>
        <w:jc w:val="both"/>
        <w:rPr>
          <w:sz w:val="22"/>
          <w:szCs w:val="22"/>
        </w:rPr>
      </w:pPr>
      <w:r>
        <w:rPr>
          <w:sz w:val="22"/>
          <w:szCs w:val="22"/>
        </w:rPr>
        <w:t>Η κατηγορία αυτή των χρηματοοικονομικών εσόδων περιλαμβάνει έσοδα από πωλήσεις μετοχών δι</w:t>
      </w:r>
      <w:r>
        <w:rPr>
          <w:sz w:val="22"/>
          <w:szCs w:val="22"/>
        </w:rPr>
        <w:t>α</w:t>
      </w:r>
      <w:r>
        <w:rPr>
          <w:sz w:val="22"/>
          <w:szCs w:val="22"/>
        </w:rPr>
        <w:t>φόρων εισηγμένων και μη εισηγμένων στο ΧΑ εταιρειών, κυριότητας Ελληνικού Δημοσίου ή/και ΤΑΙΠΕΔ ΑΕ. Εκτιμώνται έσοδα ύψους 781 εκατ. ευρώ</w:t>
      </w:r>
      <w:r w:rsidR="00612DF2">
        <w:rPr>
          <w:sz w:val="22"/>
          <w:szCs w:val="22"/>
        </w:rPr>
        <w:t xml:space="preserve"> (πίνακας 3.4)</w:t>
      </w:r>
      <w:r>
        <w:rPr>
          <w:sz w:val="22"/>
          <w:szCs w:val="22"/>
        </w:rPr>
        <w:t>.</w:t>
      </w:r>
    </w:p>
    <w:p w:rsidR="00E26C82" w:rsidRPr="00E26C82" w:rsidRDefault="00E26C82" w:rsidP="00E26C82">
      <w:pPr>
        <w:jc w:val="both"/>
        <w:rPr>
          <w:sz w:val="22"/>
          <w:szCs w:val="22"/>
        </w:rPr>
      </w:pPr>
      <w:r>
        <w:rPr>
          <w:sz w:val="22"/>
          <w:szCs w:val="22"/>
        </w:rPr>
        <w:t xml:space="preserve"> </w:t>
      </w:r>
    </w:p>
    <w:p w:rsidR="0097301E" w:rsidRDefault="0097301E" w:rsidP="0097301E">
      <w:pPr>
        <w:rPr>
          <w:rFonts w:ascii="Arial Narrow" w:hAnsi="Arial Narrow"/>
          <w:b/>
          <w:i/>
          <w:sz w:val="22"/>
          <w:szCs w:val="22"/>
        </w:rPr>
      </w:pPr>
    </w:p>
    <w:tbl>
      <w:tblPr>
        <w:tblW w:w="8964" w:type="dxa"/>
        <w:tblInd w:w="101" w:type="dxa"/>
        <w:tblLook w:val="04A0"/>
      </w:tblPr>
      <w:tblGrid>
        <w:gridCol w:w="353"/>
        <w:gridCol w:w="789"/>
        <w:gridCol w:w="4106"/>
        <w:gridCol w:w="811"/>
        <w:gridCol w:w="729"/>
        <w:gridCol w:w="794"/>
        <w:gridCol w:w="691"/>
        <w:gridCol w:w="691"/>
      </w:tblGrid>
      <w:tr w:rsidR="0097301E" w:rsidRPr="008C1502" w:rsidTr="0097301E">
        <w:trPr>
          <w:trHeight w:val="737"/>
        </w:trPr>
        <w:tc>
          <w:tcPr>
            <w:tcW w:w="8964" w:type="dxa"/>
            <w:gridSpan w:val="8"/>
            <w:tcBorders>
              <w:top w:val="single" w:sz="4" w:space="0" w:color="auto"/>
              <w:left w:val="single" w:sz="4" w:space="0" w:color="auto"/>
              <w:right w:val="single" w:sz="4" w:space="0" w:color="auto"/>
            </w:tcBorders>
            <w:shd w:val="clear" w:color="auto" w:fill="595959" w:themeFill="text1" w:themeFillTint="A6"/>
            <w:tcMar>
              <w:left w:w="28" w:type="dxa"/>
              <w:right w:w="28" w:type="dxa"/>
            </w:tcMar>
            <w:vAlign w:val="center"/>
            <w:hideMark/>
          </w:tcPr>
          <w:p w:rsidR="0097301E" w:rsidRPr="008C1502" w:rsidRDefault="0097301E" w:rsidP="0097301E">
            <w:pPr>
              <w:jc w:val="center"/>
              <w:rPr>
                <w:rFonts w:ascii="Arial Narrow" w:hAnsi="Arial Narrow"/>
                <w:color w:val="FFFFFF" w:themeColor="background1"/>
              </w:rPr>
            </w:pPr>
            <w:r w:rsidRPr="008C1502">
              <w:rPr>
                <w:rFonts w:ascii="Arial Narrow" w:hAnsi="Arial Narrow"/>
                <w:b/>
                <w:bCs/>
                <w:color w:val="FFFFFF" w:themeColor="background1"/>
              </w:rPr>
              <w:t xml:space="preserve">Πίνακας 3.4  </w:t>
            </w:r>
            <w:r w:rsidR="00A902CC">
              <w:rPr>
                <w:rFonts w:ascii="Arial Narrow" w:hAnsi="Arial Narrow"/>
                <w:b/>
                <w:bCs/>
                <w:color w:val="FFFFFF" w:themeColor="background1"/>
              </w:rPr>
              <w:t>Καθαρά έ</w:t>
            </w:r>
            <w:r w:rsidRPr="008C1502">
              <w:rPr>
                <w:rFonts w:ascii="Arial Narrow" w:hAnsi="Arial Narrow"/>
                <w:b/>
                <w:bCs/>
                <w:color w:val="FFFFFF" w:themeColor="background1"/>
              </w:rPr>
              <w:t xml:space="preserve">σοδα Κρατικού Προϋπολογισμού κατά μείζονα κατηγορία </w:t>
            </w:r>
            <w:r w:rsidRPr="008C1502">
              <w:rPr>
                <w:rFonts w:ascii="Arial Narrow" w:hAnsi="Arial Narrow"/>
                <w:b/>
                <w:bCs/>
                <w:color w:val="FFFFFF" w:themeColor="background1"/>
              </w:rPr>
              <w:br/>
            </w:r>
            <w:r w:rsidRPr="008C1502">
              <w:rPr>
                <w:rFonts w:ascii="Arial Narrow" w:hAnsi="Arial Narrow"/>
                <w:b/>
                <w:iCs/>
                <w:color w:val="FFFFFF" w:themeColor="background1"/>
                <w:sz w:val="22"/>
                <w:szCs w:val="22"/>
              </w:rPr>
              <w:t>(σε εκατ. ευρώ)</w:t>
            </w:r>
          </w:p>
        </w:tc>
      </w:tr>
      <w:tr w:rsidR="0097301E" w:rsidRPr="008C1502" w:rsidTr="0097301E">
        <w:trPr>
          <w:trHeight w:val="227"/>
        </w:trPr>
        <w:tc>
          <w:tcPr>
            <w:tcW w:w="8964" w:type="dxa"/>
            <w:gridSpan w:val="8"/>
            <w:tcBorders>
              <w:left w:val="single" w:sz="4" w:space="0" w:color="auto"/>
              <w:bottom w:val="single" w:sz="4" w:space="0" w:color="auto"/>
              <w:right w:val="single" w:sz="4" w:space="0" w:color="auto"/>
            </w:tcBorders>
            <w:shd w:val="clear" w:color="auto" w:fill="auto"/>
            <w:tcMar>
              <w:left w:w="28" w:type="dxa"/>
              <w:right w:w="28" w:type="dxa"/>
            </w:tcMar>
            <w:vAlign w:val="center"/>
            <w:hideMark/>
          </w:tcPr>
          <w:p w:rsidR="0097301E" w:rsidRPr="008C1502" w:rsidRDefault="0097301E" w:rsidP="00F2161F">
            <w:pPr>
              <w:jc w:val="center"/>
              <w:rPr>
                <w:rFonts w:ascii="Arial Narrow" w:hAnsi="Arial Narrow"/>
                <w:b/>
                <w:bCs/>
                <w:color w:val="FFFFFF" w:themeColor="background1"/>
              </w:rPr>
            </w:pPr>
          </w:p>
        </w:tc>
      </w:tr>
      <w:tr w:rsidR="0097301E" w:rsidRPr="008C1502" w:rsidTr="00DB2411">
        <w:trPr>
          <w:trHeight w:val="276"/>
        </w:trPr>
        <w:tc>
          <w:tcPr>
            <w:tcW w:w="353"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α/α</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Μείζονες κατηγορίες</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Περιγραφή</w:t>
            </w:r>
          </w:p>
        </w:tc>
        <w:tc>
          <w:tcPr>
            <w:tcW w:w="81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2017</w:t>
            </w:r>
          </w:p>
        </w:tc>
        <w:tc>
          <w:tcPr>
            <w:tcW w:w="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2018</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2019</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Μεταβολή</w:t>
            </w:r>
            <w:r>
              <w:rPr>
                <w:rFonts w:ascii="Arial Narrow" w:hAnsi="Arial Narrow"/>
                <w:b/>
                <w:bCs/>
                <w:sz w:val="16"/>
                <w:szCs w:val="16"/>
              </w:rPr>
              <w:t xml:space="preserve"> %</w:t>
            </w:r>
          </w:p>
        </w:tc>
      </w:tr>
      <w:tr w:rsidR="0097301E" w:rsidRPr="008C1502" w:rsidTr="00DB2411">
        <w:trPr>
          <w:trHeight w:val="408"/>
        </w:trPr>
        <w:tc>
          <w:tcPr>
            <w:tcW w:w="3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7301E" w:rsidRPr="008C1502" w:rsidRDefault="0097301E" w:rsidP="00F2161F">
            <w:pPr>
              <w:rPr>
                <w:rFonts w:ascii="Arial Narrow" w:hAnsi="Arial Narrow"/>
                <w:b/>
                <w:bCs/>
                <w:sz w:val="16"/>
                <w:szCs w:val="16"/>
              </w:rPr>
            </w:pPr>
          </w:p>
        </w:tc>
        <w:tc>
          <w:tcPr>
            <w:tcW w:w="78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7301E" w:rsidRPr="008C1502" w:rsidRDefault="0097301E" w:rsidP="00F2161F">
            <w:pPr>
              <w:rPr>
                <w:rFonts w:ascii="Arial Narrow" w:hAnsi="Arial Narrow"/>
                <w:b/>
                <w:bCs/>
                <w:sz w:val="16"/>
                <w:szCs w:val="16"/>
              </w:rPr>
            </w:pPr>
          </w:p>
        </w:tc>
        <w:tc>
          <w:tcPr>
            <w:tcW w:w="41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7301E" w:rsidRPr="008C1502" w:rsidRDefault="0097301E" w:rsidP="00F2161F">
            <w:pPr>
              <w:rPr>
                <w:rFonts w:ascii="Arial Narrow" w:hAnsi="Arial Narrow"/>
                <w:b/>
                <w:bCs/>
                <w:sz w:val="16"/>
                <w:szCs w:val="16"/>
              </w:rPr>
            </w:pPr>
          </w:p>
        </w:tc>
        <w:tc>
          <w:tcPr>
            <w:tcW w:w="8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Πραγματο-</w:t>
            </w:r>
            <w:r w:rsidRPr="008C1502">
              <w:rPr>
                <w:rFonts w:ascii="Arial Narrow" w:hAnsi="Arial Narrow"/>
                <w:b/>
                <w:bCs/>
                <w:sz w:val="16"/>
                <w:szCs w:val="16"/>
              </w:rPr>
              <w:br/>
              <w:t>ποιήσεις</w:t>
            </w:r>
          </w:p>
        </w:tc>
        <w:tc>
          <w:tcPr>
            <w:tcW w:w="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Εκτιμήσεις</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Προβλέψεις</w:t>
            </w:r>
          </w:p>
        </w:tc>
        <w:tc>
          <w:tcPr>
            <w:tcW w:w="6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2018/17</w:t>
            </w:r>
          </w:p>
        </w:tc>
        <w:tc>
          <w:tcPr>
            <w:tcW w:w="6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7301E" w:rsidRPr="008C1502" w:rsidRDefault="0097301E" w:rsidP="00F2161F">
            <w:pPr>
              <w:jc w:val="center"/>
              <w:rPr>
                <w:rFonts w:ascii="Arial Narrow" w:hAnsi="Arial Narrow"/>
                <w:b/>
                <w:bCs/>
                <w:sz w:val="16"/>
                <w:szCs w:val="16"/>
              </w:rPr>
            </w:pPr>
            <w:r w:rsidRPr="008C1502">
              <w:rPr>
                <w:rFonts w:ascii="Arial Narrow" w:hAnsi="Arial Narrow"/>
                <w:b/>
                <w:bCs/>
                <w:sz w:val="16"/>
                <w:szCs w:val="16"/>
              </w:rPr>
              <w:t>2019/18</w:t>
            </w:r>
          </w:p>
        </w:tc>
      </w:tr>
      <w:tr w:rsidR="00651B8E" w:rsidRPr="008C1502" w:rsidTr="00DB2411">
        <w:trPr>
          <w:trHeight w:val="227"/>
        </w:trPr>
        <w:tc>
          <w:tcPr>
            <w:tcW w:w="353" w:type="dxa"/>
            <w:tcBorders>
              <w:top w:val="single" w:sz="4" w:space="0" w:color="auto"/>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w:t>
            </w:r>
          </w:p>
        </w:tc>
        <w:tc>
          <w:tcPr>
            <w:tcW w:w="789" w:type="dxa"/>
            <w:tcBorders>
              <w:top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11</w:t>
            </w:r>
          </w:p>
        </w:tc>
        <w:tc>
          <w:tcPr>
            <w:tcW w:w="4106" w:type="dxa"/>
            <w:tcBorders>
              <w:top w:val="single" w:sz="4" w:space="0" w:color="auto"/>
              <w:bottom w:val="nil"/>
            </w:tcBorders>
            <w:shd w:val="clear" w:color="auto" w:fill="auto"/>
            <w:tcMar>
              <w:left w:w="28" w:type="dxa"/>
              <w:right w:w="28" w:type="dxa"/>
            </w:tcMar>
            <w:vAlign w:val="bottom"/>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 xml:space="preserve">Φόροι </w:t>
            </w:r>
          </w:p>
        </w:tc>
        <w:tc>
          <w:tcPr>
            <w:tcW w:w="811" w:type="dxa"/>
            <w:tcBorders>
              <w:top w:val="single" w:sz="4" w:space="0" w:color="auto"/>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43.945</w:t>
            </w:r>
          </w:p>
        </w:tc>
        <w:tc>
          <w:tcPr>
            <w:tcW w:w="729" w:type="dxa"/>
            <w:tcBorders>
              <w:top w:val="single" w:sz="4" w:space="0" w:color="auto"/>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45.418</w:t>
            </w:r>
          </w:p>
        </w:tc>
        <w:tc>
          <w:tcPr>
            <w:tcW w:w="794" w:type="dxa"/>
            <w:tcBorders>
              <w:top w:val="single" w:sz="4" w:space="0" w:color="auto"/>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46.423</w:t>
            </w:r>
          </w:p>
        </w:tc>
        <w:tc>
          <w:tcPr>
            <w:tcW w:w="691" w:type="dxa"/>
            <w:tcBorders>
              <w:top w:val="single" w:sz="4" w:space="0" w:color="auto"/>
              <w:bottom w:val="nil"/>
            </w:tcBorders>
            <w:shd w:val="clear" w:color="auto" w:fill="auto"/>
            <w:tcMar>
              <w:left w:w="28" w:type="dxa"/>
              <w:right w:w="28" w:type="dxa"/>
            </w:tcMar>
            <w:vAlign w:val="bottom"/>
            <w:hideMark/>
          </w:tcPr>
          <w:p w:rsidR="00651B8E" w:rsidRDefault="00651B8E" w:rsidP="00651B8E">
            <w:pPr>
              <w:jc w:val="right"/>
              <w:rPr>
                <w:rFonts w:ascii="Arial Narrow" w:hAnsi="Arial Narrow"/>
                <w:sz w:val="16"/>
                <w:szCs w:val="16"/>
              </w:rPr>
            </w:pPr>
            <w:r>
              <w:rPr>
                <w:rFonts w:ascii="Arial Narrow" w:hAnsi="Arial Narrow"/>
                <w:sz w:val="16"/>
                <w:szCs w:val="16"/>
              </w:rPr>
              <w:t>3,4</w:t>
            </w:r>
          </w:p>
        </w:tc>
        <w:tc>
          <w:tcPr>
            <w:tcW w:w="691" w:type="dxa"/>
            <w:tcBorders>
              <w:top w:val="single" w:sz="4" w:space="0" w:color="auto"/>
              <w:bottom w:val="nil"/>
              <w:right w:val="single" w:sz="4" w:space="0" w:color="auto"/>
            </w:tcBorders>
            <w:shd w:val="clear" w:color="auto" w:fill="auto"/>
            <w:tcMar>
              <w:left w:w="28" w:type="dxa"/>
              <w:right w:w="28" w:type="dxa"/>
            </w:tcMar>
            <w:vAlign w:val="bottom"/>
            <w:hideMark/>
          </w:tcPr>
          <w:p w:rsidR="00651B8E" w:rsidRDefault="00651B8E" w:rsidP="00651B8E">
            <w:pPr>
              <w:jc w:val="right"/>
              <w:rPr>
                <w:rFonts w:ascii="Arial Narrow" w:hAnsi="Arial Narrow"/>
                <w:sz w:val="16"/>
                <w:szCs w:val="16"/>
              </w:rPr>
            </w:pPr>
            <w:r>
              <w:rPr>
                <w:rFonts w:ascii="Arial Narrow" w:hAnsi="Arial Narrow"/>
                <w:sz w:val="16"/>
                <w:szCs w:val="16"/>
              </w:rPr>
              <w:t>2,2</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2</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12</w:t>
            </w:r>
          </w:p>
        </w:tc>
        <w:tc>
          <w:tcPr>
            <w:tcW w:w="4106" w:type="dxa"/>
            <w:tcBorders>
              <w:top w:val="nil"/>
              <w:bottom w:val="nil"/>
            </w:tcBorders>
            <w:shd w:val="clear" w:color="auto" w:fill="auto"/>
            <w:tcMar>
              <w:left w:w="28" w:type="dxa"/>
              <w:right w:w="28" w:type="dxa"/>
            </w:tcMar>
            <w:vAlign w:val="bottom"/>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Κοινωνικές εισφορές</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66</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70</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57</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6,8</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-19,1</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3</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13</w:t>
            </w:r>
          </w:p>
        </w:tc>
        <w:tc>
          <w:tcPr>
            <w:tcW w:w="4106" w:type="dxa"/>
            <w:tcBorders>
              <w:top w:val="nil"/>
              <w:bottom w:val="nil"/>
            </w:tcBorders>
            <w:shd w:val="clear" w:color="auto" w:fill="auto"/>
            <w:tcMar>
              <w:left w:w="28" w:type="dxa"/>
              <w:right w:w="28" w:type="dxa"/>
            </w:tcMar>
            <w:vAlign w:val="bottom"/>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Μεταβιβάσεις</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2.726</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4.457</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4.049</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63,5</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-9,1</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p>
        </w:tc>
        <w:tc>
          <w:tcPr>
            <w:tcW w:w="4106" w:type="dxa"/>
            <w:tcBorders>
              <w:top w:val="nil"/>
              <w:bottom w:val="nil"/>
            </w:tcBorders>
            <w:shd w:val="clear" w:color="auto" w:fill="auto"/>
            <w:tcMar>
              <w:left w:w="28" w:type="dxa"/>
              <w:right w:w="28" w:type="dxa"/>
            </w:tcMar>
            <w:vAlign w:val="bottom"/>
            <w:hideMark/>
          </w:tcPr>
          <w:p w:rsidR="00651B8E" w:rsidRPr="008C1502" w:rsidRDefault="00651B8E" w:rsidP="00F2161F">
            <w:pPr>
              <w:rPr>
                <w:rFonts w:ascii="Arial Narrow" w:hAnsi="Arial Narrow"/>
                <w:i/>
                <w:iCs/>
                <w:sz w:val="16"/>
                <w:szCs w:val="16"/>
              </w:rPr>
            </w:pPr>
            <w:r w:rsidRPr="008C1502">
              <w:rPr>
                <w:rFonts w:ascii="Arial Narrow" w:hAnsi="Arial Narrow"/>
                <w:i/>
                <w:iCs/>
                <w:sz w:val="16"/>
                <w:szCs w:val="16"/>
              </w:rPr>
              <w:t>εκ των οποίων ΠΔΕ</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i/>
                <w:iCs/>
                <w:sz w:val="16"/>
                <w:szCs w:val="16"/>
              </w:rPr>
            </w:pPr>
            <w:r>
              <w:rPr>
                <w:rFonts w:ascii="Arial Narrow" w:hAnsi="Arial Narrow"/>
                <w:i/>
                <w:iCs/>
                <w:sz w:val="16"/>
                <w:szCs w:val="16"/>
              </w:rPr>
              <w:t>2.010</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i/>
                <w:iCs/>
                <w:sz w:val="16"/>
                <w:szCs w:val="16"/>
              </w:rPr>
            </w:pPr>
            <w:r>
              <w:rPr>
                <w:rFonts w:ascii="Arial Narrow" w:hAnsi="Arial Narrow"/>
                <w:i/>
                <w:iCs/>
                <w:sz w:val="16"/>
                <w:szCs w:val="16"/>
              </w:rPr>
              <w:t>3.577</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i/>
                <w:iCs/>
                <w:sz w:val="16"/>
                <w:szCs w:val="16"/>
              </w:rPr>
            </w:pPr>
            <w:r>
              <w:rPr>
                <w:rFonts w:ascii="Arial Narrow" w:hAnsi="Arial Narrow"/>
                <w:i/>
                <w:iCs/>
                <w:sz w:val="16"/>
                <w:szCs w:val="16"/>
              </w:rPr>
              <w:t>3.590</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78,0</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0,3</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4</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14</w:t>
            </w:r>
          </w:p>
        </w:tc>
        <w:tc>
          <w:tcPr>
            <w:tcW w:w="4106" w:type="dxa"/>
            <w:tcBorders>
              <w:top w:val="nil"/>
              <w:bottom w:val="nil"/>
            </w:tcBorders>
            <w:shd w:val="clear" w:color="auto" w:fill="auto"/>
            <w:tcMar>
              <w:left w:w="28" w:type="dxa"/>
              <w:right w:w="28" w:type="dxa"/>
            </w:tcMar>
            <w:vAlign w:val="bottom"/>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Πωλήσεις αγαθών και υπηρεσιών</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1.909</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1.783</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765</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-6,6</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-57,1</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5</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15</w:t>
            </w:r>
          </w:p>
        </w:tc>
        <w:tc>
          <w:tcPr>
            <w:tcW w:w="4106" w:type="dxa"/>
            <w:tcBorders>
              <w:top w:val="nil"/>
              <w:bottom w:val="nil"/>
            </w:tcBorders>
            <w:shd w:val="clear" w:color="auto" w:fill="auto"/>
            <w:tcMar>
              <w:left w:w="28" w:type="dxa"/>
              <w:right w:w="28" w:type="dxa"/>
            </w:tcMar>
            <w:vAlign w:val="bottom"/>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Λοιπά τρέχοντα έσοδα</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2.025</w:t>
            </w:r>
          </w:p>
        </w:tc>
        <w:tc>
          <w:tcPr>
            <w:tcW w:w="729" w:type="dxa"/>
            <w:tcBorders>
              <w:top w:val="nil"/>
              <w:bottom w:val="nil"/>
            </w:tcBorders>
            <w:shd w:val="clear" w:color="auto" w:fill="auto"/>
            <w:tcMar>
              <w:left w:w="28" w:type="dxa"/>
              <w:right w:w="28" w:type="dxa"/>
            </w:tcMar>
            <w:vAlign w:val="bottom"/>
            <w:hideMark/>
          </w:tcPr>
          <w:p w:rsidR="00651B8E" w:rsidRDefault="00F84D28" w:rsidP="00651B8E">
            <w:pPr>
              <w:ind w:right="113"/>
              <w:jc w:val="right"/>
              <w:rPr>
                <w:rFonts w:ascii="Arial Narrow" w:hAnsi="Arial Narrow"/>
                <w:sz w:val="16"/>
                <w:szCs w:val="16"/>
              </w:rPr>
            </w:pPr>
            <w:r>
              <w:rPr>
                <w:rFonts w:ascii="Arial Narrow" w:hAnsi="Arial Narrow"/>
                <w:sz w:val="16"/>
                <w:szCs w:val="16"/>
              </w:rPr>
              <w:t>2.059</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1.393</w:t>
            </w:r>
          </w:p>
        </w:tc>
        <w:tc>
          <w:tcPr>
            <w:tcW w:w="691" w:type="dxa"/>
            <w:tcBorders>
              <w:top w:val="nil"/>
              <w:bottom w:val="nil"/>
            </w:tcBorders>
            <w:shd w:val="clear" w:color="auto" w:fill="auto"/>
            <w:tcMar>
              <w:left w:w="28" w:type="dxa"/>
              <w:right w:w="28" w:type="dxa"/>
            </w:tcMar>
            <w:vAlign w:val="bottom"/>
            <w:hideMark/>
          </w:tcPr>
          <w:p w:rsidR="00651B8E" w:rsidRDefault="00F84D28">
            <w:pPr>
              <w:jc w:val="right"/>
              <w:rPr>
                <w:rFonts w:ascii="Arial Narrow" w:hAnsi="Arial Narrow"/>
                <w:sz w:val="16"/>
                <w:szCs w:val="16"/>
              </w:rPr>
            </w:pPr>
            <w:r>
              <w:rPr>
                <w:rFonts w:ascii="Arial Narrow" w:hAnsi="Arial Narrow"/>
                <w:sz w:val="16"/>
                <w:szCs w:val="16"/>
              </w:rPr>
              <w:t>1,7</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rsidP="00F84D28">
            <w:pPr>
              <w:jc w:val="right"/>
              <w:rPr>
                <w:rFonts w:ascii="Arial Narrow" w:hAnsi="Arial Narrow"/>
                <w:sz w:val="16"/>
                <w:szCs w:val="16"/>
              </w:rPr>
            </w:pPr>
            <w:r>
              <w:rPr>
                <w:rFonts w:ascii="Arial Narrow" w:hAnsi="Arial Narrow"/>
                <w:sz w:val="16"/>
                <w:szCs w:val="16"/>
              </w:rPr>
              <w:t>-</w:t>
            </w:r>
            <w:r w:rsidR="00F84D28">
              <w:rPr>
                <w:rFonts w:ascii="Arial Narrow" w:hAnsi="Arial Narrow"/>
                <w:sz w:val="16"/>
                <w:szCs w:val="16"/>
              </w:rPr>
              <w:t>32,3</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p>
        </w:tc>
        <w:tc>
          <w:tcPr>
            <w:tcW w:w="4106" w:type="dxa"/>
            <w:tcBorders>
              <w:top w:val="nil"/>
              <w:bottom w:val="nil"/>
            </w:tcBorders>
            <w:shd w:val="clear" w:color="auto" w:fill="auto"/>
            <w:tcMar>
              <w:left w:w="28" w:type="dxa"/>
              <w:right w:w="28" w:type="dxa"/>
            </w:tcMar>
            <w:vAlign w:val="bottom"/>
            <w:hideMark/>
          </w:tcPr>
          <w:p w:rsidR="00651B8E" w:rsidRPr="008C1502" w:rsidRDefault="00651B8E" w:rsidP="00F2161F">
            <w:pPr>
              <w:rPr>
                <w:rFonts w:ascii="Arial Narrow" w:hAnsi="Arial Narrow"/>
                <w:i/>
                <w:iCs/>
                <w:sz w:val="16"/>
                <w:szCs w:val="16"/>
              </w:rPr>
            </w:pPr>
            <w:r w:rsidRPr="008C1502">
              <w:rPr>
                <w:rFonts w:ascii="Arial Narrow" w:hAnsi="Arial Narrow"/>
                <w:i/>
                <w:iCs/>
                <w:sz w:val="16"/>
                <w:szCs w:val="16"/>
              </w:rPr>
              <w:t>εκ των οποίων ΠΔΕ</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i/>
                <w:iCs/>
                <w:sz w:val="16"/>
                <w:szCs w:val="16"/>
              </w:rPr>
            </w:pPr>
            <w:r>
              <w:rPr>
                <w:rFonts w:ascii="Arial Narrow" w:hAnsi="Arial Narrow"/>
                <w:i/>
                <w:iCs/>
                <w:sz w:val="16"/>
                <w:szCs w:val="16"/>
              </w:rPr>
              <w:t>435</w:t>
            </w:r>
          </w:p>
        </w:tc>
        <w:tc>
          <w:tcPr>
            <w:tcW w:w="729" w:type="dxa"/>
            <w:tcBorders>
              <w:top w:val="nil"/>
              <w:bottom w:val="nil"/>
            </w:tcBorders>
            <w:shd w:val="clear" w:color="auto" w:fill="auto"/>
            <w:tcMar>
              <w:left w:w="28" w:type="dxa"/>
              <w:right w:w="28" w:type="dxa"/>
            </w:tcMar>
            <w:vAlign w:val="bottom"/>
            <w:hideMark/>
          </w:tcPr>
          <w:p w:rsidR="00651B8E" w:rsidRDefault="00F84D28" w:rsidP="00651B8E">
            <w:pPr>
              <w:ind w:right="113"/>
              <w:jc w:val="right"/>
              <w:rPr>
                <w:rFonts w:ascii="Arial Narrow" w:hAnsi="Arial Narrow"/>
                <w:i/>
                <w:iCs/>
                <w:sz w:val="16"/>
                <w:szCs w:val="16"/>
              </w:rPr>
            </w:pPr>
            <w:r>
              <w:rPr>
                <w:rFonts w:ascii="Arial Narrow" w:hAnsi="Arial Narrow"/>
                <w:i/>
                <w:iCs/>
                <w:sz w:val="16"/>
                <w:szCs w:val="16"/>
              </w:rPr>
              <w:t>27</w:t>
            </w:r>
            <w:r w:rsidR="00651B8E">
              <w:rPr>
                <w:rFonts w:ascii="Arial Narrow" w:hAnsi="Arial Narrow"/>
                <w:i/>
                <w:iCs/>
                <w:sz w:val="16"/>
                <w:szCs w:val="16"/>
              </w:rPr>
              <w:t>8</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i/>
                <w:iCs/>
                <w:sz w:val="16"/>
                <w:szCs w:val="16"/>
              </w:rPr>
            </w:pPr>
            <w:r>
              <w:rPr>
                <w:rFonts w:ascii="Arial Narrow" w:hAnsi="Arial Narrow"/>
                <w:i/>
                <w:iCs/>
                <w:sz w:val="16"/>
                <w:szCs w:val="16"/>
              </w:rPr>
              <w:t>150</w:t>
            </w:r>
          </w:p>
        </w:tc>
        <w:tc>
          <w:tcPr>
            <w:tcW w:w="691" w:type="dxa"/>
            <w:tcBorders>
              <w:top w:val="nil"/>
              <w:bottom w:val="nil"/>
            </w:tcBorders>
            <w:shd w:val="clear" w:color="auto" w:fill="auto"/>
            <w:tcMar>
              <w:left w:w="28" w:type="dxa"/>
              <w:right w:w="28" w:type="dxa"/>
            </w:tcMar>
            <w:vAlign w:val="bottom"/>
            <w:hideMark/>
          </w:tcPr>
          <w:p w:rsidR="00651B8E" w:rsidRDefault="00F84D28">
            <w:pPr>
              <w:jc w:val="right"/>
              <w:rPr>
                <w:rFonts w:ascii="Arial Narrow" w:hAnsi="Arial Narrow"/>
                <w:sz w:val="16"/>
                <w:szCs w:val="16"/>
              </w:rPr>
            </w:pPr>
            <w:r>
              <w:rPr>
                <w:rFonts w:ascii="Arial Narrow" w:hAnsi="Arial Narrow"/>
                <w:sz w:val="16"/>
                <w:szCs w:val="16"/>
              </w:rPr>
              <w:t>-</w:t>
            </w:r>
            <w:r w:rsidR="00651B8E">
              <w:rPr>
                <w:rFonts w:ascii="Arial Narrow" w:hAnsi="Arial Narrow"/>
                <w:sz w:val="16"/>
                <w:szCs w:val="16"/>
              </w:rPr>
              <w:t>3</w:t>
            </w:r>
            <w:r>
              <w:rPr>
                <w:rFonts w:ascii="Arial Narrow" w:hAnsi="Arial Narrow"/>
                <w:sz w:val="16"/>
                <w:szCs w:val="16"/>
              </w:rPr>
              <w:t>6</w:t>
            </w:r>
            <w:r w:rsidR="00651B8E">
              <w:rPr>
                <w:rFonts w:ascii="Arial Narrow" w:hAnsi="Arial Narrow"/>
                <w:sz w:val="16"/>
                <w:szCs w:val="16"/>
              </w:rPr>
              <w:t>,</w:t>
            </w:r>
            <w:r>
              <w:rPr>
                <w:rFonts w:ascii="Arial Narrow" w:hAnsi="Arial Narrow"/>
                <w:sz w:val="16"/>
                <w:szCs w:val="16"/>
              </w:rPr>
              <w:t>2</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-4</w:t>
            </w:r>
            <w:r w:rsidR="00F84D28">
              <w:rPr>
                <w:rFonts w:ascii="Arial Narrow" w:hAnsi="Arial Narrow"/>
                <w:sz w:val="16"/>
                <w:szCs w:val="16"/>
              </w:rPr>
              <w:t>5</w:t>
            </w:r>
            <w:r>
              <w:rPr>
                <w:rFonts w:ascii="Arial Narrow" w:hAnsi="Arial Narrow"/>
                <w:sz w:val="16"/>
                <w:szCs w:val="16"/>
              </w:rPr>
              <w:t>,</w:t>
            </w:r>
            <w:r w:rsidR="00F84D28">
              <w:rPr>
                <w:rFonts w:ascii="Arial Narrow" w:hAnsi="Arial Narrow"/>
                <w:sz w:val="16"/>
                <w:szCs w:val="16"/>
              </w:rPr>
              <w:t>9</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6</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31</w:t>
            </w:r>
          </w:p>
        </w:tc>
        <w:tc>
          <w:tcPr>
            <w:tcW w:w="4106" w:type="dxa"/>
            <w:tcBorders>
              <w:top w:val="nil"/>
              <w:bottom w:val="nil"/>
            </w:tcBorders>
            <w:shd w:val="clear" w:color="auto" w:fill="auto"/>
            <w:tcMar>
              <w:left w:w="28" w:type="dxa"/>
              <w:right w:w="28" w:type="dxa"/>
            </w:tcMar>
            <w:vAlign w:val="bottom"/>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Πωλήσεις Παγίων Περιουσιακών Στοιχείων</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25</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36</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335</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46,1</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822,1</w:t>
            </w:r>
          </w:p>
        </w:tc>
      </w:tr>
      <w:tr w:rsidR="00651B8E" w:rsidRPr="008C1502" w:rsidTr="00DB2411">
        <w:trPr>
          <w:trHeight w:val="227"/>
        </w:trPr>
        <w:tc>
          <w:tcPr>
            <w:tcW w:w="353" w:type="dxa"/>
            <w:tcBorders>
              <w:left w:val="single" w:sz="4" w:space="0" w:color="auto"/>
            </w:tcBorders>
            <w:shd w:val="clear" w:color="000000" w:fill="BFBFBF"/>
            <w:tcMar>
              <w:left w:w="28" w:type="dxa"/>
              <w:right w:w="28" w:type="dxa"/>
            </w:tcMar>
            <w:vAlign w:val="center"/>
            <w:hideMark/>
          </w:tcPr>
          <w:p w:rsidR="00651B8E" w:rsidRPr="008C1502" w:rsidRDefault="00651B8E" w:rsidP="0097301E">
            <w:pPr>
              <w:spacing w:before="40" w:after="40"/>
              <w:jc w:val="center"/>
              <w:rPr>
                <w:rFonts w:ascii="Arial Narrow" w:hAnsi="Arial Narrow"/>
                <w:b/>
                <w:bCs/>
                <w:sz w:val="16"/>
                <w:szCs w:val="16"/>
              </w:rPr>
            </w:pPr>
            <w:r w:rsidRPr="008C1502">
              <w:rPr>
                <w:rFonts w:ascii="Arial Narrow" w:hAnsi="Arial Narrow"/>
                <w:b/>
                <w:bCs/>
                <w:sz w:val="16"/>
                <w:szCs w:val="16"/>
              </w:rPr>
              <w:t>Α</w:t>
            </w:r>
          </w:p>
        </w:tc>
        <w:tc>
          <w:tcPr>
            <w:tcW w:w="4895" w:type="dxa"/>
            <w:gridSpan w:val="2"/>
            <w:shd w:val="clear" w:color="000000" w:fill="BFBFBF"/>
            <w:tcMar>
              <w:left w:w="28" w:type="dxa"/>
              <w:right w:w="28" w:type="dxa"/>
            </w:tcMar>
            <w:vAlign w:val="center"/>
            <w:hideMark/>
          </w:tcPr>
          <w:p w:rsidR="00651B8E" w:rsidRPr="008C1502" w:rsidRDefault="00612DF2" w:rsidP="0097301E">
            <w:pPr>
              <w:spacing w:before="40" w:after="40"/>
              <w:rPr>
                <w:rFonts w:ascii="Arial Narrow" w:hAnsi="Arial Narrow"/>
                <w:b/>
                <w:bCs/>
                <w:sz w:val="16"/>
                <w:szCs w:val="16"/>
              </w:rPr>
            </w:pPr>
            <w:r>
              <w:rPr>
                <w:rFonts w:ascii="Arial Narrow" w:hAnsi="Arial Narrow"/>
                <w:b/>
                <w:bCs/>
                <w:sz w:val="16"/>
                <w:szCs w:val="16"/>
              </w:rPr>
              <w:t>Έσοδα μη χ</w:t>
            </w:r>
            <w:r w:rsidR="00651B8E" w:rsidRPr="008C1502">
              <w:rPr>
                <w:rFonts w:ascii="Arial Narrow" w:hAnsi="Arial Narrow"/>
                <w:b/>
                <w:bCs/>
                <w:sz w:val="16"/>
                <w:szCs w:val="16"/>
              </w:rPr>
              <w:t>ρηματοοικονομικών συναλλαγών</w:t>
            </w:r>
            <w:r w:rsidR="00651B8E">
              <w:rPr>
                <w:rFonts w:ascii="Arial Narrow" w:hAnsi="Arial Narrow"/>
                <w:b/>
                <w:bCs/>
                <w:sz w:val="16"/>
                <w:szCs w:val="16"/>
                <w:vertAlign w:val="superscript"/>
              </w:rPr>
              <w:t>1</w:t>
            </w:r>
            <w:r>
              <w:rPr>
                <w:rFonts w:ascii="Arial Narrow" w:hAnsi="Arial Narrow"/>
                <w:b/>
                <w:bCs/>
                <w:sz w:val="16"/>
                <w:szCs w:val="16"/>
              </w:rPr>
              <w:t xml:space="preserve">  (1+2+3+4+5+6</w:t>
            </w:r>
            <w:r w:rsidR="00651B8E" w:rsidRPr="008C1502">
              <w:rPr>
                <w:rFonts w:ascii="Arial Narrow" w:hAnsi="Arial Narrow"/>
                <w:b/>
                <w:bCs/>
                <w:sz w:val="16"/>
                <w:szCs w:val="16"/>
              </w:rPr>
              <w:t>)</w:t>
            </w:r>
          </w:p>
        </w:tc>
        <w:tc>
          <w:tcPr>
            <w:tcW w:w="811" w:type="dxa"/>
            <w:shd w:val="clear" w:color="000000" w:fill="BFBFBF"/>
            <w:tcMar>
              <w:left w:w="28" w:type="dxa"/>
              <w:right w:w="28" w:type="dxa"/>
            </w:tcMar>
            <w:vAlign w:val="center"/>
            <w:hideMark/>
          </w:tcPr>
          <w:p w:rsidR="00651B8E" w:rsidRPr="008C1502" w:rsidRDefault="00651B8E" w:rsidP="00651B8E">
            <w:pPr>
              <w:spacing w:before="40" w:after="40"/>
              <w:ind w:right="113"/>
              <w:jc w:val="right"/>
              <w:rPr>
                <w:rFonts w:ascii="Arial Narrow" w:hAnsi="Arial Narrow"/>
                <w:b/>
                <w:bCs/>
                <w:sz w:val="16"/>
                <w:szCs w:val="16"/>
              </w:rPr>
            </w:pPr>
            <w:r w:rsidRPr="008C1502">
              <w:rPr>
                <w:rFonts w:ascii="Arial Narrow" w:hAnsi="Arial Narrow"/>
                <w:b/>
                <w:bCs/>
                <w:sz w:val="16"/>
                <w:szCs w:val="16"/>
              </w:rPr>
              <w:t>5</w:t>
            </w:r>
            <w:r w:rsidR="00612DF2">
              <w:rPr>
                <w:rFonts w:ascii="Arial Narrow" w:hAnsi="Arial Narrow"/>
                <w:b/>
                <w:bCs/>
                <w:sz w:val="16"/>
                <w:szCs w:val="16"/>
              </w:rPr>
              <w:t>0.696</w:t>
            </w:r>
          </w:p>
        </w:tc>
        <w:tc>
          <w:tcPr>
            <w:tcW w:w="729" w:type="dxa"/>
            <w:shd w:val="clear" w:color="000000" w:fill="BFBFBF"/>
            <w:tcMar>
              <w:left w:w="28" w:type="dxa"/>
              <w:right w:w="28" w:type="dxa"/>
            </w:tcMar>
            <w:vAlign w:val="center"/>
            <w:hideMark/>
          </w:tcPr>
          <w:p w:rsidR="00651B8E" w:rsidRDefault="00651B8E" w:rsidP="00F84D28">
            <w:pPr>
              <w:ind w:right="113"/>
              <w:jc w:val="right"/>
              <w:rPr>
                <w:rFonts w:ascii="Arial Narrow" w:hAnsi="Arial Narrow"/>
                <w:b/>
                <w:bCs/>
                <w:sz w:val="16"/>
                <w:szCs w:val="16"/>
              </w:rPr>
            </w:pPr>
            <w:r>
              <w:rPr>
                <w:rFonts w:ascii="Arial Narrow" w:hAnsi="Arial Narrow"/>
                <w:b/>
                <w:bCs/>
                <w:sz w:val="16"/>
                <w:szCs w:val="16"/>
              </w:rPr>
              <w:t>53.</w:t>
            </w:r>
            <w:r w:rsidR="00F84D28">
              <w:rPr>
                <w:rFonts w:ascii="Arial Narrow" w:hAnsi="Arial Narrow"/>
                <w:b/>
                <w:bCs/>
                <w:sz w:val="16"/>
                <w:szCs w:val="16"/>
              </w:rPr>
              <w:t>824</w:t>
            </w:r>
          </w:p>
        </w:tc>
        <w:tc>
          <w:tcPr>
            <w:tcW w:w="794" w:type="dxa"/>
            <w:shd w:val="clear" w:color="000000" w:fill="BFBFBF"/>
            <w:tcMar>
              <w:left w:w="28" w:type="dxa"/>
              <w:right w:w="28" w:type="dxa"/>
            </w:tcMar>
            <w:vAlign w:val="center"/>
            <w:hideMark/>
          </w:tcPr>
          <w:p w:rsidR="00651B8E" w:rsidRDefault="00651B8E" w:rsidP="00C704DF">
            <w:pPr>
              <w:jc w:val="right"/>
              <w:rPr>
                <w:rFonts w:ascii="Arial Narrow" w:hAnsi="Arial Narrow"/>
                <w:b/>
                <w:bCs/>
                <w:sz w:val="16"/>
                <w:szCs w:val="16"/>
              </w:rPr>
            </w:pPr>
            <w:r>
              <w:rPr>
                <w:rFonts w:ascii="Arial Narrow" w:hAnsi="Arial Narrow"/>
                <w:b/>
                <w:bCs/>
                <w:sz w:val="16"/>
                <w:szCs w:val="16"/>
              </w:rPr>
              <w:t>53.022</w:t>
            </w:r>
          </w:p>
        </w:tc>
        <w:tc>
          <w:tcPr>
            <w:tcW w:w="691" w:type="dxa"/>
            <w:shd w:val="clear" w:color="000000" w:fill="BFBFBF"/>
            <w:tcMar>
              <w:left w:w="28" w:type="dxa"/>
              <w:right w:w="28" w:type="dxa"/>
            </w:tcMar>
            <w:vAlign w:val="center"/>
            <w:hideMark/>
          </w:tcPr>
          <w:p w:rsidR="00651B8E" w:rsidRDefault="00F84D28" w:rsidP="00C704DF">
            <w:pPr>
              <w:jc w:val="right"/>
              <w:rPr>
                <w:rFonts w:ascii="Arial Narrow" w:hAnsi="Arial Narrow"/>
                <w:b/>
                <w:bCs/>
                <w:sz w:val="16"/>
                <w:szCs w:val="16"/>
              </w:rPr>
            </w:pPr>
            <w:r>
              <w:rPr>
                <w:rFonts w:ascii="Arial Narrow" w:hAnsi="Arial Narrow"/>
                <w:b/>
                <w:bCs/>
                <w:sz w:val="16"/>
                <w:szCs w:val="16"/>
              </w:rPr>
              <w:t>6,2</w:t>
            </w:r>
          </w:p>
        </w:tc>
        <w:tc>
          <w:tcPr>
            <w:tcW w:w="691" w:type="dxa"/>
            <w:tcBorders>
              <w:right w:val="single" w:sz="4" w:space="0" w:color="auto"/>
            </w:tcBorders>
            <w:shd w:val="clear" w:color="000000" w:fill="BFBFBF"/>
            <w:tcMar>
              <w:left w:w="28" w:type="dxa"/>
              <w:right w:w="28" w:type="dxa"/>
            </w:tcMar>
            <w:vAlign w:val="center"/>
            <w:hideMark/>
          </w:tcPr>
          <w:p w:rsidR="00651B8E" w:rsidRDefault="00651B8E">
            <w:pPr>
              <w:jc w:val="right"/>
              <w:rPr>
                <w:rFonts w:ascii="Arial Narrow" w:hAnsi="Arial Narrow"/>
                <w:b/>
                <w:bCs/>
                <w:sz w:val="16"/>
                <w:szCs w:val="16"/>
              </w:rPr>
            </w:pPr>
            <w:r>
              <w:rPr>
                <w:rFonts w:ascii="Arial Narrow" w:hAnsi="Arial Narrow"/>
                <w:b/>
                <w:bCs/>
                <w:sz w:val="16"/>
                <w:szCs w:val="16"/>
              </w:rPr>
              <w:t>-1,</w:t>
            </w:r>
            <w:r w:rsidR="00F84D28">
              <w:rPr>
                <w:rFonts w:ascii="Arial Narrow" w:hAnsi="Arial Narrow"/>
                <w:b/>
                <w:bCs/>
                <w:sz w:val="16"/>
                <w:szCs w:val="16"/>
              </w:rPr>
              <w:t>5</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12DF2" w:rsidP="00F2161F">
            <w:pPr>
              <w:jc w:val="center"/>
              <w:rPr>
                <w:rFonts w:ascii="Arial Narrow" w:hAnsi="Arial Narrow"/>
                <w:sz w:val="16"/>
                <w:szCs w:val="16"/>
              </w:rPr>
            </w:pPr>
            <w:r>
              <w:rPr>
                <w:rFonts w:ascii="Arial Narrow" w:hAnsi="Arial Narrow"/>
                <w:sz w:val="16"/>
                <w:szCs w:val="16"/>
              </w:rPr>
              <w:t>7</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43</w:t>
            </w:r>
          </w:p>
        </w:tc>
        <w:tc>
          <w:tcPr>
            <w:tcW w:w="4106" w:type="dxa"/>
            <w:tcBorders>
              <w:top w:val="nil"/>
              <w:bottom w:val="nil"/>
            </w:tcBorders>
            <w:shd w:val="clear" w:color="auto" w:fill="auto"/>
            <w:tcMar>
              <w:left w:w="28" w:type="dxa"/>
              <w:right w:w="28" w:type="dxa"/>
            </w:tcMar>
            <w:vAlign w:val="center"/>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 xml:space="preserve">Χρεωστικοί τίτλοι </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92</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753</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285</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722</w:t>
            </w:r>
            <w:r w:rsidR="00AD34CB">
              <w:rPr>
                <w:rFonts w:ascii="Arial Narrow" w:hAnsi="Arial Narrow"/>
                <w:sz w:val="16"/>
                <w:szCs w:val="16"/>
              </w:rPr>
              <w:t>,0</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-62</w:t>
            </w:r>
            <w:r w:rsidR="00AD34CB">
              <w:rPr>
                <w:rFonts w:ascii="Arial Narrow" w:hAnsi="Arial Narrow"/>
                <w:sz w:val="16"/>
                <w:szCs w:val="16"/>
              </w:rPr>
              <w:t>,</w:t>
            </w:r>
            <w:r w:rsidR="00E45480">
              <w:rPr>
                <w:rFonts w:ascii="Arial Narrow" w:hAnsi="Arial Narrow"/>
                <w:sz w:val="16"/>
                <w:szCs w:val="16"/>
              </w:rPr>
              <w:t>2</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12DF2" w:rsidP="00F2161F">
            <w:pPr>
              <w:jc w:val="center"/>
              <w:rPr>
                <w:rFonts w:ascii="Arial Narrow" w:hAnsi="Arial Narrow"/>
                <w:sz w:val="16"/>
                <w:szCs w:val="16"/>
              </w:rPr>
            </w:pPr>
            <w:r>
              <w:rPr>
                <w:rFonts w:ascii="Arial Narrow" w:hAnsi="Arial Narrow"/>
                <w:sz w:val="16"/>
                <w:szCs w:val="16"/>
              </w:rPr>
              <w:t>8</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45</w:t>
            </w:r>
          </w:p>
        </w:tc>
        <w:tc>
          <w:tcPr>
            <w:tcW w:w="4106" w:type="dxa"/>
            <w:tcBorders>
              <w:top w:val="nil"/>
              <w:bottom w:val="nil"/>
            </w:tcBorders>
            <w:shd w:val="clear" w:color="auto" w:fill="auto"/>
            <w:tcMar>
              <w:left w:w="28" w:type="dxa"/>
              <w:right w:w="28" w:type="dxa"/>
            </w:tcMar>
            <w:vAlign w:val="center"/>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 xml:space="preserve">Συμμετοχικοί τίτλοι και μερίδια επενδυτικών κεφαλαίων </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2.077</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781</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1.124</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-62,4</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44,0</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12DF2" w:rsidP="00F2161F">
            <w:pPr>
              <w:jc w:val="center"/>
              <w:rPr>
                <w:rFonts w:ascii="Arial Narrow" w:hAnsi="Arial Narrow"/>
                <w:sz w:val="16"/>
                <w:szCs w:val="16"/>
              </w:rPr>
            </w:pPr>
            <w:r>
              <w:rPr>
                <w:rFonts w:ascii="Arial Narrow" w:hAnsi="Arial Narrow"/>
                <w:sz w:val="16"/>
                <w:szCs w:val="16"/>
              </w:rPr>
              <w:t>9</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49</w:t>
            </w:r>
          </w:p>
        </w:tc>
        <w:tc>
          <w:tcPr>
            <w:tcW w:w="4106" w:type="dxa"/>
            <w:tcBorders>
              <w:top w:val="nil"/>
              <w:bottom w:val="nil"/>
            </w:tcBorders>
            <w:shd w:val="clear" w:color="auto" w:fill="auto"/>
            <w:tcMar>
              <w:left w:w="28" w:type="dxa"/>
              <w:right w:w="28" w:type="dxa"/>
            </w:tcMar>
            <w:vAlign w:val="center"/>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Προκαταβολές και λοιπές απαιτήσεις</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18</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33</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0</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82,3</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-100,0</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w:t>
            </w:r>
            <w:r w:rsidR="00612DF2">
              <w:rPr>
                <w:rFonts w:ascii="Arial Narrow" w:hAnsi="Arial Narrow"/>
                <w:sz w:val="16"/>
                <w:szCs w:val="16"/>
              </w:rPr>
              <w:t>0</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52</w:t>
            </w:r>
          </w:p>
        </w:tc>
        <w:tc>
          <w:tcPr>
            <w:tcW w:w="4106" w:type="dxa"/>
            <w:tcBorders>
              <w:top w:val="nil"/>
              <w:bottom w:val="nil"/>
            </w:tcBorders>
            <w:shd w:val="clear" w:color="auto" w:fill="auto"/>
            <w:tcMar>
              <w:left w:w="28" w:type="dxa"/>
              <w:right w:w="28" w:type="dxa"/>
            </w:tcMar>
            <w:vAlign w:val="center"/>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 xml:space="preserve">Υποχρεώσεις από Νόμισμα και καταθέσεις </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13</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23</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12</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82,8</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-47,8</w:t>
            </w:r>
          </w:p>
        </w:tc>
      </w:tr>
      <w:tr w:rsidR="00651B8E" w:rsidRPr="008C1502" w:rsidTr="00E1533A">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w:t>
            </w:r>
            <w:r w:rsidR="00612DF2">
              <w:rPr>
                <w:rFonts w:ascii="Arial Narrow" w:hAnsi="Arial Narrow"/>
                <w:sz w:val="16"/>
                <w:szCs w:val="16"/>
              </w:rPr>
              <w:t>1</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53</w:t>
            </w:r>
          </w:p>
        </w:tc>
        <w:tc>
          <w:tcPr>
            <w:tcW w:w="4106" w:type="dxa"/>
            <w:tcBorders>
              <w:top w:val="nil"/>
              <w:bottom w:val="nil"/>
            </w:tcBorders>
            <w:shd w:val="clear" w:color="auto" w:fill="auto"/>
            <w:tcMar>
              <w:left w:w="28" w:type="dxa"/>
              <w:right w:w="28" w:type="dxa"/>
            </w:tcMar>
            <w:vAlign w:val="center"/>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Χρεωστικοί τίτλοι (υποχρεώσεις)</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69.642</w:t>
            </w:r>
          </w:p>
        </w:tc>
        <w:tc>
          <w:tcPr>
            <w:tcW w:w="729" w:type="dxa"/>
            <w:tcBorders>
              <w:top w:val="nil"/>
              <w:bottom w:val="nil"/>
            </w:tcBorders>
            <w:shd w:val="clear" w:color="auto" w:fill="auto"/>
            <w:tcMar>
              <w:left w:w="28" w:type="dxa"/>
              <w:right w:w="28" w:type="dxa"/>
            </w:tcMar>
            <w:vAlign w:val="bottom"/>
            <w:hideMark/>
          </w:tcPr>
          <w:p w:rsidR="00651B8E" w:rsidRPr="00EA7DB5" w:rsidRDefault="009E79BD" w:rsidP="009E79BD">
            <w:pPr>
              <w:ind w:right="113"/>
              <w:jc w:val="right"/>
              <w:rPr>
                <w:rFonts w:ascii="Arial Narrow" w:hAnsi="Arial Narrow"/>
                <w:sz w:val="16"/>
                <w:szCs w:val="16"/>
              </w:rPr>
            </w:pPr>
            <w:r w:rsidRPr="00EA7DB5">
              <w:rPr>
                <w:rFonts w:ascii="Arial Narrow" w:hAnsi="Arial Narrow"/>
                <w:sz w:val="16"/>
                <w:szCs w:val="16"/>
              </w:rPr>
              <w:t>37.647</w:t>
            </w:r>
          </w:p>
        </w:tc>
        <w:tc>
          <w:tcPr>
            <w:tcW w:w="794" w:type="dxa"/>
            <w:tcBorders>
              <w:top w:val="nil"/>
              <w:bottom w:val="nil"/>
            </w:tcBorders>
            <w:shd w:val="clear" w:color="auto" w:fill="auto"/>
            <w:tcMar>
              <w:left w:w="28" w:type="dxa"/>
              <w:right w:w="28" w:type="dxa"/>
            </w:tcMar>
            <w:vAlign w:val="bottom"/>
            <w:hideMark/>
          </w:tcPr>
          <w:p w:rsidR="00651B8E" w:rsidRPr="00EA7DB5" w:rsidRDefault="00651B8E" w:rsidP="00651B8E">
            <w:pPr>
              <w:ind w:right="113"/>
              <w:jc w:val="right"/>
              <w:rPr>
                <w:rFonts w:ascii="Arial Narrow" w:hAnsi="Arial Narrow"/>
                <w:sz w:val="16"/>
                <w:szCs w:val="16"/>
              </w:rPr>
            </w:pPr>
            <w:r w:rsidRPr="00EA7DB5">
              <w:rPr>
                <w:rFonts w:ascii="Arial Narrow" w:hAnsi="Arial Narrow"/>
                <w:sz w:val="16"/>
                <w:szCs w:val="16"/>
              </w:rPr>
              <w:t>33.800</w:t>
            </w:r>
          </w:p>
        </w:tc>
        <w:tc>
          <w:tcPr>
            <w:tcW w:w="691" w:type="dxa"/>
            <w:tcBorders>
              <w:top w:val="nil"/>
              <w:bottom w:val="nil"/>
            </w:tcBorders>
            <w:shd w:val="clear" w:color="auto" w:fill="auto"/>
            <w:tcMar>
              <w:left w:w="28" w:type="dxa"/>
              <w:right w:w="28" w:type="dxa"/>
            </w:tcMar>
            <w:vAlign w:val="bottom"/>
            <w:hideMark/>
          </w:tcPr>
          <w:p w:rsidR="00651B8E" w:rsidRPr="00EA7DB5" w:rsidRDefault="00651B8E" w:rsidP="009E79BD">
            <w:pPr>
              <w:jc w:val="right"/>
              <w:rPr>
                <w:rFonts w:ascii="Arial Narrow" w:hAnsi="Arial Narrow"/>
                <w:sz w:val="16"/>
                <w:szCs w:val="16"/>
              </w:rPr>
            </w:pPr>
            <w:r w:rsidRPr="00EA7DB5">
              <w:rPr>
                <w:rFonts w:ascii="Arial Narrow" w:hAnsi="Arial Narrow"/>
                <w:sz w:val="16"/>
                <w:szCs w:val="16"/>
              </w:rPr>
              <w:t>-</w:t>
            </w:r>
            <w:r w:rsidR="009E79BD" w:rsidRPr="00EA7DB5">
              <w:rPr>
                <w:rFonts w:ascii="Arial Narrow" w:hAnsi="Arial Narrow"/>
                <w:sz w:val="16"/>
                <w:szCs w:val="16"/>
              </w:rPr>
              <w:t>45,9</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Pr="00EA7DB5" w:rsidRDefault="009E79BD" w:rsidP="009E79BD">
            <w:pPr>
              <w:jc w:val="right"/>
              <w:rPr>
                <w:rFonts w:ascii="Arial Narrow" w:hAnsi="Arial Narrow"/>
                <w:sz w:val="16"/>
                <w:szCs w:val="16"/>
              </w:rPr>
            </w:pPr>
            <w:r w:rsidRPr="00EA7DB5">
              <w:rPr>
                <w:rFonts w:ascii="Arial Narrow" w:hAnsi="Arial Narrow"/>
                <w:sz w:val="16"/>
                <w:szCs w:val="16"/>
              </w:rPr>
              <w:t>-10</w:t>
            </w:r>
            <w:r w:rsidR="00651B8E" w:rsidRPr="00EA7DB5">
              <w:rPr>
                <w:rFonts w:ascii="Arial Narrow" w:hAnsi="Arial Narrow"/>
                <w:sz w:val="16"/>
                <w:szCs w:val="16"/>
              </w:rPr>
              <w:t>,</w:t>
            </w:r>
            <w:r w:rsidRPr="00EA7DB5">
              <w:rPr>
                <w:rFonts w:ascii="Arial Narrow" w:hAnsi="Arial Narrow"/>
                <w:sz w:val="16"/>
                <w:szCs w:val="16"/>
              </w:rPr>
              <w:t>2</w:t>
            </w:r>
          </w:p>
        </w:tc>
      </w:tr>
      <w:tr w:rsidR="00651B8E" w:rsidRPr="008C1502" w:rsidTr="00E1533A">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w:t>
            </w:r>
            <w:r w:rsidR="00612DF2">
              <w:rPr>
                <w:rFonts w:ascii="Arial Narrow" w:hAnsi="Arial Narrow"/>
                <w:sz w:val="16"/>
                <w:szCs w:val="16"/>
              </w:rPr>
              <w:t>2</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54</w:t>
            </w:r>
          </w:p>
        </w:tc>
        <w:tc>
          <w:tcPr>
            <w:tcW w:w="4106" w:type="dxa"/>
            <w:tcBorders>
              <w:top w:val="nil"/>
              <w:bottom w:val="nil"/>
            </w:tcBorders>
            <w:shd w:val="clear" w:color="auto" w:fill="auto"/>
            <w:tcMar>
              <w:left w:w="28" w:type="dxa"/>
              <w:right w:w="28" w:type="dxa"/>
            </w:tcMar>
            <w:vAlign w:val="center"/>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 xml:space="preserve">Δάνεια </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595.044</w:t>
            </w:r>
          </w:p>
        </w:tc>
        <w:tc>
          <w:tcPr>
            <w:tcW w:w="729" w:type="dxa"/>
            <w:tcBorders>
              <w:top w:val="nil"/>
              <w:bottom w:val="nil"/>
            </w:tcBorders>
            <w:shd w:val="clear" w:color="auto" w:fill="auto"/>
            <w:tcMar>
              <w:left w:w="28" w:type="dxa"/>
              <w:right w:w="28" w:type="dxa"/>
            </w:tcMar>
            <w:vAlign w:val="bottom"/>
            <w:hideMark/>
          </w:tcPr>
          <w:p w:rsidR="00651B8E" w:rsidRPr="00EA7DB5" w:rsidRDefault="009E79BD" w:rsidP="00EA7DB5">
            <w:pPr>
              <w:ind w:right="113"/>
              <w:jc w:val="right"/>
              <w:rPr>
                <w:rFonts w:ascii="Arial Narrow" w:hAnsi="Arial Narrow"/>
                <w:sz w:val="16"/>
                <w:szCs w:val="16"/>
              </w:rPr>
            </w:pPr>
            <w:r w:rsidRPr="00EA7DB5">
              <w:rPr>
                <w:rFonts w:ascii="Arial Narrow" w:hAnsi="Arial Narrow"/>
                <w:sz w:val="16"/>
                <w:szCs w:val="16"/>
              </w:rPr>
              <w:t>756.</w:t>
            </w:r>
            <w:r w:rsidR="00EA7DB5" w:rsidRPr="00EA7DB5">
              <w:rPr>
                <w:rFonts w:ascii="Arial Narrow" w:hAnsi="Arial Narrow"/>
                <w:sz w:val="16"/>
                <w:szCs w:val="16"/>
              </w:rPr>
              <w:t>38</w:t>
            </w:r>
            <w:r w:rsidRPr="00EA7DB5">
              <w:rPr>
                <w:rFonts w:ascii="Arial Narrow" w:hAnsi="Arial Narrow"/>
                <w:sz w:val="16"/>
                <w:szCs w:val="16"/>
              </w:rPr>
              <w:t>6</w:t>
            </w:r>
          </w:p>
        </w:tc>
        <w:tc>
          <w:tcPr>
            <w:tcW w:w="794" w:type="dxa"/>
            <w:tcBorders>
              <w:top w:val="nil"/>
              <w:bottom w:val="nil"/>
            </w:tcBorders>
            <w:shd w:val="clear" w:color="auto" w:fill="auto"/>
            <w:tcMar>
              <w:left w:w="28" w:type="dxa"/>
              <w:right w:w="28" w:type="dxa"/>
            </w:tcMar>
            <w:vAlign w:val="bottom"/>
            <w:hideMark/>
          </w:tcPr>
          <w:p w:rsidR="00651B8E" w:rsidRPr="00EA7DB5" w:rsidRDefault="00651B8E" w:rsidP="00651B8E">
            <w:pPr>
              <w:ind w:right="113"/>
              <w:jc w:val="right"/>
              <w:rPr>
                <w:rFonts w:ascii="Arial Narrow" w:hAnsi="Arial Narrow"/>
                <w:sz w:val="16"/>
                <w:szCs w:val="16"/>
              </w:rPr>
            </w:pPr>
            <w:r w:rsidRPr="00EA7DB5">
              <w:rPr>
                <w:rFonts w:ascii="Arial Narrow" w:hAnsi="Arial Narrow"/>
                <w:sz w:val="16"/>
                <w:szCs w:val="16"/>
              </w:rPr>
              <w:t>600.000</w:t>
            </w:r>
          </w:p>
        </w:tc>
        <w:tc>
          <w:tcPr>
            <w:tcW w:w="691" w:type="dxa"/>
            <w:tcBorders>
              <w:top w:val="nil"/>
              <w:bottom w:val="nil"/>
            </w:tcBorders>
            <w:shd w:val="clear" w:color="auto" w:fill="auto"/>
            <w:tcMar>
              <w:left w:w="28" w:type="dxa"/>
              <w:right w:w="28" w:type="dxa"/>
            </w:tcMar>
            <w:vAlign w:val="bottom"/>
            <w:hideMark/>
          </w:tcPr>
          <w:p w:rsidR="00651B8E" w:rsidRPr="00EA7DB5" w:rsidRDefault="009E79BD">
            <w:pPr>
              <w:jc w:val="right"/>
              <w:rPr>
                <w:rFonts w:ascii="Arial Narrow" w:hAnsi="Arial Narrow"/>
                <w:sz w:val="16"/>
                <w:szCs w:val="16"/>
              </w:rPr>
            </w:pPr>
            <w:r w:rsidRPr="00EA7DB5">
              <w:rPr>
                <w:rFonts w:ascii="Arial Narrow" w:hAnsi="Arial Narrow"/>
                <w:sz w:val="16"/>
                <w:szCs w:val="16"/>
              </w:rPr>
              <w:t>27,1</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Pr="00EA7DB5" w:rsidRDefault="009E79BD">
            <w:pPr>
              <w:jc w:val="right"/>
              <w:rPr>
                <w:rFonts w:ascii="Arial Narrow" w:hAnsi="Arial Narrow"/>
                <w:sz w:val="16"/>
                <w:szCs w:val="16"/>
              </w:rPr>
            </w:pPr>
            <w:r w:rsidRPr="00EA7DB5">
              <w:rPr>
                <w:rFonts w:ascii="Arial Narrow" w:hAnsi="Arial Narrow"/>
                <w:sz w:val="16"/>
                <w:szCs w:val="16"/>
              </w:rPr>
              <w:t>-20,7</w:t>
            </w:r>
          </w:p>
        </w:tc>
      </w:tr>
      <w:tr w:rsidR="00651B8E" w:rsidRPr="008C1502" w:rsidTr="00DB2411">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1</w:t>
            </w:r>
            <w:r w:rsidR="00612DF2">
              <w:rPr>
                <w:rFonts w:ascii="Arial Narrow" w:hAnsi="Arial Narrow"/>
                <w:sz w:val="16"/>
                <w:szCs w:val="16"/>
              </w:rPr>
              <w:t>3</w:t>
            </w:r>
          </w:p>
        </w:tc>
        <w:tc>
          <w:tcPr>
            <w:tcW w:w="789" w:type="dxa"/>
            <w:tcBorders>
              <w:top w:val="nil"/>
              <w:bottom w:val="nil"/>
            </w:tcBorders>
            <w:shd w:val="clear" w:color="auto" w:fill="auto"/>
            <w:noWrap/>
            <w:tcMar>
              <w:left w:w="28" w:type="dxa"/>
              <w:right w:w="28" w:type="dxa"/>
            </w:tcMar>
            <w:vAlign w:val="bottom"/>
            <w:hideMark/>
          </w:tcPr>
          <w:p w:rsidR="00651B8E" w:rsidRPr="008C1502" w:rsidRDefault="00651B8E" w:rsidP="00F2161F">
            <w:pPr>
              <w:jc w:val="center"/>
              <w:rPr>
                <w:rFonts w:ascii="Arial Narrow" w:hAnsi="Arial Narrow"/>
                <w:sz w:val="16"/>
                <w:szCs w:val="16"/>
              </w:rPr>
            </w:pPr>
            <w:r w:rsidRPr="008C1502">
              <w:rPr>
                <w:rFonts w:ascii="Arial Narrow" w:hAnsi="Arial Narrow"/>
                <w:sz w:val="16"/>
                <w:szCs w:val="16"/>
              </w:rPr>
              <w:t>57</w:t>
            </w:r>
          </w:p>
        </w:tc>
        <w:tc>
          <w:tcPr>
            <w:tcW w:w="4106" w:type="dxa"/>
            <w:tcBorders>
              <w:top w:val="nil"/>
              <w:bottom w:val="nil"/>
            </w:tcBorders>
            <w:shd w:val="clear" w:color="auto" w:fill="auto"/>
            <w:tcMar>
              <w:left w:w="28" w:type="dxa"/>
              <w:right w:w="28" w:type="dxa"/>
            </w:tcMar>
            <w:vAlign w:val="center"/>
            <w:hideMark/>
          </w:tcPr>
          <w:p w:rsidR="00651B8E" w:rsidRPr="008C1502" w:rsidRDefault="00651B8E" w:rsidP="00F2161F">
            <w:pPr>
              <w:rPr>
                <w:rFonts w:ascii="Arial Narrow" w:hAnsi="Arial Narrow"/>
                <w:sz w:val="16"/>
                <w:szCs w:val="16"/>
              </w:rPr>
            </w:pPr>
            <w:r w:rsidRPr="008C1502">
              <w:rPr>
                <w:rFonts w:ascii="Arial Narrow" w:hAnsi="Arial Narrow"/>
                <w:sz w:val="16"/>
                <w:szCs w:val="16"/>
              </w:rPr>
              <w:t xml:space="preserve">Χρηματοοικονομικά παράγωγα </w:t>
            </w:r>
          </w:p>
        </w:tc>
        <w:tc>
          <w:tcPr>
            <w:tcW w:w="811"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969</w:t>
            </w:r>
          </w:p>
        </w:tc>
        <w:tc>
          <w:tcPr>
            <w:tcW w:w="729"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0</w:t>
            </w:r>
          </w:p>
        </w:tc>
        <w:tc>
          <w:tcPr>
            <w:tcW w:w="794" w:type="dxa"/>
            <w:tcBorders>
              <w:top w:val="nil"/>
              <w:bottom w:val="nil"/>
            </w:tcBorders>
            <w:shd w:val="clear" w:color="auto" w:fill="auto"/>
            <w:tcMar>
              <w:left w:w="28" w:type="dxa"/>
              <w:right w:w="28" w:type="dxa"/>
            </w:tcMar>
            <w:vAlign w:val="bottom"/>
            <w:hideMark/>
          </w:tcPr>
          <w:p w:rsidR="00651B8E" w:rsidRDefault="00651B8E" w:rsidP="00651B8E">
            <w:pPr>
              <w:ind w:right="113"/>
              <w:jc w:val="right"/>
              <w:rPr>
                <w:rFonts w:ascii="Arial Narrow" w:hAnsi="Arial Narrow"/>
                <w:sz w:val="16"/>
                <w:szCs w:val="16"/>
              </w:rPr>
            </w:pPr>
            <w:r>
              <w:rPr>
                <w:rFonts w:ascii="Arial Narrow" w:hAnsi="Arial Narrow"/>
                <w:sz w:val="16"/>
                <w:szCs w:val="16"/>
              </w:rPr>
              <w:t>0</w:t>
            </w:r>
          </w:p>
        </w:tc>
        <w:tc>
          <w:tcPr>
            <w:tcW w:w="691" w:type="dxa"/>
            <w:tcBorders>
              <w:top w:val="nil"/>
              <w:bottom w:val="nil"/>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-100,0</w:t>
            </w:r>
          </w:p>
        </w:tc>
        <w:tc>
          <w:tcPr>
            <w:tcW w:w="691" w:type="dxa"/>
            <w:tcBorders>
              <w:top w:val="nil"/>
              <w:bottom w:val="nil"/>
              <w:right w:val="single" w:sz="4" w:space="0" w:color="auto"/>
            </w:tcBorders>
            <w:shd w:val="clear" w:color="auto" w:fill="auto"/>
            <w:tcMar>
              <w:left w:w="28" w:type="dxa"/>
              <w:right w:w="28" w:type="dxa"/>
            </w:tcMar>
            <w:vAlign w:val="bottom"/>
            <w:hideMark/>
          </w:tcPr>
          <w:p w:rsidR="00651B8E" w:rsidRDefault="00651B8E">
            <w:pPr>
              <w:jc w:val="right"/>
              <w:rPr>
                <w:rFonts w:ascii="Arial Narrow" w:hAnsi="Arial Narrow"/>
                <w:sz w:val="16"/>
                <w:szCs w:val="16"/>
              </w:rPr>
            </w:pPr>
            <w:r>
              <w:rPr>
                <w:rFonts w:ascii="Arial Narrow" w:hAnsi="Arial Narrow"/>
                <w:sz w:val="16"/>
                <w:szCs w:val="16"/>
              </w:rPr>
              <w:t>0,0</w:t>
            </w:r>
          </w:p>
        </w:tc>
      </w:tr>
      <w:tr w:rsidR="00651B8E" w:rsidRPr="008C1502" w:rsidTr="00612DF2">
        <w:trPr>
          <w:trHeight w:val="227"/>
        </w:trPr>
        <w:tc>
          <w:tcPr>
            <w:tcW w:w="353" w:type="dxa"/>
            <w:tcBorders>
              <w:left w:val="single" w:sz="4" w:space="0" w:color="auto"/>
            </w:tcBorders>
            <w:shd w:val="clear" w:color="auto" w:fill="BFBFBF" w:themeFill="background1" w:themeFillShade="BF"/>
            <w:tcMar>
              <w:left w:w="28" w:type="dxa"/>
              <w:right w:w="28" w:type="dxa"/>
            </w:tcMar>
            <w:vAlign w:val="center"/>
            <w:hideMark/>
          </w:tcPr>
          <w:p w:rsidR="00651B8E" w:rsidRPr="008C1502" w:rsidRDefault="00651B8E" w:rsidP="0097301E">
            <w:pPr>
              <w:spacing w:before="40" w:after="40"/>
              <w:jc w:val="center"/>
              <w:rPr>
                <w:rFonts w:ascii="Arial Narrow" w:hAnsi="Arial Narrow"/>
                <w:b/>
                <w:bCs/>
                <w:sz w:val="16"/>
                <w:szCs w:val="16"/>
              </w:rPr>
            </w:pPr>
            <w:r w:rsidRPr="008C1502">
              <w:rPr>
                <w:rFonts w:ascii="Arial Narrow" w:hAnsi="Arial Narrow"/>
                <w:b/>
                <w:bCs/>
                <w:sz w:val="16"/>
                <w:szCs w:val="16"/>
              </w:rPr>
              <w:t>Β</w:t>
            </w:r>
          </w:p>
        </w:tc>
        <w:tc>
          <w:tcPr>
            <w:tcW w:w="4895" w:type="dxa"/>
            <w:gridSpan w:val="2"/>
            <w:shd w:val="clear" w:color="auto" w:fill="BFBFBF" w:themeFill="background1" w:themeFillShade="BF"/>
            <w:tcMar>
              <w:left w:w="28" w:type="dxa"/>
              <w:right w:w="28" w:type="dxa"/>
            </w:tcMar>
            <w:vAlign w:val="center"/>
            <w:hideMark/>
          </w:tcPr>
          <w:p w:rsidR="00651B8E" w:rsidRPr="008C1502" w:rsidRDefault="00651B8E" w:rsidP="00612DF2">
            <w:pPr>
              <w:spacing w:before="40" w:after="40"/>
              <w:rPr>
                <w:rFonts w:ascii="Arial Narrow" w:hAnsi="Arial Narrow"/>
                <w:b/>
                <w:bCs/>
                <w:sz w:val="16"/>
                <w:szCs w:val="16"/>
              </w:rPr>
            </w:pPr>
            <w:r w:rsidRPr="008C1502">
              <w:rPr>
                <w:rFonts w:ascii="Arial Narrow" w:hAnsi="Arial Narrow"/>
                <w:b/>
                <w:bCs/>
                <w:sz w:val="16"/>
                <w:szCs w:val="16"/>
              </w:rPr>
              <w:t>Έσοδα Χρηματοοικονομικών συναλλαγών (</w:t>
            </w:r>
            <w:r w:rsidR="00612DF2">
              <w:rPr>
                <w:rFonts w:ascii="Arial Narrow" w:hAnsi="Arial Narrow"/>
                <w:b/>
                <w:bCs/>
                <w:sz w:val="16"/>
                <w:szCs w:val="16"/>
              </w:rPr>
              <w:t>7+</w:t>
            </w:r>
            <w:r w:rsidRPr="008C1502">
              <w:rPr>
                <w:rFonts w:ascii="Arial Narrow" w:hAnsi="Arial Narrow"/>
                <w:b/>
                <w:bCs/>
                <w:sz w:val="16"/>
                <w:szCs w:val="16"/>
              </w:rPr>
              <w:t>8+9+10+11+12+13</w:t>
            </w:r>
            <w:r>
              <w:rPr>
                <w:rFonts w:ascii="Arial Narrow" w:hAnsi="Arial Narrow"/>
                <w:b/>
                <w:bCs/>
                <w:sz w:val="16"/>
                <w:szCs w:val="16"/>
              </w:rPr>
              <w:t>)</w:t>
            </w:r>
          </w:p>
        </w:tc>
        <w:tc>
          <w:tcPr>
            <w:tcW w:w="811" w:type="dxa"/>
            <w:shd w:val="clear" w:color="auto" w:fill="BFBFBF" w:themeFill="background1" w:themeFillShade="BF"/>
            <w:tcMar>
              <w:left w:w="28" w:type="dxa"/>
              <w:right w:w="28" w:type="dxa"/>
            </w:tcMar>
            <w:vAlign w:val="center"/>
            <w:hideMark/>
          </w:tcPr>
          <w:p w:rsidR="00651B8E" w:rsidRPr="008C1502" w:rsidRDefault="00651B8E" w:rsidP="00651B8E">
            <w:pPr>
              <w:spacing w:before="40" w:after="40"/>
              <w:ind w:right="113"/>
              <w:jc w:val="right"/>
              <w:rPr>
                <w:rFonts w:ascii="Arial Narrow" w:hAnsi="Arial Narrow"/>
                <w:b/>
                <w:bCs/>
                <w:sz w:val="16"/>
                <w:szCs w:val="16"/>
              </w:rPr>
            </w:pPr>
            <w:r w:rsidRPr="008C1502">
              <w:rPr>
                <w:rFonts w:ascii="Arial Narrow" w:hAnsi="Arial Narrow"/>
                <w:b/>
                <w:bCs/>
                <w:sz w:val="16"/>
                <w:szCs w:val="16"/>
              </w:rPr>
              <w:t>667.855</w:t>
            </w:r>
          </w:p>
        </w:tc>
        <w:tc>
          <w:tcPr>
            <w:tcW w:w="729" w:type="dxa"/>
            <w:shd w:val="clear" w:color="auto" w:fill="BFBFBF" w:themeFill="background1" w:themeFillShade="BF"/>
            <w:tcMar>
              <w:left w:w="28" w:type="dxa"/>
              <w:right w:w="28" w:type="dxa"/>
            </w:tcMar>
            <w:vAlign w:val="center"/>
            <w:hideMark/>
          </w:tcPr>
          <w:p w:rsidR="00651B8E" w:rsidRPr="00EA7DB5" w:rsidRDefault="00EA7DB5" w:rsidP="00651B8E">
            <w:pPr>
              <w:ind w:right="113"/>
              <w:jc w:val="right"/>
              <w:rPr>
                <w:rFonts w:ascii="Arial Narrow" w:hAnsi="Arial Narrow"/>
                <w:b/>
                <w:bCs/>
                <w:sz w:val="16"/>
                <w:szCs w:val="16"/>
              </w:rPr>
            </w:pPr>
            <w:r w:rsidRPr="00EA7DB5">
              <w:rPr>
                <w:rFonts w:ascii="Arial Narrow" w:hAnsi="Arial Narrow"/>
                <w:b/>
                <w:bCs/>
                <w:sz w:val="16"/>
                <w:szCs w:val="16"/>
              </w:rPr>
              <w:t>795.62</w:t>
            </w:r>
            <w:r w:rsidR="009E79BD" w:rsidRPr="00EA7DB5">
              <w:rPr>
                <w:rFonts w:ascii="Arial Narrow" w:hAnsi="Arial Narrow"/>
                <w:b/>
                <w:bCs/>
                <w:sz w:val="16"/>
                <w:szCs w:val="16"/>
              </w:rPr>
              <w:t>4</w:t>
            </w:r>
          </w:p>
        </w:tc>
        <w:tc>
          <w:tcPr>
            <w:tcW w:w="794" w:type="dxa"/>
            <w:shd w:val="clear" w:color="auto" w:fill="BFBFBF" w:themeFill="background1" w:themeFillShade="BF"/>
            <w:tcMar>
              <w:left w:w="28" w:type="dxa"/>
              <w:right w:w="28" w:type="dxa"/>
            </w:tcMar>
            <w:vAlign w:val="center"/>
            <w:hideMark/>
          </w:tcPr>
          <w:p w:rsidR="00651B8E" w:rsidRPr="00EA7DB5" w:rsidRDefault="00651B8E" w:rsidP="00651B8E">
            <w:pPr>
              <w:ind w:right="113"/>
              <w:jc w:val="right"/>
              <w:rPr>
                <w:rFonts w:ascii="Arial Narrow" w:hAnsi="Arial Narrow"/>
                <w:b/>
                <w:bCs/>
                <w:sz w:val="16"/>
                <w:szCs w:val="16"/>
              </w:rPr>
            </w:pPr>
            <w:r w:rsidRPr="00EA7DB5">
              <w:rPr>
                <w:rFonts w:ascii="Arial Narrow" w:hAnsi="Arial Narrow"/>
                <w:b/>
                <w:bCs/>
                <w:sz w:val="16"/>
                <w:szCs w:val="16"/>
              </w:rPr>
              <w:t>635.221</w:t>
            </w:r>
          </w:p>
        </w:tc>
        <w:tc>
          <w:tcPr>
            <w:tcW w:w="691" w:type="dxa"/>
            <w:shd w:val="clear" w:color="auto" w:fill="BFBFBF" w:themeFill="background1" w:themeFillShade="BF"/>
            <w:tcMar>
              <w:left w:w="28" w:type="dxa"/>
              <w:right w:w="28" w:type="dxa"/>
            </w:tcMar>
            <w:vAlign w:val="center"/>
            <w:hideMark/>
          </w:tcPr>
          <w:p w:rsidR="00651B8E" w:rsidRPr="00EA7DB5" w:rsidRDefault="00281131" w:rsidP="00C704DF">
            <w:pPr>
              <w:jc w:val="right"/>
              <w:rPr>
                <w:rFonts w:ascii="Arial Narrow" w:hAnsi="Arial Narrow"/>
                <w:b/>
                <w:bCs/>
                <w:sz w:val="16"/>
                <w:szCs w:val="16"/>
              </w:rPr>
            </w:pPr>
            <w:r w:rsidRPr="00EA7DB5">
              <w:rPr>
                <w:rFonts w:ascii="Arial Narrow" w:hAnsi="Arial Narrow"/>
                <w:b/>
                <w:bCs/>
                <w:sz w:val="16"/>
                <w:szCs w:val="16"/>
              </w:rPr>
              <w:t>19,1</w:t>
            </w:r>
          </w:p>
        </w:tc>
        <w:tc>
          <w:tcPr>
            <w:tcW w:w="691" w:type="dxa"/>
            <w:tcBorders>
              <w:right w:val="single" w:sz="4" w:space="0" w:color="auto"/>
            </w:tcBorders>
            <w:shd w:val="clear" w:color="auto" w:fill="BFBFBF" w:themeFill="background1" w:themeFillShade="BF"/>
            <w:tcMar>
              <w:left w:w="28" w:type="dxa"/>
              <w:right w:w="28" w:type="dxa"/>
            </w:tcMar>
            <w:vAlign w:val="center"/>
            <w:hideMark/>
          </w:tcPr>
          <w:p w:rsidR="00651B8E" w:rsidRPr="00EA7DB5" w:rsidRDefault="00281131">
            <w:pPr>
              <w:jc w:val="right"/>
              <w:rPr>
                <w:rFonts w:ascii="Arial Narrow" w:hAnsi="Arial Narrow"/>
                <w:b/>
                <w:bCs/>
                <w:sz w:val="16"/>
                <w:szCs w:val="16"/>
              </w:rPr>
            </w:pPr>
            <w:r w:rsidRPr="00EA7DB5">
              <w:rPr>
                <w:rFonts w:ascii="Arial Narrow" w:hAnsi="Arial Narrow"/>
                <w:b/>
                <w:bCs/>
                <w:sz w:val="16"/>
                <w:szCs w:val="16"/>
              </w:rPr>
              <w:t>-20,</w:t>
            </w:r>
            <w:r w:rsidR="00657486" w:rsidRPr="00EA7DB5">
              <w:rPr>
                <w:rFonts w:ascii="Arial Narrow" w:hAnsi="Arial Narrow"/>
                <w:b/>
                <w:bCs/>
                <w:sz w:val="16"/>
                <w:szCs w:val="16"/>
              </w:rPr>
              <w:t>2</w:t>
            </w:r>
          </w:p>
        </w:tc>
      </w:tr>
      <w:tr w:rsidR="00651B8E" w:rsidRPr="008C1502" w:rsidTr="00DB2411">
        <w:trPr>
          <w:trHeight w:val="227"/>
        </w:trPr>
        <w:tc>
          <w:tcPr>
            <w:tcW w:w="353" w:type="dxa"/>
            <w:tcBorders>
              <w:left w:val="single" w:sz="4" w:space="0" w:color="auto"/>
            </w:tcBorders>
            <w:shd w:val="clear" w:color="auto" w:fill="auto"/>
            <w:tcMar>
              <w:left w:w="28" w:type="dxa"/>
              <w:right w:w="28" w:type="dxa"/>
            </w:tcMar>
            <w:vAlign w:val="center"/>
            <w:hideMark/>
          </w:tcPr>
          <w:p w:rsidR="00651B8E" w:rsidRPr="008C1502" w:rsidRDefault="00651B8E" w:rsidP="00F2161F">
            <w:pPr>
              <w:jc w:val="center"/>
              <w:rPr>
                <w:rFonts w:ascii="Arial Narrow" w:hAnsi="Arial Narrow"/>
                <w:b/>
                <w:bCs/>
                <w:sz w:val="16"/>
                <w:szCs w:val="16"/>
              </w:rPr>
            </w:pPr>
          </w:p>
        </w:tc>
        <w:tc>
          <w:tcPr>
            <w:tcW w:w="4895" w:type="dxa"/>
            <w:gridSpan w:val="2"/>
            <w:shd w:val="clear" w:color="auto" w:fill="auto"/>
            <w:tcMar>
              <w:left w:w="28" w:type="dxa"/>
              <w:right w:w="28" w:type="dxa"/>
            </w:tcMar>
            <w:vAlign w:val="center"/>
            <w:hideMark/>
          </w:tcPr>
          <w:p w:rsidR="00651B8E" w:rsidRPr="008C1502" w:rsidRDefault="00651B8E" w:rsidP="00F2161F">
            <w:pPr>
              <w:jc w:val="center"/>
              <w:rPr>
                <w:rFonts w:ascii="Arial Narrow" w:hAnsi="Arial Narrow"/>
                <w:b/>
                <w:bCs/>
                <w:sz w:val="16"/>
                <w:szCs w:val="16"/>
              </w:rPr>
            </w:pPr>
          </w:p>
        </w:tc>
        <w:tc>
          <w:tcPr>
            <w:tcW w:w="811" w:type="dxa"/>
            <w:shd w:val="clear" w:color="auto" w:fill="auto"/>
            <w:tcMar>
              <w:left w:w="28" w:type="dxa"/>
              <w:right w:w="28" w:type="dxa"/>
            </w:tcMar>
            <w:vAlign w:val="center"/>
            <w:hideMark/>
          </w:tcPr>
          <w:p w:rsidR="00651B8E" w:rsidRPr="008C1502" w:rsidRDefault="00651B8E" w:rsidP="00651B8E">
            <w:pPr>
              <w:ind w:right="113"/>
              <w:jc w:val="right"/>
              <w:rPr>
                <w:rFonts w:ascii="Arial Narrow" w:hAnsi="Arial Narrow"/>
                <w:b/>
                <w:bCs/>
                <w:sz w:val="16"/>
                <w:szCs w:val="16"/>
              </w:rPr>
            </w:pPr>
          </w:p>
        </w:tc>
        <w:tc>
          <w:tcPr>
            <w:tcW w:w="729" w:type="dxa"/>
            <w:shd w:val="clear" w:color="auto" w:fill="auto"/>
            <w:tcMar>
              <w:left w:w="28" w:type="dxa"/>
              <w:right w:w="28" w:type="dxa"/>
            </w:tcMar>
            <w:vAlign w:val="center"/>
            <w:hideMark/>
          </w:tcPr>
          <w:p w:rsidR="00651B8E" w:rsidRPr="008C1502" w:rsidRDefault="00651B8E" w:rsidP="00651B8E">
            <w:pPr>
              <w:ind w:right="113"/>
              <w:jc w:val="right"/>
              <w:rPr>
                <w:rFonts w:ascii="Arial Narrow" w:hAnsi="Arial Narrow"/>
                <w:b/>
                <w:bCs/>
                <w:sz w:val="16"/>
                <w:szCs w:val="16"/>
              </w:rPr>
            </w:pPr>
          </w:p>
        </w:tc>
        <w:tc>
          <w:tcPr>
            <w:tcW w:w="794" w:type="dxa"/>
            <w:shd w:val="clear" w:color="auto" w:fill="auto"/>
            <w:tcMar>
              <w:left w:w="28" w:type="dxa"/>
              <w:right w:w="28" w:type="dxa"/>
            </w:tcMar>
            <w:vAlign w:val="center"/>
            <w:hideMark/>
          </w:tcPr>
          <w:p w:rsidR="00651B8E" w:rsidRPr="008C1502" w:rsidRDefault="00651B8E" w:rsidP="00651B8E">
            <w:pPr>
              <w:ind w:right="113"/>
              <w:jc w:val="right"/>
              <w:rPr>
                <w:rFonts w:ascii="Arial Narrow" w:hAnsi="Arial Narrow"/>
                <w:b/>
                <w:bCs/>
                <w:sz w:val="16"/>
                <w:szCs w:val="16"/>
              </w:rPr>
            </w:pPr>
          </w:p>
        </w:tc>
        <w:tc>
          <w:tcPr>
            <w:tcW w:w="691" w:type="dxa"/>
            <w:shd w:val="clear" w:color="auto" w:fill="auto"/>
            <w:tcMar>
              <w:left w:w="28" w:type="dxa"/>
              <w:right w:w="28" w:type="dxa"/>
            </w:tcMar>
            <w:vAlign w:val="center"/>
            <w:hideMark/>
          </w:tcPr>
          <w:p w:rsidR="00651B8E" w:rsidRPr="008C1502" w:rsidRDefault="00651B8E" w:rsidP="00F2161F">
            <w:pPr>
              <w:ind w:right="57"/>
              <w:jc w:val="right"/>
              <w:rPr>
                <w:rFonts w:ascii="Arial Narrow" w:hAnsi="Arial Narrow"/>
                <w:b/>
                <w:bCs/>
                <w:sz w:val="16"/>
                <w:szCs w:val="16"/>
              </w:rPr>
            </w:pPr>
          </w:p>
        </w:tc>
        <w:tc>
          <w:tcPr>
            <w:tcW w:w="691" w:type="dxa"/>
            <w:tcBorders>
              <w:right w:val="single" w:sz="4" w:space="0" w:color="auto"/>
            </w:tcBorders>
            <w:shd w:val="clear" w:color="auto" w:fill="auto"/>
            <w:tcMar>
              <w:left w:w="28" w:type="dxa"/>
              <w:right w:w="28" w:type="dxa"/>
            </w:tcMar>
            <w:vAlign w:val="center"/>
            <w:hideMark/>
          </w:tcPr>
          <w:p w:rsidR="00651B8E" w:rsidRPr="008C1502" w:rsidRDefault="00651B8E" w:rsidP="00F2161F">
            <w:pPr>
              <w:ind w:right="57"/>
              <w:jc w:val="right"/>
              <w:rPr>
                <w:rFonts w:ascii="Arial Narrow" w:hAnsi="Arial Narrow"/>
                <w:b/>
                <w:bCs/>
                <w:sz w:val="16"/>
                <w:szCs w:val="16"/>
              </w:rPr>
            </w:pPr>
          </w:p>
        </w:tc>
      </w:tr>
      <w:tr w:rsidR="00651B8E" w:rsidRPr="00EA7DB5" w:rsidTr="00E1533A">
        <w:trPr>
          <w:trHeight w:val="227"/>
        </w:trPr>
        <w:tc>
          <w:tcPr>
            <w:tcW w:w="353" w:type="dxa"/>
            <w:tcBorders>
              <w:left w:val="single" w:sz="4" w:space="0" w:color="auto"/>
              <w:bottom w:val="single" w:sz="4" w:space="0" w:color="auto"/>
            </w:tcBorders>
            <w:shd w:val="clear" w:color="auto" w:fill="BFBFBF" w:themeFill="background1" w:themeFillShade="BF"/>
            <w:tcMar>
              <w:left w:w="28" w:type="dxa"/>
              <w:right w:w="28" w:type="dxa"/>
            </w:tcMar>
            <w:vAlign w:val="center"/>
            <w:hideMark/>
          </w:tcPr>
          <w:p w:rsidR="00651B8E" w:rsidRPr="008C1502" w:rsidRDefault="00651B8E" w:rsidP="0097301E">
            <w:pPr>
              <w:spacing w:before="40" w:after="40"/>
              <w:jc w:val="center"/>
              <w:rPr>
                <w:rFonts w:ascii="Arial Narrow" w:hAnsi="Arial Narrow"/>
                <w:b/>
                <w:bCs/>
                <w:sz w:val="16"/>
                <w:szCs w:val="16"/>
              </w:rPr>
            </w:pPr>
            <w:r w:rsidRPr="008C1502">
              <w:rPr>
                <w:rFonts w:ascii="Arial Narrow" w:hAnsi="Arial Narrow"/>
                <w:b/>
                <w:bCs/>
                <w:sz w:val="16"/>
                <w:szCs w:val="16"/>
              </w:rPr>
              <w:t>Γ</w:t>
            </w:r>
          </w:p>
        </w:tc>
        <w:tc>
          <w:tcPr>
            <w:tcW w:w="4895" w:type="dxa"/>
            <w:gridSpan w:val="2"/>
            <w:tcBorders>
              <w:bottom w:val="single" w:sz="4" w:space="0" w:color="auto"/>
            </w:tcBorders>
            <w:shd w:val="clear" w:color="auto" w:fill="BFBFBF" w:themeFill="background1" w:themeFillShade="BF"/>
            <w:tcMar>
              <w:left w:w="28" w:type="dxa"/>
              <w:right w:w="28" w:type="dxa"/>
            </w:tcMar>
            <w:vAlign w:val="center"/>
            <w:hideMark/>
          </w:tcPr>
          <w:p w:rsidR="00651B8E" w:rsidRPr="008C1502" w:rsidRDefault="00651B8E" w:rsidP="0097301E">
            <w:pPr>
              <w:spacing w:before="40" w:after="40"/>
              <w:rPr>
                <w:rFonts w:ascii="Arial Narrow" w:hAnsi="Arial Narrow"/>
                <w:b/>
                <w:bCs/>
                <w:sz w:val="16"/>
                <w:szCs w:val="16"/>
              </w:rPr>
            </w:pPr>
            <w:r w:rsidRPr="008C1502">
              <w:rPr>
                <w:rFonts w:ascii="Arial Narrow" w:hAnsi="Arial Narrow"/>
                <w:b/>
                <w:bCs/>
                <w:sz w:val="16"/>
                <w:szCs w:val="16"/>
              </w:rPr>
              <w:t>ΓΕΝΙΚΟ ΣΥΝΟΛΟ ΕΣΟΔΩΝ (Α+Β)</w:t>
            </w:r>
          </w:p>
        </w:tc>
        <w:tc>
          <w:tcPr>
            <w:tcW w:w="811" w:type="dxa"/>
            <w:tcBorders>
              <w:bottom w:val="single" w:sz="4" w:space="0" w:color="auto"/>
            </w:tcBorders>
            <w:shd w:val="clear" w:color="auto" w:fill="BFBFBF" w:themeFill="background1" w:themeFillShade="BF"/>
            <w:tcMar>
              <w:left w:w="28" w:type="dxa"/>
              <w:right w:w="28" w:type="dxa"/>
            </w:tcMar>
            <w:vAlign w:val="center"/>
            <w:hideMark/>
          </w:tcPr>
          <w:p w:rsidR="00651B8E" w:rsidRDefault="00651B8E" w:rsidP="00651B8E">
            <w:pPr>
              <w:ind w:right="113"/>
              <w:jc w:val="right"/>
              <w:rPr>
                <w:rFonts w:ascii="Arial Narrow" w:hAnsi="Arial Narrow"/>
                <w:b/>
                <w:bCs/>
                <w:sz w:val="16"/>
                <w:szCs w:val="16"/>
              </w:rPr>
            </w:pPr>
            <w:r>
              <w:rPr>
                <w:rFonts w:ascii="Arial Narrow" w:hAnsi="Arial Narrow"/>
                <w:b/>
                <w:bCs/>
                <w:sz w:val="16"/>
                <w:szCs w:val="16"/>
              </w:rPr>
              <w:t>718.550</w:t>
            </w:r>
          </w:p>
        </w:tc>
        <w:tc>
          <w:tcPr>
            <w:tcW w:w="729" w:type="dxa"/>
            <w:tcBorders>
              <w:bottom w:val="single" w:sz="4" w:space="0" w:color="auto"/>
            </w:tcBorders>
            <w:shd w:val="clear" w:color="auto" w:fill="BFBFBF" w:themeFill="background1" w:themeFillShade="BF"/>
            <w:tcMar>
              <w:left w:w="28" w:type="dxa"/>
              <w:right w:w="28" w:type="dxa"/>
            </w:tcMar>
            <w:vAlign w:val="center"/>
            <w:hideMark/>
          </w:tcPr>
          <w:p w:rsidR="00651B8E" w:rsidRPr="00EA7DB5" w:rsidRDefault="00281131" w:rsidP="00651B8E">
            <w:pPr>
              <w:ind w:right="113"/>
              <w:jc w:val="right"/>
              <w:rPr>
                <w:rFonts w:ascii="Arial Narrow" w:hAnsi="Arial Narrow"/>
                <w:b/>
                <w:bCs/>
                <w:sz w:val="16"/>
                <w:szCs w:val="16"/>
              </w:rPr>
            </w:pPr>
            <w:r w:rsidRPr="00EA7DB5">
              <w:rPr>
                <w:rFonts w:ascii="Arial Narrow" w:hAnsi="Arial Narrow"/>
                <w:b/>
                <w:bCs/>
                <w:sz w:val="16"/>
                <w:szCs w:val="16"/>
              </w:rPr>
              <w:t>849.44</w:t>
            </w:r>
            <w:r w:rsidR="00EA7DB5" w:rsidRPr="00EA7DB5">
              <w:rPr>
                <w:rFonts w:ascii="Arial Narrow" w:hAnsi="Arial Narrow"/>
                <w:b/>
                <w:bCs/>
                <w:sz w:val="16"/>
                <w:szCs w:val="16"/>
              </w:rPr>
              <w:t>8</w:t>
            </w:r>
          </w:p>
        </w:tc>
        <w:tc>
          <w:tcPr>
            <w:tcW w:w="794" w:type="dxa"/>
            <w:tcBorders>
              <w:bottom w:val="single" w:sz="4" w:space="0" w:color="auto"/>
            </w:tcBorders>
            <w:shd w:val="clear" w:color="auto" w:fill="BFBFBF" w:themeFill="background1" w:themeFillShade="BF"/>
            <w:tcMar>
              <w:left w:w="28" w:type="dxa"/>
              <w:right w:w="28" w:type="dxa"/>
            </w:tcMar>
            <w:vAlign w:val="center"/>
            <w:hideMark/>
          </w:tcPr>
          <w:p w:rsidR="00651B8E" w:rsidRPr="00EA7DB5" w:rsidRDefault="00651B8E" w:rsidP="00651B8E">
            <w:pPr>
              <w:ind w:right="113"/>
              <w:jc w:val="right"/>
              <w:rPr>
                <w:rFonts w:ascii="Arial Narrow" w:hAnsi="Arial Narrow"/>
                <w:b/>
                <w:bCs/>
                <w:sz w:val="16"/>
                <w:szCs w:val="16"/>
              </w:rPr>
            </w:pPr>
            <w:r w:rsidRPr="00EA7DB5">
              <w:rPr>
                <w:rFonts w:ascii="Arial Narrow" w:hAnsi="Arial Narrow"/>
                <w:b/>
                <w:bCs/>
                <w:sz w:val="16"/>
                <w:szCs w:val="16"/>
              </w:rPr>
              <w:t>688.243</w:t>
            </w:r>
          </w:p>
        </w:tc>
        <w:tc>
          <w:tcPr>
            <w:tcW w:w="691" w:type="dxa"/>
            <w:tcBorders>
              <w:bottom w:val="single" w:sz="4" w:space="0" w:color="auto"/>
            </w:tcBorders>
            <w:shd w:val="clear" w:color="auto" w:fill="BFBFBF" w:themeFill="background1" w:themeFillShade="BF"/>
            <w:tcMar>
              <w:left w:w="28" w:type="dxa"/>
              <w:right w:w="28" w:type="dxa"/>
            </w:tcMar>
            <w:vAlign w:val="center"/>
            <w:hideMark/>
          </w:tcPr>
          <w:p w:rsidR="00651B8E" w:rsidRPr="00EA7DB5" w:rsidRDefault="00281131">
            <w:pPr>
              <w:jc w:val="right"/>
              <w:rPr>
                <w:rFonts w:ascii="Arial Narrow" w:hAnsi="Arial Narrow"/>
                <w:b/>
                <w:bCs/>
                <w:sz w:val="16"/>
                <w:szCs w:val="16"/>
              </w:rPr>
            </w:pPr>
            <w:r w:rsidRPr="00EA7DB5">
              <w:rPr>
                <w:rFonts w:ascii="Arial Narrow" w:hAnsi="Arial Narrow"/>
                <w:b/>
                <w:bCs/>
                <w:sz w:val="16"/>
                <w:szCs w:val="16"/>
              </w:rPr>
              <w:t>18,2</w:t>
            </w:r>
          </w:p>
        </w:tc>
        <w:tc>
          <w:tcPr>
            <w:tcW w:w="691" w:type="dxa"/>
            <w:tcBorders>
              <w:bottom w:val="single" w:sz="4" w:space="0" w:color="auto"/>
              <w:right w:val="single" w:sz="4" w:space="0" w:color="auto"/>
            </w:tcBorders>
            <w:shd w:val="clear" w:color="auto" w:fill="BFBFBF" w:themeFill="background1" w:themeFillShade="BF"/>
            <w:tcMar>
              <w:left w:w="28" w:type="dxa"/>
              <w:right w:w="28" w:type="dxa"/>
            </w:tcMar>
            <w:vAlign w:val="center"/>
            <w:hideMark/>
          </w:tcPr>
          <w:p w:rsidR="00651B8E" w:rsidRPr="00EA7DB5" w:rsidRDefault="00281131">
            <w:pPr>
              <w:jc w:val="right"/>
              <w:rPr>
                <w:rFonts w:ascii="Arial Narrow" w:hAnsi="Arial Narrow"/>
                <w:b/>
                <w:bCs/>
                <w:sz w:val="16"/>
                <w:szCs w:val="16"/>
              </w:rPr>
            </w:pPr>
            <w:r w:rsidRPr="00EA7DB5">
              <w:rPr>
                <w:rFonts w:ascii="Arial Narrow" w:hAnsi="Arial Narrow"/>
                <w:b/>
                <w:bCs/>
                <w:sz w:val="16"/>
                <w:szCs w:val="16"/>
              </w:rPr>
              <w:t>-19,0</w:t>
            </w:r>
          </w:p>
        </w:tc>
      </w:tr>
    </w:tbl>
    <w:p w:rsidR="0097301E" w:rsidRPr="00B164E2" w:rsidRDefault="0097301E" w:rsidP="00E1533A">
      <w:pPr>
        <w:tabs>
          <w:tab w:val="left" w:pos="720"/>
          <w:tab w:val="left" w:pos="1440"/>
          <w:tab w:val="left" w:pos="2160"/>
          <w:tab w:val="right" w:pos="9071"/>
        </w:tabs>
        <w:ind w:left="142" w:hanging="142"/>
        <w:jc w:val="both"/>
        <w:rPr>
          <w:rFonts w:ascii="Arial Narrow" w:hAnsi="Arial Narrow"/>
          <w:sz w:val="16"/>
          <w:szCs w:val="22"/>
        </w:rPr>
      </w:pPr>
      <w:r w:rsidRPr="00B164E2">
        <w:rPr>
          <w:rFonts w:ascii="Arial Narrow" w:hAnsi="Arial Narrow"/>
          <w:sz w:val="16"/>
          <w:szCs w:val="22"/>
          <w:vertAlign w:val="superscript"/>
        </w:rPr>
        <w:t>1</w:t>
      </w:r>
      <w:r w:rsidRPr="00B164E2">
        <w:rPr>
          <w:rFonts w:ascii="Arial Narrow" w:hAnsi="Arial Narrow"/>
          <w:sz w:val="16"/>
          <w:szCs w:val="22"/>
        </w:rPr>
        <w:tab/>
        <w:t>Περιλαμβάνονται επιστροφές φόρων.</w:t>
      </w:r>
      <w:r w:rsidR="00E1533A">
        <w:rPr>
          <w:rFonts w:ascii="Arial Narrow" w:hAnsi="Arial Narrow"/>
          <w:sz w:val="16"/>
          <w:szCs w:val="22"/>
        </w:rPr>
        <w:tab/>
      </w:r>
    </w:p>
    <w:p w:rsidR="0097301E" w:rsidRDefault="0097301E" w:rsidP="0097301E">
      <w:pPr>
        <w:jc w:val="both"/>
        <w:rPr>
          <w:rFonts w:ascii="Arial Narrow" w:hAnsi="Arial Narrow"/>
          <w:b/>
          <w:i/>
          <w:sz w:val="22"/>
          <w:szCs w:val="22"/>
        </w:rPr>
      </w:pPr>
    </w:p>
    <w:p w:rsidR="00B164E2" w:rsidRPr="00EA0964" w:rsidRDefault="00B164E2" w:rsidP="003C2FC0">
      <w:pPr>
        <w:jc w:val="both"/>
        <w:rPr>
          <w:bCs/>
          <w:sz w:val="22"/>
          <w:szCs w:val="22"/>
        </w:rPr>
      </w:pPr>
    </w:p>
    <w:p w:rsidR="00B64187" w:rsidRPr="00CF01B3" w:rsidRDefault="00CF01B3" w:rsidP="00CF01B3">
      <w:pPr>
        <w:shd w:val="clear" w:color="auto" w:fill="BFBFBF" w:themeFill="background1" w:themeFillShade="BF"/>
        <w:jc w:val="both"/>
        <w:rPr>
          <w:rFonts w:ascii="Arial Narrow" w:hAnsi="Arial Narrow"/>
          <w:b/>
          <w:szCs w:val="22"/>
        </w:rPr>
      </w:pPr>
      <w:r w:rsidRPr="00CF01B3">
        <w:rPr>
          <w:rFonts w:ascii="Arial Narrow" w:hAnsi="Arial Narrow"/>
          <w:b/>
          <w:szCs w:val="22"/>
        </w:rPr>
        <w:t>2.2</w:t>
      </w:r>
      <w:r w:rsidRPr="00CF01B3">
        <w:rPr>
          <w:rFonts w:ascii="Arial Narrow" w:hAnsi="Arial Narrow"/>
          <w:b/>
          <w:szCs w:val="22"/>
        </w:rPr>
        <w:tab/>
      </w:r>
      <w:r w:rsidR="00B64187" w:rsidRPr="00CF01B3">
        <w:rPr>
          <w:rFonts w:ascii="Arial Narrow" w:hAnsi="Arial Narrow"/>
          <w:b/>
          <w:szCs w:val="22"/>
        </w:rPr>
        <w:t>Δαπάνες</w:t>
      </w:r>
    </w:p>
    <w:p w:rsidR="00B64187" w:rsidRPr="00DD7D7F" w:rsidRDefault="00B64187" w:rsidP="00B64187">
      <w:pPr>
        <w:jc w:val="both"/>
        <w:rPr>
          <w:sz w:val="22"/>
          <w:szCs w:val="22"/>
          <w:lang w:eastAsia="en-US"/>
        </w:rPr>
      </w:pPr>
    </w:p>
    <w:p w:rsidR="00A07AF3" w:rsidRDefault="00566189" w:rsidP="00566189">
      <w:pPr>
        <w:jc w:val="both"/>
        <w:rPr>
          <w:bCs/>
          <w:sz w:val="22"/>
          <w:szCs w:val="22"/>
        </w:rPr>
      </w:pPr>
      <w:r w:rsidRPr="00071550">
        <w:rPr>
          <w:bCs/>
          <w:sz w:val="22"/>
          <w:szCs w:val="22"/>
        </w:rPr>
        <w:t xml:space="preserve">Οι συνολικές δαπάνες του </w:t>
      </w:r>
      <w:r w:rsidR="00CF01B3">
        <w:rPr>
          <w:bCs/>
          <w:sz w:val="22"/>
          <w:szCs w:val="22"/>
        </w:rPr>
        <w:t xml:space="preserve">Κρατικού </w:t>
      </w:r>
      <w:r w:rsidRPr="00071550">
        <w:rPr>
          <w:bCs/>
          <w:sz w:val="22"/>
          <w:szCs w:val="22"/>
        </w:rPr>
        <w:t>Προϋπολογισμού για το έτος 2018 εκτιμάται ότι θα διαμορφ</w:t>
      </w:r>
      <w:r w:rsidRPr="00071550">
        <w:rPr>
          <w:bCs/>
          <w:sz w:val="22"/>
          <w:szCs w:val="22"/>
        </w:rPr>
        <w:t>ω</w:t>
      </w:r>
      <w:r w:rsidR="00CF01B3">
        <w:rPr>
          <w:bCs/>
          <w:sz w:val="22"/>
          <w:szCs w:val="22"/>
        </w:rPr>
        <w:t xml:space="preserve">θούν </w:t>
      </w:r>
      <w:r w:rsidRPr="00071550">
        <w:rPr>
          <w:bCs/>
          <w:sz w:val="22"/>
          <w:szCs w:val="22"/>
        </w:rPr>
        <w:t xml:space="preserve">σε ταμειακή βάση στα </w:t>
      </w:r>
      <w:r w:rsidR="002D0F0F">
        <w:rPr>
          <w:bCs/>
          <w:sz w:val="22"/>
          <w:szCs w:val="22"/>
        </w:rPr>
        <w:t>57.0</w:t>
      </w:r>
      <w:r w:rsidR="0066259F">
        <w:rPr>
          <w:bCs/>
          <w:sz w:val="22"/>
          <w:szCs w:val="22"/>
        </w:rPr>
        <w:t>3</w:t>
      </w:r>
      <w:r w:rsidR="002D0F0F">
        <w:rPr>
          <w:bCs/>
          <w:sz w:val="22"/>
          <w:szCs w:val="22"/>
        </w:rPr>
        <w:t>2</w:t>
      </w:r>
      <w:r w:rsidRPr="00071550">
        <w:rPr>
          <w:bCs/>
          <w:sz w:val="22"/>
          <w:szCs w:val="22"/>
        </w:rPr>
        <w:t xml:space="preserve"> εκατ. ευρώ, αυξημένες κατά </w:t>
      </w:r>
      <w:r w:rsidR="0066259F">
        <w:rPr>
          <w:bCs/>
          <w:sz w:val="22"/>
          <w:szCs w:val="22"/>
        </w:rPr>
        <w:t>87</w:t>
      </w:r>
      <w:r w:rsidR="002D0F0F">
        <w:rPr>
          <w:bCs/>
          <w:sz w:val="22"/>
          <w:szCs w:val="22"/>
        </w:rPr>
        <w:t>3</w:t>
      </w:r>
      <w:r w:rsidRPr="00071550">
        <w:rPr>
          <w:bCs/>
          <w:sz w:val="22"/>
          <w:szCs w:val="22"/>
        </w:rPr>
        <w:t xml:space="preserve"> εκατ. ευρώ σε σχέση με το</w:t>
      </w:r>
      <w:r w:rsidR="003C2FC0">
        <w:rPr>
          <w:bCs/>
          <w:sz w:val="22"/>
          <w:szCs w:val="22"/>
        </w:rPr>
        <w:t>ν</w:t>
      </w:r>
      <w:r w:rsidRPr="00071550">
        <w:rPr>
          <w:bCs/>
          <w:sz w:val="22"/>
          <w:szCs w:val="22"/>
        </w:rPr>
        <w:t xml:space="preserve"> στ</w:t>
      </w:r>
      <w:r w:rsidRPr="00071550">
        <w:rPr>
          <w:bCs/>
          <w:sz w:val="22"/>
          <w:szCs w:val="22"/>
        </w:rPr>
        <w:t>ό</w:t>
      </w:r>
      <w:r w:rsidRPr="00071550">
        <w:rPr>
          <w:bCs/>
          <w:sz w:val="22"/>
          <w:szCs w:val="22"/>
        </w:rPr>
        <w:t>χο του ΜΠΔΣ 2019-2022</w:t>
      </w:r>
      <w:r w:rsidR="002D0F0F">
        <w:rPr>
          <w:bCs/>
          <w:sz w:val="22"/>
          <w:szCs w:val="22"/>
        </w:rPr>
        <w:t>.</w:t>
      </w:r>
      <w:r w:rsidRPr="00071550">
        <w:rPr>
          <w:bCs/>
          <w:sz w:val="22"/>
          <w:szCs w:val="22"/>
        </w:rPr>
        <w:t xml:space="preserve"> </w:t>
      </w:r>
    </w:p>
    <w:p w:rsidR="002D0F0F" w:rsidRPr="005819BE" w:rsidRDefault="002D0F0F" w:rsidP="00566189">
      <w:pPr>
        <w:jc w:val="both"/>
        <w:rPr>
          <w:bCs/>
          <w:sz w:val="22"/>
          <w:szCs w:val="22"/>
        </w:rPr>
      </w:pPr>
    </w:p>
    <w:p w:rsidR="00566189" w:rsidRPr="005D6CBB" w:rsidRDefault="0066259F" w:rsidP="00566189">
      <w:pPr>
        <w:jc w:val="both"/>
        <w:rPr>
          <w:bCs/>
          <w:sz w:val="22"/>
          <w:szCs w:val="22"/>
        </w:rPr>
      </w:pPr>
      <w:r>
        <w:rPr>
          <w:bCs/>
          <w:sz w:val="22"/>
          <w:szCs w:val="22"/>
        </w:rPr>
        <w:t>Επίσης</w:t>
      </w:r>
      <w:r w:rsidR="005819BE">
        <w:rPr>
          <w:bCs/>
          <w:sz w:val="22"/>
          <w:szCs w:val="22"/>
        </w:rPr>
        <w:t>, ο</w:t>
      </w:r>
      <w:r w:rsidR="00566189" w:rsidRPr="005819BE">
        <w:rPr>
          <w:bCs/>
          <w:sz w:val="22"/>
          <w:szCs w:val="22"/>
        </w:rPr>
        <w:t>ι συνολικές δαπάνες του Κρατικού Προϋπολογισμού για το έτος 2018 εκτιμάται ότι θα δι</w:t>
      </w:r>
      <w:r w:rsidR="00566189" w:rsidRPr="005819BE">
        <w:rPr>
          <w:bCs/>
          <w:sz w:val="22"/>
          <w:szCs w:val="22"/>
        </w:rPr>
        <w:t>α</w:t>
      </w:r>
      <w:r w:rsidR="00566189" w:rsidRPr="005819BE">
        <w:rPr>
          <w:bCs/>
          <w:sz w:val="22"/>
          <w:szCs w:val="22"/>
        </w:rPr>
        <w:t>μορφω</w:t>
      </w:r>
      <w:r w:rsidR="00CF01B3" w:rsidRPr="005819BE">
        <w:rPr>
          <w:bCs/>
          <w:sz w:val="22"/>
          <w:szCs w:val="22"/>
        </w:rPr>
        <w:t xml:space="preserve">θούν </w:t>
      </w:r>
      <w:r w:rsidR="00566189" w:rsidRPr="005819BE">
        <w:rPr>
          <w:bCs/>
          <w:sz w:val="22"/>
          <w:szCs w:val="22"/>
        </w:rPr>
        <w:t xml:space="preserve">σε δημοσιονομική βάση στα </w:t>
      </w:r>
      <w:r w:rsidR="005819BE">
        <w:rPr>
          <w:bCs/>
          <w:sz w:val="22"/>
          <w:szCs w:val="22"/>
        </w:rPr>
        <w:t>58.</w:t>
      </w:r>
      <w:r>
        <w:rPr>
          <w:bCs/>
          <w:sz w:val="22"/>
          <w:szCs w:val="22"/>
        </w:rPr>
        <w:t>27</w:t>
      </w:r>
      <w:r w:rsidR="005819BE">
        <w:rPr>
          <w:bCs/>
          <w:sz w:val="22"/>
          <w:szCs w:val="22"/>
        </w:rPr>
        <w:t>3</w:t>
      </w:r>
      <w:r w:rsidR="00566189" w:rsidRPr="005819BE">
        <w:rPr>
          <w:bCs/>
          <w:sz w:val="22"/>
          <w:szCs w:val="22"/>
        </w:rPr>
        <w:t xml:space="preserve"> εκατ. ευρώ, αυξημένες κατά </w:t>
      </w:r>
      <w:r>
        <w:rPr>
          <w:bCs/>
          <w:sz w:val="22"/>
          <w:szCs w:val="22"/>
        </w:rPr>
        <w:t>76</w:t>
      </w:r>
      <w:r w:rsidR="005819BE">
        <w:rPr>
          <w:bCs/>
          <w:sz w:val="22"/>
          <w:szCs w:val="22"/>
        </w:rPr>
        <w:t>7</w:t>
      </w:r>
      <w:r w:rsidR="00566189" w:rsidRPr="005819BE">
        <w:rPr>
          <w:bCs/>
          <w:sz w:val="22"/>
          <w:szCs w:val="22"/>
        </w:rPr>
        <w:t xml:space="preserve"> εκατ. ευρώ</w:t>
      </w:r>
      <w:r w:rsidR="00B164E2">
        <w:rPr>
          <w:bCs/>
          <w:sz w:val="22"/>
          <w:szCs w:val="22"/>
        </w:rPr>
        <w:t>,</w:t>
      </w:r>
      <w:r w:rsidR="00566189" w:rsidRPr="005819BE">
        <w:rPr>
          <w:bCs/>
          <w:sz w:val="22"/>
          <w:szCs w:val="22"/>
        </w:rPr>
        <w:t xml:space="preserve"> σε σχ</w:t>
      </w:r>
      <w:r w:rsidR="00566189" w:rsidRPr="005819BE">
        <w:rPr>
          <w:bCs/>
          <w:sz w:val="22"/>
          <w:szCs w:val="22"/>
        </w:rPr>
        <w:t>έ</w:t>
      </w:r>
      <w:r w:rsidR="00566189" w:rsidRPr="005819BE">
        <w:rPr>
          <w:bCs/>
          <w:sz w:val="22"/>
          <w:szCs w:val="22"/>
        </w:rPr>
        <w:t>ση με το</w:t>
      </w:r>
      <w:r w:rsidR="003C2FC0" w:rsidRPr="005819BE">
        <w:rPr>
          <w:bCs/>
          <w:sz w:val="22"/>
          <w:szCs w:val="22"/>
        </w:rPr>
        <w:t>ν</w:t>
      </w:r>
      <w:r w:rsidR="00566189" w:rsidRPr="005819BE">
        <w:rPr>
          <w:bCs/>
          <w:sz w:val="22"/>
          <w:szCs w:val="22"/>
        </w:rPr>
        <w:t xml:space="preserve"> στόχο του ΜΠΔΣ 2019-2022.</w:t>
      </w:r>
    </w:p>
    <w:p w:rsidR="00566189" w:rsidRPr="00071550" w:rsidRDefault="00566189" w:rsidP="00566189">
      <w:pPr>
        <w:jc w:val="both"/>
        <w:rPr>
          <w:bCs/>
          <w:sz w:val="22"/>
          <w:szCs w:val="22"/>
        </w:rPr>
      </w:pPr>
    </w:p>
    <w:p w:rsidR="00566189" w:rsidRPr="00706087" w:rsidRDefault="00566189" w:rsidP="00566189">
      <w:pPr>
        <w:jc w:val="both"/>
        <w:rPr>
          <w:bCs/>
          <w:sz w:val="22"/>
          <w:szCs w:val="22"/>
        </w:rPr>
      </w:pPr>
      <w:r w:rsidRPr="00706087">
        <w:rPr>
          <w:bCs/>
          <w:sz w:val="22"/>
          <w:szCs w:val="22"/>
        </w:rPr>
        <w:t xml:space="preserve">Οι πρωτογενείς δαπάνες του </w:t>
      </w:r>
      <w:r w:rsidR="00C14EF6">
        <w:rPr>
          <w:bCs/>
          <w:sz w:val="22"/>
          <w:szCs w:val="22"/>
        </w:rPr>
        <w:t xml:space="preserve">Κρατικού </w:t>
      </w:r>
      <w:r w:rsidRPr="00706087">
        <w:rPr>
          <w:bCs/>
          <w:sz w:val="22"/>
          <w:szCs w:val="22"/>
        </w:rPr>
        <w:t>Προϋπολογισμού εκτιμάται ότι θα διαμορφωθούν</w:t>
      </w:r>
      <w:r w:rsidR="005819BE">
        <w:rPr>
          <w:bCs/>
          <w:sz w:val="22"/>
          <w:szCs w:val="22"/>
        </w:rPr>
        <w:t xml:space="preserve"> σε δημοσι</w:t>
      </w:r>
      <w:r w:rsidR="005819BE">
        <w:rPr>
          <w:bCs/>
          <w:sz w:val="22"/>
          <w:szCs w:val="22"/>
        </w:rPr>
        <w:t>ο</w:t>
      </w:r>
      <w:r w:rsidR="005819BE">
        <w:rPr>
          <w:bCs/>
          <w:sz w:val="22"/>
          <w:szCs w:val="22"/>
        </w:rPr>
        <w:t>νομική βάση</w:t>
      </w:r>
      <w:r w:rsidRPr="00706087">
        <w:rPr>
          <w:bCs/>
          <w:sz w:val="22"/>
          <w:szCs w:val="22"/>
        </w:rPr>
        <w:t xml:space="preserve"> στα </w:t>
      </w:r>
      <w:r w:rsidR="005819BE">
        <w:rPr>
          <w:bCs/>
          <w:sz w:val="22"/>
          <w:szCs w:val="22"/>
        </w:rPr>
        <w:t>51.</w:t>
      </w:r>
      <w:r w:rsidR="00A30EDC">
        <w:rPr>
          <w:bCs/>
          <w:sz w:val="22"/>
          <w:szCs w:val="22"/>
        </w:rPr>
        <w:t>178</w:t>
      </w:r>
      <w:r w:rsidRPr="00706087">
        <w:rPr>
          <w:bCs/>
          <w:sz w:val="22"/>
          <w:szCs w:val="22"/>
        </w:rPr>
        <w:t xml:space="preserve"> εκατ. ευρώ, αυξημένες κατά </w:t>
      </w:r>
      <w:r w:rsidR="005819BE">
        <w:rPr>
          <w:bCs/>
          <w:sz w:val="22"/>
          <w:szCs w:val="22"/>
        </w:rPr>
        <w:t>5</w:t>
      </w:r>
      <w:r w:rsidR="00A30EDC">
        <w:rPr>
          <w:bCs/>
          <w:sz w:val="22"/>
          <w:szCs w:val="22"/>
        </w:rPr>
        <w:t>22</w:t>
      </w:r>
      <w:r w:rsidRPr="00706087">
        <w:rPr>
          <w:bCs/>
          <w:sz w:val="22"/>
          <w:szCs w:val="22"/>
        </w:rPr>
        <w:t xml:space="preserve"> εκατ. ευρώ έναντι του στόχου του ΜΠΔΣ 201</w:t>
      </w:r>
      <w:r w:rsidRPr="005D6CBB">
        <w:rPr>
          <w:bCs/>
          <w:sz w:val="22"/>
          <w:szCs w:val="22"/>
        </w:rPr>
        <w:t>9</w:t>
      </w:r>
      <w:r w:rsidRPr="00706087">
        <w:rPr>
          <w:bCs/>
          <w:sz w:val="22"/>
          <w:szCs w:val="22"/>
        </w:rPr>
        <w:t>-202</w:t>
      </w:r>
      <w:r w:rsidRPr="005D6CBB">
        <w:rPr>
          <w:bCs/>
          <w:sz w:val="22"/>
          <w:szCs w:val="22"/>
        </w:rPr>
        <w:t>2</w:t>
      </w:r>
      <w:r w:rsidRPr="00706087">
        <w:rPr>
          <w:bCs/>
          <w:sz w:val="22"/>
          <w:szCs w:val="22"/>
        </w:rPr>
        <w:t>.</w:t>
      </w:r>
    </w:p>
    <w:p w:rsidR="0097301E" w:rsidRPr="00DD7D7F" w:rsidRDefault="0097301E" w:rsidP="00566189">
      <w:pPr>
        <w:jc w:val="both"/>
        <w:rPr>
          <w:sz w:val="22"/>
          <w:szCs w:val="22"/>
          <w:lang w:eastAsia="en-US"/>
        </w:rPr>
      </w:pPr>
    </w:p>
    <w:p w:rsidR="00566189" w:rsidRPr="009835FE" w:rsidRDefault="00566189" w:rsidP="00566189">
      <w:pPr>
        <w:jc w:val="both"/>
        <w:rPr>
          <w:rFonts w:ascii="Arial Narrow" w:hAnsi="Arial Narrow"/>
          <w:b/>
          <w:color w:val="000080"/>
          <w:szCs w:val="22"/>
        </w:rPr>
      </w:pPr>
      <w:r w:rsidRPr="009835FE">
        <w:rPr>
          <w:rFonts w:ascii="Arial Narrow" w:hAnsi="Arial Narrow"/>
          <w:b/>
          <w:color w:val="000080"/>
          <w:szCs w:val="22"/>
        </w:rPr>
        <w:t>Ανάλυση δαπανών κατά μείζονα κατηγορία</w:t>
      </w:r>
    </w:p>
    <w:p w:rsidR="00566189" w:rsidRDefault="00566189" w:rsidP="00566189">
      <w:pPr>
        <w:jc w:val="both"/>
        <w:rPr>
          <w:bCs/>
          <w:sz w:val="22"/>
          <w:szCs w:val="22"/>
        </w:rPr>
      </w:pPr>
    </w:p>
    <w:p w:rsidR="00612DF2" w:rsidRPr="0090589B" w:rsidRDefault="00612DF2" w:rsidP="00612DF2">
      <w:pPr>
        <w:jc w:val="both"/>
        <w:rPr>
          <w:rFonts w:ascii="Arial Narrow" w:hAnsi="Arial Narrow"/>
          <w:b/>
          <w:sz w:val="22"/>
          <w:szCs w:val="22"/>
        </w:rPr>
      </w:pPr>
      <w:r>
        <w:rPr>
          <w:rFonts w:ascii="Arial Narrow" w:hAnsi="Arial Narrow"/>
          <w:b/>
          <w:sz w:val="22"/>
          <w:szCs w:val="22"/>
        </w:rPr>
        <w:t xml:space="preserve">Δαπάνες μη </w:t>
      </w:r>
      <w:r w:rsidRPr="0090589B">
        <w:rPr>
          <w:rFonts w:ascii="Arial Narrow" w:hAnsi="Arial Narrow"/>
          <w:b/>
          <w:sz w:val="22"/>
          <w:szCs w:val="22"/>
        </w:rPr>
        <w:t>χρηματοοικονομικών συναλλαγών</w:t>
      </w:r>
    </w:p>
    <w:p w:rsidR="00612DF2" w:rsidRPr="00393103" w:rsidRDefault="00612DF2" w:rsidP="00566189">
      <w:pPr>
        <w:jc w:val="both"/>
        <w:rPr>
          <w:bCs/>
          <w:sz w:val="22"/>
          <w:szCs w:val="22"/>
        </w:rPr>
      </w:pPr>
    </w:p>
    <w:p w:rsidR="00566189" w:rsidRPr="0064589E" w:rsidRDefault="00566189"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 xml:space="preserve">Παροχές σε εργαζομένους </w:t>
      </w:r>
    </w:p>
    <w:p w:rsidR="00566189" w:rsidRPr="005D6CBB" w:rsidRDefault="00566189" w:rsidP="00566189">
      <w:pPr>
        <w:jc w:val="both"/>
        <w:rPr>
          <w:bCs/>
          <w:iCs/>
          <w:sz w:val="22"/>
          <w:szCs w:val="22"/>
        </w:rPr>
      </w:pPr>
    </w:p>
    <w:p w:rsidR="00566189" w:rsidRPr="005D6CBB" w:rsidRDefault="00566189" w:rsidP="00566189">
      <w:pPr>
        <w:jc w:val="both"/>
        <w:rPr>
          <w:bCs/>
          <w:iCs/>
          <w:sz w:val="22"/>
          <w:szCs w:val="22"/>
        </w:rPr>
      </w:pPr>
      <w:r w:rsidRPr="005D6CBB">
        <w:rPr>
          <w:bCs/>
          <w:iCs/>
          <w:sz w:val="22"/>
          <w:szCs w:val="22"/>
        </w:rPr>
        <w:t>Στην κατηγορία αυτή περιλαμβάνονται οι τακτικές αποδοχές, οι πρόσθετες αποδοχές, οι αποδοχές σε είδος, οι παροχές κληρωτών</w:t>
      </w:r>
      <w:r w:rsidR="00CF01B3">
        <w:rPr>
          <w:bCs/>
          <w:iCs/>
          <w:sz w:val="22"/>
          <w:szCs w:val="22"/>
        </w:rPr>
        <w:t xml:space="preserve">, καθώς </w:t>
      </w:r>
      <w:r w:rsidRPr="005D6CBB">
        <w:rPr>
          <w:bCs/>
          <w:iCs/>
          <w:sz w:val="22"/>
          <w:szCs w:val="22"/>
        </w:rPr>
        <w:t xml:space="preserve">και οι </w:t>
      </w:r>
      <w:r w:rsidR="00CF01B3">
        <w:rPr>
          <w:bCs/>
          <w:iCs/>
          <w:sz w:val="22"/>
          <w:szCs w:val="22"/>
        </w:rPr>
        <w:t xml:space="preserve">αντίστοιχες </w:t>
      </w:r>
      <w:r w:rsidRPr="005D6CBB">
        <w:rPr>
          <w:bCs/>
          <w:iCs/>
          <w:sz w:val="22"/>
          <w:szCs w:val="22"/>
        </w:rPr>
        <w:t>εργοδοτικές εισφορές.</w:t>
      </w:r>
    </w:p>
    <w:p w:rsidR="00566189" w:rsidRPr="005D6CBB" w:rsidRDefault="00566189" w:rsidP="00566189">
      <w:pPr>
        <w:jc w:val="both"/>
        <w:rPr>
          <w:bCs/>
          <w:iCs/>
          <w:sz w:val="22"/>
          <w:szCs w:val="22"/>
        </w:rPr>
      </w:pPr>
    </w:p>
    <w:p w:rsidR="00CF01B3" w:rsidRDefault="00566189" w:rsidP="00566189">
      <w:pPr>
        <w:jc w:val="both"/>
        <w:rPr>
          <w:bCs/>
          <w:iCs/>
          <w:sz w:val="22"/>
          <w:szCs w:val="22"/>
        </w:rPr>
      </w:pPr>
      <w:r w:rsidRPr="005D6CBB">
        <w:rPr>
          <w:bCs/>
          <w:iCs/>
          <w:sz w:val="22"/>
          <w:szCs w:val="22"/>
        </w:rPr>
        <w:t>Για το έτος 2018 οι δαπάνες α</w:t>
      </w:r>
      <w:r w:rsidR="00CF01B3">
        <w:rPr>
          <w:bCs/>
          <w:iCs/>
          <w:sz w:val="22"/>
          <w:szCs w:val="22"/>
        </w:rPr>
        <w:t xml:space="preserve">υτές εκτιμάται ότι θα ανέλθουν </w:t>
      </w:r>
      <w:r w:rsidRPr="005D6CBB">
        <w:rPr>
          <w:bCs/>
          <w:iCs/>
          <w:sz w:val="22"/>
          <w:szCs w:val="22"/>
        </w:rPr>
        <w:t xml:space="preserve">σε </w:t>
      </w:r>
      <w:r w:rsidR="00B164E2">
        <w:rPr>
          <w:bCs/>
          <w:iCs/>
          <w:sz w:val="22"/>
          <w:szCs w:val="22"/>
        </w:rPr>
        <w:t>ταμειακή</w:t>
      </w:r>
      <w:r w:rsidRPr="005D6CBB">
        <w:rPr>
          <w:bCs/>
          <w:iCs/>
          <w:sz w:val="22"/>
          <w:szCs w:val="22"/>
        </w:rPr>
        <w:t xml:space="preserve"> βάση στα 1</w:t>
      </w:r>
      <w:r w:rsidR="00F21089">
        <w:rPr>
          <w:bCs/>
          <w:iCs/>
          <w:sz w:val="22"/>
          <w:szCs w:val="22"/>
        </w:rPr>
        <w:t>3.527</w:t>
      </w:r>
      <w:r w:rsidRPr="005D6CBB">
        <w:rPr>
          <w:bCs/>
          <w:iCs/>
          <w:sz w:val="22"/>
          <w:szCs w:val="22"/>
        </w:rPr>
        <w:t xml:space="preserve"> εκατ. ε</w:t>
      </w:r>
      <w:r w:rsidRPr="005D6CBB">
        <w:rPr>
          <w:bCs/>
          <w:iCs/>
          <w:sz w:val="22"/>
          <w:szCs w:val="22"/>
        </w:rPr>
        <w:t>υ</w:t>
      </w:r>
      <w:r w:rsidRPr="005D6CBB">
        <w:rPr>
          <w:bCs/>
          <w:iCs/>
          <w:sz w:val="22"/>
          <w:szCs w:val="22"/>
        </w:rPr>
        <w:t xml:space="preserve">ρώ αυξημένες κατά </w:t>
      </w:r>
      <w:r w:rsidR="00F21089">
        <w:rPr>
          <w:bCs/>
          <w:iCs/>
          <w:sz w:val="22"/>
          <w:szCs w:val="22"/>
        </w:rPr>
        <w:t>1.002</w:t>
      </w:r>
      <w:r w:rsidRPr="005D6CBB">
        <w:rPr>
          <w:bCs/>
          <w:iCs/>
          <w:sz w:val="22"/>
          <w:szCs w:val="22"/>
        </w:rPr>
        <w:t xml:space="preserve"> εκατ. ευρώ σε σχέση με το</w:t>
      </w:r>
      <w:r w:rsidR="006073A5">
        <w:rPr>
          <w:bCs/>
          <w:iCs/>
          <w:sz w:val="22"/>
          <w:szCs w:val="22"/>
        </w:rPr>
        <w:t>ν</w:t>
      </w:r>
      <w:r w:rsidRPr="005D6CBB">
        <w:rPr>
          <w:bCs/>
          <w:iCs/>
          <w:sz w:val="22"/>
          <w:szCs w:val="22"/>
        </w:rPr>
        <w:t xml:space="preserve"> στόχο το</w:t>
      </w:r>
      <w:r w:rsidR="00CF01B3">
        <w:rPr>
          <w:bCs/>
          <w:iCs/>
          <w:sz w:val="22"/>
          <w:szCs w:val="22"/>
        </w:rPr>
        <w:t>υ ΜΠΔΣ 2019-2022</w:t>
      </w:r>
      <w:r w:rsidR="002D7FD9">
        <w:rPr>
          <w:bCs/>
          <w:iCs/>
          <w:sz w:val="22"/>
          <w:szCs w:val="22"/>
        </w:rPr>
        <w:t xml:space="preserve">, κυρίως λόγω της  </w:t>
      </w:r>
      <w:r w:rsidR="00F21089">
        <w:rPr>
          <w:bCs/>
          <w:iCs/>
          <w:sz w:val="22"/>
          <w:szCs w:val="22"/>
        </w:rPr>
        <w:t xml:space="preserve"> </w:t>
      </w:r>
      <w:r w:rsidR="00186FCF">
        <w:rPr>
          <w:bCs/>
          <w:iCs/>
          <w:sz w:val="22"/>
          <w:szCs w:val="22"/>
        </w:rPr>
        <w:t>καταβολή</w:t>
      </w:r>
      <w:r w:rsidR="002D7FD9">
        <w:rPr>
          <w:bCs/>
          <w:iCs/>
          <w:sz w:val="22"/>
          <w:szCs w:val="22"/>
        </w:rPr>
        <w:t>ς</w:t>
      </w:r>
      <w:r w:rsidR="00186FCF">
        <w:rPr>
          <w:bCs/>
          <w:iCs/>
          <w:sz w:val="22"/>
          <w:szCs w:val="22"/>
        </w:rPr>
        <w:t xml:space="preserve"> χρηματικού ποσού που αφορά προσωπικό διαφόρων κατηγοριών ειδικών μισθολογίων.</w:t>
      </w:r>
      <w:r w:rsidR="00B151F3">
        <w:rPr>
          <w:bCs/>
          <w:iCs/>
          <w:sz w:val="22"/>
          <w:szCs w:val="22"/>
        </w:rPr>
        <w:t xml:space="preserve"> </w:t>
      </w:r>
      <w:r w:rsidR="002D7FD9">
        <w:rPr>
          <w:bCs/>
          <w:iCs/>
          <w:sz w:val="22"/>
          <w:szCs w:val="22"/>
        </w:rPr>
        <w:t>Οι πρόσθετες αποδοχές εκτιμάται ότι θα ανέλθουν στα 1.493 εκατ. ευρώ.</w:t>
      </w:r>
    </w:p>
    <w:p w:rsidR="00612DF2" w:rsidRDefault="00612DF2" w:rsidP="00566189">
      <w:pPr>
        <w:jc w:val="both"/>
        <w:rPr>
          <w:bCs/>
          <w:iCs/>
          <w:sz w:val="22"/>
          <w:szCs w:val="22"/>
        </w:rPr>
      </w:pPr>
    </w:p>
    <w:p w:rsidR="00566189" w:rsidRPr="0064589E" w:rsidRDefault="00566189"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 xml:space="preserve">Κοινωνικές Παροχές </w:t>
      </w:r>
    </w:p>
    <w:p w:rsidR="00566189" w:rsidRPr="005D6CBB" w:rsidRDefault="00566189" w:rsidP="00566189">
      <w:pPr>
        <w:jc w:val="both"/>
        <w:rPr>
          <w:bCs/>
          <w:i/>
          <w:iCs/>
          <w:sz w:val="22"/>
          <w:szCs w:val="22"/>
        </w:rPr>
      </w:pPr>
    </w:p>
    <w:p w:rsidR="008F0AD4" w:rsidRPr="005C0B80" w:rsidRDefault="008F0AD4" w:rsidP="008F0AD4">
      <w:pPr>
        <w:jc w:val="both"/>
        <w:rPr>
          <w:bCs/>
          <w:iCs/>
          <w:sz w:val="22"/>
          <w:szCs w:val="22"/>
        </w:rPr>
      </w:pPr>
      <w:r w:rsidRPr="005C0B80">
        <w:rPr>
          <w:bCs/>
          <w:iCs/>
          <w:sz w:val="22"/>
          <w:szCs w:val="22"/>
        </w:rPr>
        <w:t>Οι δαπάνες της κατηγορίας αυτής περιλαμβάνουν, μεταξύ άλλων, το επίδομα θέρμανσης, τη συνει</w:t>
      </w:r>
      <w:r w:rsidRPr="005C0B80">
        <w:rPr>
          <w:bCs/>
          <w:iCs/>
          <w:sz w:val="22"/>
          <w:szCs w:val="22"/>
        </w:rPr>
        <w:t>σ</w:t>
      </w:r>
      <w:r w:rsidRPr="005C0B80">
        <w:rPr>
          <w:bCs/>
          <w:iCs/>
          <w:sz w:val="22"/>
          <w:szCs w:val="22"/>
        </w:rPr>
        <w:t>φορά του Ελληνικού Δημοσίου στην προστασία της κύριας κατοικίας, τις συντάξεις που εξακολουθ</w:t>
      </w:r>
      <w:r w:rsidRPr="005C0B80">
        <w:rPr>
          <w:bCs/>
          <w:iCs/>
          <w:sz w:val="22"/>
          <w:szCs w:val="22"/>
        </w:rPr>
        <w:t>ο</w:t>
      </w:r>
      <w:r w:rsidRPr="005C0B80">
        <w:rPr>
          <w:bCs/>
          <w:iCs/>
          <w:sz w:val="22"/>
          <w:szCs w:val="22"/>
        </w:rPr>
        <w:t>ύν να πληρώνονται απευθείας από το κράτος, καθώς και τις λοιπές παροχές κοινωνικής πρόνοιας σε είδος και χρήμα. Επιπρόσθετα, περιλαμβάνεται και το σύνολο των πληρωμών του Κοινωνικού Εισ</w:t>
      </w:r>
      <w:r w:rsidRPr="005C0B80">
        <w:rPr>
          <w:bCs/>
          <w:iCs/>
          <w:sz w:val="22"/>
          <w:szCs w:val="22"/>
        </w:rPr>
        <w:t>ο</w:t>
      </w:r>
      <w:r w:rsidRPr="005C0B80">
        <w:rPr>
          <w:bCs/>
          <w:iCs/>
          <w:sz w:val="22"/>
          <w:szCs w:val="22"/>
        </w:rPr>
        <w:t xml:space="preserve">δήματος Αλληλεγγύης (ΚΕΑ) για το 2018, </w:t>
      </w:r>
      <w:r w:rsidR="00612DF2">
        <w:rPr>
          <w:bCs/>
          <w:iCs/>
          <w:sz w:val="22"/>
          <w:szCs w:val="22"/>
        </w:rPr>
        <w:t>ενώ</w:t>
      </w:r>
      <w:r w:rsidRPr="005C0B80">
        <w:rPr>
          <w:bCs/>
          <w:iCs/>
          <w:sz w:val="22"/>
          <w:szCs w:val="22"/>
        </w:rPr>
        <w:t xml:space="preserve"> από το νέο έτος θα γίνεται πλέον μέσω του ΟΠΕΚΑ, ο οποίος θα επιχορηγείται από το κράτος για τον σκοπό αυτό.</w:t>
      </w:r>
    </w:p>
    <w:p w:rsidR="008F0AD4" w:rsidRPr="005C0B80" w:rsidRDefault="008F0AD4" w:rsidP="008F0AD4">
      <w:pPr>
        <w:jc w:val="both"/>
        <w:rPr>
          <w:bCs/>
          <w:iCs/>
          <w:sz w:val="22"/>
          <w:szCs w:val="22"/>
        </w:rPr>
      </w:pPr>
    </w:p>
    <w:p w:rsidR="008F0AD4" w:rsidRPr="005C0B80" w:rsidRDefault="008F0AD4" w:rsidP="008F0AD4">
      <w:pPr>
        <w:jc w:val="both"/>
        <w:rPr>
          <w:bCs/>
          <w:iCs/>
          <w:sz w:val="22"/>
          <w:szCs w:val="22"/>
        </w:rPr>
      </w:pPr>
      <w:r w:rsidRPr="005C0B80">
        <w:rPr>
          <w:bCs/>
          <w:iCs/>
          <w:sz w:val="22"/>
          <w:szCs w:val="22"/>
        </w:rPr>
        <w:t>Οι σχετικές δαπάνες σε ταμειακή βάση εκτιμάται ότι θα διαμορφωθούν στα 1.190 εκατ. ευρώ, αυξ</w:t>
      </w:r>
      <w:r w:rsidRPr="005C0B80">
        <w:rPr>
          <w:bCs/>
          <w:iCs/>
          <w:sz w:val="22"/>
          <w:szCs w:val="22"/>
        </w:rPr>
        <w:t>η</w:t>
      </w:r>
      <w:r w:rsidR="00612DF2">
        <w:rPr>
          <w:bCs/>
          <w:iCs/>
          <w:sz w:val="22"/>
          <w:szCs w:val="22"/>
        </w:rPr>
        <w:t>μένες κατά 28</w:t>
      </w:r>
      <w:r w:rsidRPr="005C0B80">
        <w:rPr>
          <w:bCs/>
          <w:iCs/>
          <w:sz w:val="22"/>
          <w:szCs w:val="22"/>
        </w:rPr>
        <w:t xml:space="preserve"> εκατ. ευρώ έναντι του στόχου του ΜΠΔΣ</w:t>
      </w:r>
      <w:r>
        <w:rPr>
          <w:bCs/>
          <w:iCs/>
          <w:sz w:val="22"/>
          <w:szCs w:val="22"/>
        </w:rPr>
        <w:t xml:space="preserve"> 2019-2022</w:t>
      </w:r>
      <w:r w:rsidR="00612DF2">
        <w:rPr>
          <w:bCs/>
          <w:iCs/>
          <w:sz w:val="22"/>
          <w:szCs w:val="22"/>
        </w:rPr>
        <w:t>,</w:t>
      </w:r>
      <w:r w:rsidRPr="005C0B80">
        <w:rPr>
          <w:bCs/>
          <w:iCs/>
          <w:sz w:val="22"/>
          <w:szCs w:val="22"/>
        </w:rPr>
        <w:t xml:space="preserve"> κυρίως λόγω της ανακατανομής 145 εκατ. ευρώ από την κατηγορία των μεταβιβάσεων για την απευθείας καταβολή του ΚΕΑ από τον Τακτικό Προϋπολογισμό.</w:t>
      </w:r>
    </w:p>
    <w:p w:rsidR="00566189" w:rsidRPr="005D6CBB" w:rsidRDefault="00566189" w:rsidP="00566189">
      <w:pPr>
        <w:jc w:val="both"/>
        <w:rPr>
          <w:bCs/>
          <w:iCs/>
          <w:sz w:val="22"/>
          <w:szCs w:val="22"/>
        </w:rPr>
      </w:pPr>
    </w:p>
    <w:p w:rsidR="00566189" w:rsidRPr="0064589E" w:rsidRDefault="00566189"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 xml:space="preserve">Μεταβιβάσεις </w:t>
      </w:r>
    </w:p>
    <w:p w:rsidR="00566189" w:rsidRPr="005D6CBB" w:rsidRDefault="00566189" w:rsidP="00566189">
      <w:pPr>
        <w:jc w:val="both"/>
        <w:rPr>
          <w:bCs/>
          <w:i/>
          <w:iCs/>
          <w:sz w:val="22"/>
          <w:szCs w:val="22"/>
        </w:rPr>
      </w:pPr>
    </w:p>
    <w:p w:rsidR="008F0AD4" w:rsidRPr="008F0AD4" w:rsidRDefault="008F0AD4" w:rsidP="008F0AD4">
      <w:pPr>
        <w:jc w:val="both"/>
        <w:rPr>
          <w:bCs/>
          <w:iCs/>
          <w:sz w:val="22"/>
          <w:szCs w:val="22"/>
        </w:rPr>
      </w:pPr>
      <w:r w:rsidRPr="008F0AD4">
        <w:rPr>
          <w:bCs/>
          <w:iCs/>
          <w:sz w:val="22"/>
          <w:szCs w:val="22"/>
        </w:rPr>
        <w:t>Οι δαπάνες της κατηγορίας αυτής περιλαμβάνουν επιχορηγήσεις και αποδόσεις σε υποτομείς της Γ</w:t>
      </w:r>
      <w:r w:rsidRPr="008F0AD4">
        <w:rPr>
          <w:bCs/>
          <w:iCs/>
          <w:sz w:val="22"/>
          <w:szCs w:val="22"/>
        </w:rPr>
        <w:t>ε</w:t>
      </w:r>
      <w:r w:rsidRPr="008F0AD4">
        <w:rPr>
          <w:bCs/>
          <w:iCs/>
          <w:sz w:val="22"/>
          <w:szCs w:val="22"/>
        </w:rPr>
        <w:t>νικής Κυβέρνησης, όπως ΟΤΑ, ΟΚΑ, νοσοκομεία και Π</w:t>
      </w:r>
      <w:r w:rsidR="00612DF2">
        <w:rPr>
          <w:bCs/>
          <w:iCs/>
          <w:sz w:val="22"/>
          <w:szCs w:val="22"/>
        </w:rPr>
        <w:t>Φ</w:t>
      </w:r>
      <w:r w:rsidRPr="008F0AD4">
        <w:rPr>
          <w:bCs/>
          <w:iCs/>
          <w:sz w:val="22"/>
          <w:szCs w:val="22"/>
        </w:rPr>
        <w:t>Υ, και σε φορείς εκτός Γενικής Κυβέρν</w:t>
      </w:r>
      <w:r w:rsidRPr="008F0AD4">
        <w:rPr>
          <w:bCs/>
          <w:iCs/>
          <w:sz w:val="22"/>
          <w:szCs w:val="22"/>
        </w:rPr>
        <w:t>η</w:t>
      </w:r>
      <w:r w:rsidRPr="008F0AD4">
        <w:rPr>
          <w:bCs/>
          <w:iCs/>
          <w:sz w:val="22"/>
          <w:szCs w:val="22"/>
        </w:rPr>
        <w:t>σης, οργανισμούς του εξωτερικού</w:t>
      </w:r>
      <w:r w:rsidR="00041F10">
        <w:rPr>
          <w:bCs/>
          <w:iCs/>
          <w:sz w:val="22"/>
          <w:szCs w:val="22"/>
        </w:rPr>
        <w:t>,</w:t>
      </w:r>
      <w:r w:rsidRPr="008F0AD4">
        <w:rPr>
          <w:bCs/>
          <w:iCs/>
          <w:sz w:val="22"/>
          <w:szCs w:val="22"/>
        </w:rPr>
        <w:t xml:space="preserve"> καθώς και την Ευρωπαϊκή Ένωση. </w:t>
      </w:r>
      <w:r w:rsidR="00612DF2">
        <w:rPr>
          <w:bCs/>
          <w:iCs/>
          <w:sz w:val="22"/>
          <w:szCs w:val="22"/>
        </w:rPr>
        <w:t>Επίσης,</w:t>
      </w:r>
      <w:r w:rsidRPr="008F0AD4">
        <w:rPr>
          <w:bCs/>
          <w:iCs/>
          <w:sz w:val="22"/>
          <w:szCs w:val="22"/>
        </w:rPr>
        <w:t xml:space="preserve"> περιλαμβάνονται οι </w:t>
      </w:r>
      <w:r w:rsidRPr="008F0AD4">
        <w:rPr>
          <w:bCs/>
          <w:iCs/>
          <w:sz w:val="22"/>
          <w:szCs w:val="22"/>
        </w:rPr>
        <w:t>ε</w:t>
      </w:r>
      <w:r w:rsidRPr="008F0AD4">
        <w:rPr>
          <w:bCs/>
          <w:iCs/>
          <w:sz w:val="22"/>
          <w:szCs w:val="22"/>
        </w:rPr>
        <w:t>πιχορηγήσεις για επενδύσεις, οι καταπτώσεις εγγυήσεων, οι αναλήψεις χρεών φορέων Γενικής Κ</w:t>
      </w:r>
      <w:r w:rsidRPr="008F0AD4">
        <w:rPr>
          <w:bCs/>
          <w:iCs/>
          <w:sz w:val="22"/>
          <w:szCs w:val="22"/>
        </w:rPr>
        <w:t>υ</w:t>
      </w:r>
      <w:r w:rsidRPr="008F0AD4">
        <w:rPr>
          <w:bCs/>
          <w:iCs/>
          <w:sz w:val="22"/>
          <w:szCs w:val="22"/>
        </w:rPr>
        <w:t>βέρνησης, καθώς και οι αποζημιώσεις λόγω δικαστικών αποφάσεων.</w:t>
      </w:r>
    </w:p>
    <w:p w:rsidR="008F0AD4" w:rsidRPr="008F0AD4" w:rsidRDefault="008F0AD4" w:rsidP="008F0AD4">
      <w:pPr>
        <w:jc w:val="both"/>
        <w:rPr>
          <w:bCs/>
          <w:iCs/>
          <w:sz w:val="22"/>
          <w:szCs w:val="22"/>
        </w:rPr>
      </w:pPr>
    </w:p>
    <w:p w:rsidR="008F0AD4" w:rsidRPr="008F0AD4" w:rsidRDefault="008F0AD4" w:rsidP="008F0AD4">
      <w:pPr>
        <w:jc w:val="both"/>
        <w:rPr>
          <w:bCs/>
          <w:iCs/>
          <w:sz w:val="22"/>
          <w:szCs w:val="22"/>
        </w:rPr>
      </w:pPr>
      <w:r w:rsidRPr="008F0AD4">
        <w:rPr>
          <w:bCs/>
          <w:iCs/>
          <w:sz w:val="22"/>
          <w:szCs w:val="22"/>
        </w:rPr>
        <w:t>Οι δαπάνες αυτές σε ταμειακή βάση εκτιμάται ότι θα διαμορφωθούν στα 26.470 εκατ. ευρώ, αυξημ</w:t>
      </w:r>
      <w:r w:rsidRPr="008F0AD4">
        <w:rPr>
          <w:bCs/>
          <w:iCs/>
          <w:sz w:val="22"/>
          <w:szCs w:val="22"/>
        </w:rPr>
        <w:t>έ</w:t>
      </w:r>
      <w:r w:rsidRPr="008F0AD4">
        <w:rPr>
          <w:bCs/>
          <w:iCs/>
          <w:sz w:val="22"/>
          <w:szCs w:val="22"/>
        </w:rPr>
        <w:t>νες κατά 828 εκατ. ευρώ, έναντι του στόχου του ΜΠΔΣ</w:t>
      </w:r>
      <w:r>
        <w:rPr>
          <w:bCs/>
          <w:iCs/>
          <w:sz w:val="22"/>
          <w:szCs w:val="22"/>
        </w:rPr>
        <w:t xml:space="preserve"> 2019-2022</w:t>
      </w:r>
      <w:r w:rsidRPr="008F0AD4">
        <w:rPr>
          <w:bCs/>
          <w:iCs/>
          <w:sz w:val="22"/>
          <w:szCs w:val="22"/>
        </w:rPr>
        <w:t xml:space="preserve">, κυρίως λόγω της αύξησης της </w:t>
      </w:r>
      <w:r w:rsidRPr="008F0AD4">
        <w:rPr>
          <w:bCs/>
          <w:iCs/>
          <w:sz w:val="22"/>
          <w:szCs w:val="22"/>
        </w:rPr>
        <w:t>ε</w:t>
      </w:r>
      <w:r w:rsidR="00612DF2">
        <w:rPr>
          <w:bCs/>
          <w:iCs/>
          <w:sz w:val="22"/>
          <w:szCs w:val="22"/>
        </w:rPr>
        <w:t>πιχορήγησης του Ε</w:t>
      </w:r>
      <w:r w:rsidRPr="008F0AD4">
        <w:rPr>
          <w:bCs/>
          <w:iCs/>
          <w:sz w:val="22"/>
          <w:szCs w:val="22"/>
        </w:rPr>
        <w:t>Φ</w:t>
      </w:r>
      <w:r w:rsidR="00612DF2">
        <w:rPr>
          <w:bCs/>
          <w:iCs/>
          <w:sz w:val="22"/>
          <w:szCs w:val="22"/>
        </w:rPr>
        <w:t>Κ</w:t>
      </w:r>
      <w:r w:rsidRPr="008F0AD4">
        <w:rPr>
          <w:bCs/>
          <w:iCs/>
          <w:sz w:val="22"/>
          <w:szCs w:val="22"/>
        </w:rPr>
        <w:t>Α για την καταβολή εφάπαξ χρηματικού ποσού σε συνταξιούχους κατά τα προβλεπόμενα του άρθρου 15 του ν. 4575/2018.</w:t>
      </w:r>
    </w:p>
    <w:p w:rsidR="00B164E2" w:rsidRDefault="00B164E2" w:rsidP="00566189">
      <w:pPr>
        <w:jc w:val="both"/>
        <w:rPr>
          <w:bCs/>
          <w:iCs/>
          <w:sz w:val="22"/>
          <w:szCs w:val="22"/>
        </w:rPr>
      </w:pPr>
    </w:p>
    <w:p w:rsidR="0097301E" w:rsidRDefault="00B164E2" w:rsidP="00566189">
      <w:pPr>
        <w:jc w:val="both"/>
        <w:rPr>
          <w:bCs/>
          <w:iCs/>
          <w:sz w:val="22"/>
          <w:szCs w:val="22"/>
        </w:rPr>
      </w:pPr>
      <w:r>
        <w:rPr>
          <w:bCs/>
          <w:iCs/>
          <w:sz w:val="22"/>
          <w:szCs w:val="22"/>
        </w:rPr>
        <w:t xml:space="preserve">Στον πίνακα </w:t>
      </w:r>
      <w:r w:rsidR="00DF616A" w:rsidRPr="00DF616A">
        <w:rPr>
          <w:bCs/>
          <w:iCs/>
          <w:sz w:val="22"/>
          <w:szCs w:val="22"/>
        </w:rPr>
        <w:t>3.5</w:t>
      </w:r>
      <w:r>
        <w:rPr>
          <w:bCs/>
          <w:iCs/>
          <w:sz w:val="22"/>
          <w:szCs w:val="22"/>
        </w:rPr>
        <w:t xml:space="preserve"> γίνεται ανάλυση των μεταβιβάσεων σε φορείς εντός </w:t>
      </w:r>
      <w:r w:rsidR="00612DF2">
        <w:rPr>
          <w:bCs/>
          <w:iCs/>
          <w:sz w:val="22"/>
          <w:szCs w:val="22"/>
        </w:rPr>
        <w:t xml:space="preserve">και εκτός </w:t>
      </w:r>
      <w:r>
        <w:rPr>
          <w:bCs/>
          <w:iCs/>
          <w:sz w:val="22"/>
          <w:szCs w:val="22"/>
        </w:rPr>
        <w:t>Γενικής Κυβέρνησης.</w:t>
      </w:r>
    </w:p>
    <w:p w:rsidR="0097301E" w:rsidRDefault="0097301E">
      <w:pPr>
        <w:rPr>
          <w:bCs/>
          <w:iCs/>
          <w:sz w:val="22"/>
          <w:szCs w:val="22"/>
        </w:rPr>
      </w:pPr>
    </w:p>
    <w:tbl>
      <w:tblPr>
        <w:tblW w:w="9867" w:type="dxa"/>
        <w:jc w:val="center"/>
        <w:tblCellMar>
          <w:left w:w="28" w:type="dxa"/>
          <w:right w:w="28" w:type="dxa"/>
        </w:tblCellMar>
        <w:tblLook w:val="04A0"/>
      </w:tblPr>
      <w:tblGrid>
        <w:gridCol w:w="293"/>
        <w:gridCol w:w="355"/>
        <w:gridCol w:w="1964"/>
        <w:gridCol w:w="320"/>
        <w:gridCol w:w="2195"/>
        <w:gridCol w:w="737"/>
        <w:gridCol w:w="628"/>
        <w:gridCol w:w="729"/>
        <w:gridCol w:w="628"/>
        <w:gridCol w:w="794"/>
        <w:gridCol w:w="628"/>
        <w:gridCol w:w="596"/>
      </w:tblGrid>
      <w:tr w:rsidR="008A3DC2" w:rsidRPr="002E2CB0" w:rsidTr="0097301E">
        <w:trPr>
          <w:trHeight w:val="454"/>
          <w:jc w:val="center"/>
        </w:trPr>
        <w:tc>
          <w:tcPr>
            <w:tcW w:w="9867" w:type="dxa"/>
            <w:gridSpan w:val="12"/>
            <w:tcBorders>
              <w:top w:val="single" w:sz="4" w:space="0" w:color="auto"/>
              <w:left w:val="single" w:sz="4" w:space="0" w:color="auto"/>
              <w:bottom w:val="single" w:sz="4" w:space="0" w:color="auto"/>
              <w:right w:val="single" w:sz="4" w:space="0" w:color="000000"/>
            </w:tcBorders>
            <w:shd w:val="clear" w:color="auto" w:fill="404040" w:themeFill="text1" w:themeFillTint="BF"/>
            <w:vAlign w:val="bottom"/>
            <w:hideMark/>
          </w:tcPr>
          <w:p w:rsidR="00612DF2" w:rsidRDefault="00DF616A" w:rsidP="0097301E">
            <w:pPr>
              <w:spacing w:before="60" w:after="60"/>
              <w:jc w:val="center"/>
              <w:rPr>
                <w:rFonts w:ascii="Arial Narrow" w:hAnsi="Arial Narrow"/>
                <w:b/>
                <w:bCs/>
                <w:color w:val="FFFFFF" w:themeColor="background1"/>
              </w:rPr>
            </w:pPr>
            <w:r>
              <w:rPr>
                <w:rFonts w:ascii="Arial Narrow" w:hAnsi="Arial Narrow"/>
                <w:b/>
                <w:bCs/>
                <w:color w:val="FFFFFF" w:themeColor="background1"/>
              </w:rPr>
              <w:t>Πίνακας 3.5</w:t>
            </w:r>
            <w:r w:rsidR="008A3DC2" w:rsidRPr="002E2CB0">
              <w:rPr>
                <w:rFonts w:ascii="Arial Narrow" w:hAnsi="Arial Narrow"/>
                <w:b/>
                <w:bCs/>
                <w:color w:val="FFFFFF" w:themeColor="background1"/>
              </w:rPr>
              <w:t xml:space="preserve">  Μεταβιβάσεις σε φορείς εντός και εκτός της Γενικής Κυβέρνησης</w:t>
            </w:r>
          </w:p>
          <w:p w:rsidR="008A3DC2" w:rsidRPr="002E2CB0" w:rsidRDefault="00612DF2" w:rsidP="00612DF2">
            <w:pPr>
              <w:jc w:val="center"/>
              <w:rPr>
                <w:rFonts w:ascii="Arial Narrow" w:hAnsi="Arial Narrow"/>
                <w:color w:val="FFFFFF" w:themeColor="background1"/>
              </w:rPr>
            </w:pPr>
            <w:r>
              <w:rPr>
                <w:rFonts w:ascii="Arial Narrow" w:hAnsi="Arial Narrow"/>
                <w:b/>
                <w:bCs/>
                <w:color w:val="FFFFFF" w:themeColor="background1"/>
              </w:rPr>
              <w:t>από τον Τακτικό Προϋπολογισμό</w:t>
            </w:r>
            <w:r w:rsidR="008A3DC2" w:rsidRPr="002E2CB0">
              <w:rPr>
                <w:rFonts w:ascii="Arial Narrow" w:hAnsi="Arial Narrow"/>
                <w:b/>
                <w:bCs/>
                <w:color w:val="FFFFFF" w:themeColor="background1"/>
              </w:rPr>
              <w:t xml:space="preserve"> </w:t>
            </w:r>
            <w:r w:rsidR="008A3DC2" w:rsidRPr="002E2CB0">
              <w:rPr>
                <w:rFonts w:ascii="Arial Narrow" w:hAnsi="Arial Narrow"/>
                <w:color w:val="FFFFFF" w:themeColor="background1"/>
              </w:rPr>
              <w:br/>
            </w:r>
            <w:r w:rsidR="008A3DC2" w:rsidRPr="002E2CB0">
              <w:rPr>
                <w:rFonts w:ascii="Arial Narrow" w:hAnsi="Arial Narrow"/>
                <w:b/>
                <w:iCs/>
                <w:color w:val="FFFFFF" w:themeColor="background1"/>
              </w:rPr>
              <w:t>(σε εκατ. ευρώ)</w:t>
            </w:r>
          </w:p>
        </w:tc>
      </w:tr>
      <w:tr w:rsidR="008A3DC2" w:rsidRPr="002E2CB0" w:rsidTr="00764E1A">
        <w:trPr>
          <w:trHeight w:val="227"/>
          <w:jc w:val="center"/>
        </w:trPr>
        <w:tc>
          <w:tcPr>
            <w:tcW w:w="9867" w:type="dxa"/>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8A3DC2" w:rsidRPr="002E2CB0" w:rsidRDefault="008A3DC2" w:rsidP="00764E1A">
            <w:pPr>
              <w:jc w:val="center"/>
              <w:rPr>
                <w:rFonts w:ascii="Arial Narrow" w:hAnsi="Arial Narrow"/>
                <w:b/>
                <w:bCs/>
              </w:rPr>
            </w:pPr>
          </w:p>
        </w:tc>
      </w:tr>
      <w:tr w:rsidR="008A3DC2" w:rsidRPr="002E2CB0" w:rsidTr="00764E1A">
        <w:trPr>
          <w:trHeight w:val="227"/>
          <w:jc w:val="center"/>
        </w:trPr>
        <w:tc>
          <w:tcPr>
            <w:tcW w:w="5127"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2017</w:t>
            </w:r>
          </w:p>
        </w:tc>
        <w:tc>
          <w:tcPr>
            <w:tcW w:w="13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2018</w:t>
            </w:r>
          </w:p>
        </w:tc>
        <w:tc>
          <w:tcPr>
            <w:tcW w:w="142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2019</w:t>
            </w:r>
          </w:p>
        </w:tc>
        <w:tc>
          <w:tcPr>
            <w:tcW w:w="122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Μεταβολή   %</w:t>
            </w:r>
          </w:p>
        </w:tc>
      </w:tr>
      <w:tr w:rsidR="008A3DC2" w:rsidRPr="002E2CB0" w:rsidTr="00764E1A">
        <w:trPr>
          <w:trHeight w:val="227"/>
          <w:jc w:val="center"/>
        </w:trPr>
        <w:tc>
          <w:tcPr>
            <w:tcW w:w="5127" w:type="dxa"/>
            <w:gridSpan w:val="5"/>
            <w:vMerge/>
            <w:tcBorders>
              <w:top w:val="single" w:sz="4" w:space="0" w:color="auto"/>
              <w:left w:val="single" w:sz="4" w:space="0" w:color="auto"/>
              <w:bottom w:val="single" w:sz="4" w:space="0" w:color="000000"/>
              <w:right w:val="single" w:sz="4" w:space="0" w:color="000000"/>
            </w:tcBorders>
            <w:vAlign w:val="center"/>
            <w:hideMark/>
          </w:tcPr>
          <w:p w:rsidR="008A3DC2" w:rsidRPr="002E2CB0" w:rsidRDefault="008A3DC2" w:rsidP="00764E1A">
            <w:pPr>
              <w:rPr>
                <w:rFonts w:ascii="Arial Narrow" w:hAnsi="Arial Narrow"/>
                <w:color w:val="000000"/>
                <w:sz w:val="16"/>
                <w:szCs w:val="16"/>
              </w:rPr>
            </w:pPr>
          </w:p>
        </w:tc>
        <w:tc>
          <w:tcPr>
            <w:tcW w:w="737" w:type="dxa"/>
            <w:tcBorders>
              <w:top w:val="nil"/>
              <w:left w:val="single" w:sz="4" w:space="0" w:color="auto"/>
              <w:bottom w:val="single" w:sz="4" w:space="0" w:color="auto"/>
              <w:right w:val="single" w:sz="4" w:space="0" w:color="auto"/>
            </w:tcBorders>
            <w:shd w:val="clear" w:color="000000" w:fill="FFFFFF"/>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Πραγματο-</w:t>
            </w:r>
            <w:r w:rsidRPr="002E2CB0">
              <w:rPr>
                <w:rFonts w:ascii="Arial Narrow" w:hAnsi="Arial Narrow"/>
                <w:b/>
                <w:bCs/>
                <w:sz w:val="16"/>
                <w:szCs w:val="16"/>
              </w:rPr>
              <w:br/>
              <w:t>ποιήσεις</w:t>
            </w:r>
          </w:p>
        </w:tc>
        <w:tc>
          <w:tcPr>
            <w:tcW w:w="628" w:type="dxa"/>
            <w:tcBorders>
              <w:top w:val="nil"/>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ΜΠΔΣ</w:t>
            </w:r>
          </w:p>
        </w:tc>
        <w:tc>
          <w:tcPr>
            <w:tcW w:w="729" w:type="dxa"/>
            <w:tcBorders>
              <w:top w:val="nil"/>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Εκτιμήσεις</w:t>
            </w:r>
          </w:p>
        </w:tc>
        <w:tc>
          <w:tcPr>
            <w:tcW w:w="628" w:type="dxa"/>
            <w:tcBorders>
              <w:top w:val="nil"/>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ΜΠΔΣ</w:t>
            </w:r>
          </w:p>
        </w:tc>
        <w:tc>
          <w:tcPr>
            <w:tcW w:w="794" w:type="dxa"/>
            <w:tcBorders>
              <w:top w:val="nil"/>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Προβλέψεις</w:t>
            </w:r>
          </w:p>
        </w:tc>
        <w:tc>
          <w:tcPr>
            <w:tcW w:w="628" w:type="dxa"/>
            <w:tcBorders>
              <w:top w:val="nil"/>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2018/17</w:t>
            </w:r>
          </w:p>
        </w:tc>
        <w:tc>
          <w:tcPr>
            <w:tcW w:w="596" w:type="dxa"/>
            <w:tcBorders>
              <w:top w:val="nil"/>
              <w:left w:val="nil"/>
              <w:bottom w:val="single" w:sz="4" w:space="0" w:color="auto"/>
              <w:righ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2019/18</w:t>
            </w:r>
          </w:p>
        </w:tc>
      </w:tr>
      <w:tr w:rsidR="008A3DC2" w:rsidRPr="002E2CB0" w:rsidTr="00764E1A">
        <w:trPr>
          <w:trHeight w:val="227"/>
          <w:jc w:val="center"/>
        </w:trPr>
        <w:tc>
          <w:tcPr>
            <w:tcW w:w="9867" w:type="dxa"/>
            <w:gridSpan w:val="12"/>
            <w:tcBorders>
              <w:top w:val="nil"/>
              <w:left w:val="single" w:sz="4" w:space="0" w:color="auto"/>
              <w:bottom w:val="single" w:sz="4" w:space="0" w:color="auto"/>
              <w:right w:val="single" w:sz="4" w:space="0" w:color="000000"/>
            </w:tcBorders>
            <w:shd w:val="clear" w:color="000000" w:fill="BFBFBF"/>
            <w:noWrap/>
            <w:vAlign w:val="center"/>
            <w:hideMark/>
          </w:tcPr>
          <w:p w:rsidR="008A3DC2" w:rsidRPr="002E2CB0" w:rsidRDefault="008A3DC2" w:rsidP="00612DF2">
            <w:pPr>
              <w:spacing w:before="60" w:after="60"/>
              <w:jc w:val="center"/>
              <w:rPr>
                <w:rFonts w:ascii="Arial Narrow" w:hAnsi="Arial Narrow"/>
                <w:b/>
                <w:bCs/>
                <w:color w:val="000000"/>
                <w:sz w:val="16"/>
                <w:szCs w:val="16"/>
              </w:rPr>
            </w:pPr>
            <w:r w:rsidRPr="002E2CB0">
              <w:rPr>
                <w:rFonts w:ascii="Arial Narrow" w:hAnsi="Arial Narrow"/>
                <w:b/>
                <w:bCs/>
                <w:color w:val="000000"/>
                <w:sz w:val="16"/>
                <w:szCs w:val="16"/>
              </w:rPr>
              <w:t>Μεταβιβάσεις φορέων εντός Γενικής Κυβέρνησης</w:t>
            </w:r>
          </w:p>
        </w:tc>
      </w:tr>
      <w:tr w:rsidR="008A3DC2" w:rsidRPr="002E2CB0" w:rsidTr="0097301E">
        <w:trPr>
          <w:trHeight w:val="215"/>
          <w:jc w:val="center"/>
        </w:trPr>
        <w:tc>
          <w:tcPr>
            <w:tcW w:w="293" w:type="dxa"/>
            <w:tcBorders>
              <w:top w:val="single" w:sz="4" w:space="0" w:color="auto"/>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color w:val="000000"/>
                <w:sz w:val="16"/>
                <w:szCs w:val="16"/>
              </w:rPr>
            </w:pPr>
            <w:r w:rsidRPr="002E2CB0">
              <w:rPr>
                <w:rFonts w:ascii="Arial Narrow" w:hAnsi="Arial Narrow"/>
                <w:b/>
                <w:bCs/>
                <w:color w:val="000000"/>
                <w:sz w:val="16"/>
                <w:szCs w:val="16"/>
              </w:rPr>
              <w:t>1</w:t>
            </w:r>
          </w:p>
        </w:tc>
        <w:tc>
          <w:tcPr>
            <w:tcW w:w="4834" w:type="dxa"/>
            <w:gridSpan w:val="4"/>
            <w:tcBorders>
              <w:top w:val="single" w:sz="4" w:space="0" w:color="auto"/>
            </w:tcBorders>
            <w:shd w:val="clear" w:color="000000" w:fill="FFFFFF"/>
            <w:vAlign w:val="center"/>
            <w:hideMark/>
          </w:tcPr>
          <w:p w:rsidR="008A3DC2" w:rsidRPr="002E2CB0" w:rsidRDefault="008A3DC2" w:rsidP="00764E1A">
            <w:pPr>
              <w:rPr>
                <w:rFonts w:ascii="Arial Narrow" w:hAnsi="Arial Narrow"/>
                <w:b/>
                <w:bCs/>
                <w:color w:val="000000"/>
                <w:sz w:val="16"/>
                <w:szCs w:val="16"/>
              </w:rPr>
            </w:pPr>
            <w:r w:rsidRPr="002E2CB0">
              <w:rPr>
                <w:rFonts w:ascii="Arial Narrow" w:hAnsi="Arial Narrow"/>
                <w:b/>
                <w:bCs/>
                <w:color w:val="000000"/>
                <w:sz w:val="16"/>
                <w:szCs w:val="16"/>
              </w:rPr>
              <w:t>Τρέχουσες εγχώριες μεταβιβάσεις (1α+1β+1γ+1δ)</w:t>
            </w:r>
          </w:p>
        </w:tc>
        <w:tc>
          <w:tcPr>
            <w:tcW w:w="737"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22.201</w:t>
            </w:r>
          </w:p>
        </w:tc>
        <w:tc>
          <w:tcPr>
            <w:tcW w:w="628"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20.598</w:t>
            </w:r>
          </w:p>
        </w:tc>
        <w:tc>
          <w:tcPr>
            <w:tcW w:w="729"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Pr>
                <w:rFonts w:ascii="Arial Narrow" w:hAnsi="Arial Narrow"/>
                <w:b/>
                <w:bCs/>
                <w:color w:val="000000"/>
                <w:sz w:val="16"/>
                <w:szCs w:val="16"/>
              </w:rPr>
              <w:t>21.</w:t>
            </w:r>
            <w:r w:rsidR="00F47532">
              <w:rPr>
                <w:rFonts w:ascii="Arial Narrow" w:hAnsi="Arial Narrow"/>
                <w:b/>
                <w:bCs/>
                <w:color w:val="000000"/>
                <w:sz w:val="16"/>
                <w:szCs w:val="16"/>
              </w:rPr>
              <w:t>108</w:t>
            </w:r>
          </w:p>
        </w:tc>
        <w:tc>
          <w:tcPr>
            <w:tcW w:w="628"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19.111</w:t>
            </w:r>
          </w:p>
        </w:tc>
        <w:tc>
          <w:tcPr>
            <w:tcW w:w="794"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2</w:t>
            </w:r>
            <w:r w:rsidR="00F47532">
              <w:rPr>
                <w:rFonts w:ascii="Arial Narrow" w:hAnsi="Arial Narrow"/>
                <w:b/>
                <w:bCs/>
                <w:color w:val="000000"/>
                <w:sz w:val="16"/>
                <w:szCs w:val="16"/>
              </w:rPr>
              <w:t>1.368</w:t>
            </w:r>
          </w:p>
        </w:tc>
        <w:tc>
          <w:tcPr>
            <w:tcW w:w="628" w:type="dxa"/>
            <w:tcBorders>
              <w:top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Pr>
                <w:rFonts w:ascii="Arial Narrow" w:hAnsi="Arial Narrow"/>
                <w:b/>
                <w:bCs/>
                <w:color w:val="000000"/>
                <w:sz w:val="16"/>
                <w:szCs w:val="16"/>
              </w:rPr>
              <w:t>-4,</w:t>
            </w:r>
            <w:r w:rsidR="009E10E2">
              <w:rPr>
                <w:rFonts w:ascii="Arial Narrow" w:hAnsi="Arial Narrow"/>
                <w:b/>
                <w:bCs/>
                <w:color w:val="000000"/>
                <w:sz w:val="16"/>
                <w:szCs w:val="16"/>
              </w:rPr>
              <w:t>9</w:t>
            </w:r>
          </w:p>
        </w:tc>
        <w:tc>
          <w:tcPr>
            <w:tcW w:w="596" w:type="dxa"/>
            <w:tcBorders>
              <w:top w:val="single" w:sz="4" w:space="0" w:color="auto"/>
              <w:right w:val="single" w:sz="4" w:space="0" w:color="auto"/>
            </w:tcBorders>
            <w:shd w:val="clear" w:color="000000" w:fill="FFFFFF"/>
            <w:noWrap/>
            <w:vAlign w:val="center"/>
            <w:hideMark/>
          </w:tcPr>
          <w:p w:rsidR="008A3DC2" w:rsidRPr="002E2CB0" w:rsidRDefault="009E10E2" w:rsidP="00764E1A">
            <w:pPr>
              <w:ind w:right="113"/>
              <w:jc w:val="right"/>
              <w:rPr>
                <w:rFonts w:ascii="Arial Narrow" w:hAnsi="Arial Narrow"/>
                <w:b/>
                <w:bCs/>
                <w:color w:val="000000"/>
                <w:sz w:val="16"/>
                <w:szCs w:val="16"/>
              </w:rPr>
            </w:pPr>
            <w:r>
              <w:rPr>
                <w:rFonts w:ascii="Arial Narrow" w:hAnsi="Arial Narrow"/>
                <w:b/>
                <w:bCs/>
                <w:color w:val="000000"/>
                <w:sz w:val="16"/>
                <w:szCs w:val="16"/>
              </w:rPr>
              <w:t>1,2</w:t>
            </w:r>
          </w:p>
        </w:tc>
      </w:tr>
      <w:tr w:rsidR="008A3DC2" w:rsidRPr="002E2CB0" w:rsidTr="0097301E">
        <w:trPr>
          <w:trHeight w:val="215"/>
          <w:jc w:val="center"/>
        </w:trPr>
        <w:tc>
          <w:tcPr>
            <w:tcW w:w="293" w:type="dxa"/>
            <w:tcBorders>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 </w:t>
            </w:r>
          </w:p>
        </w:tc>
        <w:tc>
          <w:tcPr>
            <w:tcW w:w="355" w:type="dxa"/>
            <w:shd w:val="clear" w:color="000000" w:fill="FFFFFF"/>
            <w:noWrap/>
            <w:vAlign w:val="center"/>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1α</w:t>
            </w:r>
          </w:p>
        </w:tc>
        <w:tc>
          <w:tcPr>
            <w:tcW w:w="4479" w:type="dxa"/>
            <w:gridSpan w:val="3"/>
            <w:shd w:val="clear" w:color="000000" w:fill="FFFFFF"/>
            <w:vAlign w:val="center"/>
            <w:hideMark/>
          </w:tcPr>
          <w:p w:rsidR="008A3DC2" w:rsidRPr="002E2CB0" w:rsidRDefault="008A3DC2" w:rsidP="00764E1A">
            <w:pPr>
              <w:rPr>
                <w:rFonts w:ascii="Arial Narrow" w:hAnsi="Arial Narrow"/>
                <w:color w:val="000000"/>
                <w:sz w:val="16"/>
                <w:szCs w:val="16"/>
              </w:rPr>
            </w:pPr>
            <w:r w:rsidRPr="002E2CB0">
              <w:rPr>
                <w:rFonts w:ascii="Arial Narrow" w:hAnsi="Arial Narrow"/>
                <w:color w:val="000000"/>
                <w:sz w:val="16"/>
                <w:szCs w:val="16"/>
              </w:rPr>
              <w:t xml:space="preserve">Μεταβιβάσεις στην Κεντρική Διοίκηση </w:t>
            </w:r>
          </w:p>
        </w:tc>
        <w:tc>
          <w:tcPr>
            <w:tcW w:w="737" w:type="dxa"/>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0</w:t>
            </w:r>
          </w:p>
        </w:tc>
        <w:tc>
          <w:tcPr>
            <w:tcW w:w="628" w:type="dxa"/>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2</w:t>
            </w:r>
          </w:p>
        </w:tc>
        <w:tc>
          <w:tcPr>
            <w:tcW w:w="729" w:type="dxa"/>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2</w:t>
            </w:r>
          </w:p>
        </w:tc>
        <w:tc>
          <w:tcPr>
            <w:tcW w:w="628" w:type="dxa"/>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2</w:t>
            </w:r>
          </w:p>
        </w:tc>
        <w:tc>
          <w:tcPr>
            <w:tcW w:w="794" w:type="dxa"/>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2</w:t>
            </w:r>
          </w:p>
        </w:tc>
        <w:tc>
          <w:tcPr>
            <w:tcW w:w="628" w:type="dxa"/>
            <w:shd w:val="clear" w:color="000000" w:fill="FFFFFF"/>
            <w:noWrap/>
            <w:vAlign w:val="center"/>
            <w:hideMark/>
          </w:tcPr>
          <w:p w:rsidR="008A3DC2" w:rsidRPr="002E2CB0" w:rsidRDefault="008A3DC2" w:rsidP="00764E1A">
            <w:pPr>
              <w:ind w:right="113"/>
              <w:jc w:val="right"/>
              <w:rPr>
                <w:rFonts w:ascii="Arial Narrow" w:hAnsi="Arial Narrow"/>
                <w:color w:val="000000"/>
                <w:sz w:val="16"/>
                <w:szCs w:val="16"/>
              </w:rPr>
            </w:pPr>
            <w:r w:rsidRPr="002E2CB0">
              <w:rPr>
                <w:rFonts w:ascii="Arial Narrow" w:hAnsi="Arial Narrow"/>
                <w:color w:val="000000"/>
                <w:sz w:val="16"/>
                <w:szCs w:val="16"/>
              </w:rPr>
              <w:t>405,1</w:t>
            </w:r>
          </w:p>
        </w:tc>
        <w:tc>
          <w:tcPr>
            <w:tcW w:w="596" w:type="dxa"/>
            <w:tcBorders>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color w:val="000000"/>
                <w:sz w:val="16"/>
                <w:szCs w:val="16"/>
              </w:rPr>
            </w:pPr>
            <w:r w:rsidRPr="002E2CB0">
              <w:rPr>
                <w:rFonts w:ascii="Arial Narrow" w:hAnsi="Arial Narrow"/>
                <w:color w:val="000000"/>
                <w:sz w:val="16"/>
                <w:szCs w:val="16"/>
              </w:rPr>
              <w:t>0,0</w:t>
            </w:r>
          </w:p>
        </w:tc>
      </w:tr>
      <w:tr w:rsidR="008A3DC2" w:rsidRPr="002E2CB0" w:rsidTr="0097301E">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 </w:t>
            </w:r>
          </w:p>
        </w:tc>
        <w:tc>
          <w:tcPr>
            <w:tcW w:w="355" w:type="dxa"/>
            <w:tcBorders>
              <w:top w:val="nil"/>
            </w:tcBorders>
            <w:shd w:val="clear" w:color="000000" w:fill="FFFFFF"/>
            <w:noWrap/>
            <w:vAlign w:val="center"/>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1β</w:t>
            </w:r>
          </w:p>
        </w:tc>
        <w:tc>
          <w:tcPr>
            <w:tcW w:w="4479" w:type="dxa"/>
            <w:gridSpan w:val="3"/>
            <w:tcBorders>
              <w:top w:val="nil"/>
            </w:tcBorders>
            <w:shd w:val="clear" w:color="000000" w:fill="FFFFFF"/>
            <w:vAlign w:val="center"/>
            <w:hideMark/>
          </w:tcPr>
          <w:p w:rsidR="008A3DC2" w:rsidRPr="002E2CB0" w:rsidRDefault="008A3DC2" w:rsidP="006B48DC">
            <w:pPr>
              <w:rPr>
                <w:rFonts w:ascii="Arial Narrow" w:hAnsi="Arial Narrow"/>
                <w:color w:val="000000"/>
                <w:sz w:val="16"/>
                <w:szCs w:val="16"/>
              </w:rPr>
            </w:pPr>
            <w:r w:rsidRPr="002E2CB0">
              <w:rPr>
                <w:rFonts w:ascii="Arial Narrow" w:hAnsi="Arial Narrow"/>
                <w:color w:val="000000"/>
                <w:sz w:val="16"/>
                <w:szCs w:val="16"/>
              </w:rPr>
              <w:t>Μεταβιβάσεις σε νοσοκομεία &amp; Π</w:t>
            </w:r>
            <w:r w:rsidR="00612DF2">
              <w:rPr>
                <w:rFonts w:ascii="Arial Narrow" w:hAnsi="Arial Narrow"/>
                <w:color w:val="000000"/>
                <w:sz w:val="16"/>
                <w:szCs w:val="16"/>
              </w:rPr>
              <w:t>Φ</w:t>
            </w:r>
            <w:r w:rsidRPr="002E2CB0">
              <w:rPr>
                <w:rFonts w:ascii="Arial Narrow" w:hAnsi="Arial Narrow"/>
                <w:color w:val="000000"/>
                <w:sz w:val="16"/>
                <w:szCs w:val="16"/>
              </w:rPr>
              <w:t>Υ</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1.689</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1.273</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1.2</w:t>
            </w:r>
            <w:r w:rsidR="00F47532">
              <w:rPr>
                <w:rFonts w:ascii="Arial Narrow" w:hAnsi="Arial Narrow"/>
                <w:color w:val="000000"/>
                <w:sz w:val="16"/>
                <w:szCs w:val="16"/>
              </w:rPr>
              <w:t>92</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1.274</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1.280</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color w:val="000000"/>
                <w:sz w:val="16"/>
                <w:szCs w:val="16"/>
              </w:rPr>
            </w:pPr>
            <w:r w:rsidRPr="002E2CB0">
              <w:rPr>
                <w:rFonts w:ascii="Arial Narrow" w:hAnsi="Arial Narrow"/>
                <w:color w:val="000000"/>
                <w:sz w:val="16"/>
                <w:szCs w:val="16"/>
              </w:rPr>
              <w:t>-23,</w:t>
            </w:r>
            <w:r w:rsidR="009E10E2">
              <w:rPr>
                <w:rFonts w:ascii="Arial Narrow" w:hAnsi="Arial Narrow"/>
                <w:color w:val="000000"/>
                <w:sz w:val="16"/>
                <w:szCs w:val="16"/>
              </w:rPr>
              <w:t>5</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color w:val="000000"/>
                <w:sz w:val="16"/>
                <w:szCs w:val="16"/>
              </w:rPr>
            </w:pPr>
            <w:r w:rsidRPr="002E2CB0">
              <w:rPr>
                <w:rFonts w:ascii="Arial Narrow" w:hAnsi="Arial Narrow"/>
                <w:color w:val="000000"/>
                <w:sz w:val="16"/>
                <w:szCs w:val="16"/>
              </w:rPr>
              <w:t>-0,</w:t>
            </w:r>
            <w:r w:rsidR="009E10E2">
              <w:rPr>
                <w:rFonts w:ascii="Arial Narrow" w:hAnsi="Arial Narrow"/>
                <w:color w:val="000000"/>
                <w:sz w:val="16"/>
                <w:szCs w:val="16"/>
              </w:rPr>
              <w:t>9</w:t>
            </w:r>
          </w:p>
        </w:tc>
      </w:tr>
      <w:tr w:rsidR="008A3DC2" w:rsidRPr="002E2CB0" w:rsidTr="0097301E">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 </w:t>
            </w:r>
          </w:p>
        </w:tc>
        <w:tc>
          <w:tcPr>
            <w:tcW w:w="355" w:type="dxa"/>
            <w:tcBorders>
              <w:top w:val="nil"/>
            </w:tcBorders>
            <w:shd w:val="clear" w:color="000000" w:fill="FFFFFF"/>
            <w:noWrap/>
            <w:vAlign w:val="center"/>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1γ</w:t>
            </w:r>
          </w:p>
        </w:tc>
        <w:tc>
          <w:tcPr>
            <w:tcW w:w="4479" w:type="dxa"/>
            <w:gridSpan w:val="3"/>
            <w:tcBorders>
              <w:top w:val="nil"/>
            </w:tcBorders>
            <w:shd w:val="clear" w:color="000000" w:fill="FFFFFF"/>
            <w:vAlign w:val="center"/>
            <w:hideMark/>
          </w:tcPr>
          <w:p w:rsidR="008A3DC2" w:rsidRPr="002E2CB0" w:rsidRDefault="008A3DC2" w:rsidP="00764E1A">
            <w:pPr>
              <w:rPr>
                <w:rFonts w:ascii="Arial Narrow" w:hAnsi="Arial Narrow"/>
                <w:color w:val="000000"/>
                <w:sz w:val="16"/>
                <w:szCs w:val="16"/>
              </w:rPr>
            </w:pPr>
            <w:r w:rsidRPr="002E2CB0">
              <w:rPr>
                <w:rFonts w:ascii="Arial Narrow" w:hAnsi="Arial Narrow"/>
                <w:color w:val="000000"/>
                <w:sz w:val="16"/>
                <w:szCs w:val="16"/>
              </w:rPr>
              <w:t>Μεταβιβάσεις σε ΟΤΑ</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2.947</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3.025</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3.044</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2.327</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2.281</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color w:val="000000"/>
                <w:sz w:val="16"/>
                <w:szCs w:val="16"/>
              </w:rPr>
            </w:pPr>
            <w:r w:rsidRPr="002E2CB0">
              <w:rPr>
                <w:rFonts w:ascii="Arial Narrow" w:hAnsi="Arial Narrow"/>
                <w:color w:val="000000"/>
                <w:sz w:val="16"/>
                <w:szCs w:val="16"/>
              </w:rPr>
              <w:t>3,3</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color w:val="000000"/>
                <w:sz w:val="16"/>
                <w:szCs w:val="16"/>
              </w:rPr>
            </w:pPr>
            <w:r w:rsidRPr="002E2CB0">
              <w:rPr>
                <w:rFonts w:ascii="Arial Narrow" w:hAnsi="Arial Narrow"/>
                <w:color w:val="000000"/>
                <w:sz w:val="16"/>
                <w:szCs w:val="16"/>
              </w:rPr>
              <w:t>-25,</w:t>
            </w:r>
            <w:r w:rsidR="009E10E2">
              <w:rPr>
                <w:rFonts w:ascii="Arial Narrow" w:hAnsi="Arial Narrow"/>
                <w:color w:val="000000"/>
                <w:sz w:val="16"/>
                <w:szCs w:val="16"/>
              </w:rPr>
              <w:t>0</w:t>
            </w:r>
          </w:p>
        </w:tc>
      </w:tr>
      <w:tr w:rsidR="008A3DC2" w:rsidRPr="002E2CB0" w:rsidTr="0051647D">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 </w:t>
            </w:r>
          </w:p>
        </w:tc>
        <w:tc>
          <w:tcPr>
            <w:tcW w:w="355" w:type="dxa"/>
            <w:tcBorders>
              <w:top w:val="nil"/>
            </w:tcBorders>
            <w:shd w:val="clear" w:color="000000" w:fill="FFFFFF"/>
            <w:noWrap/>
            <w:vAlign w:val="center"/>
            <w:hideMark/>
          </w:tcPr>
          <w:p w:rsidR="008A3DC2" w:rsidRPr="002E2CB0" w:rsidRDefault="008A3DC2" w:rsidP="00764E1A">
            <w:pPr>
              <w:jc w:val="center"/>
              <w:rPr>
                <w:rFonts w:ascii="Arial Narrow" w:hAnsi="Arial Narrow"/>
                <w:color w:val="000000"/>
                <w:sz w:val="16"/>
                <w:szCs w:val="16"/>
              </w:rPr>
            </w:pPr>
            <w:r w:rsidRPr="002E2CB0">
              <w:rPr>
                <w:rFonts w:ascii="Arial Narrow" w:hAnsi="Arial Narrow"/>
                <w:color w:val="000000"/>
                <w:sz w:val="16"/>
                <w:szCs w:val="16"/>
              </w:rPr>
              <w:t>1δ</w:t>
            </w:r>
          </w:p>
        </w:tc>
        <w:tc>
          <w:tcPr>
            <w:tcW w:w="4479" w:type="dxa"/>
            <w:gridSpan w:val="3"/>
            <w:tcBorders>
              <w:top w:val="nil"/>
            </w:tcBorders>
            <w:shd w:val="clear" w:color="000000" w:fill="FFFFFF"/>
            <w:vAlign w:val="center"/>
            <w:hideMark/>
          </w:tcPr>
          <w:p w:rsidR="008A3DC2" w:rsidRPr="002E2CB0" w:rsidRDefault="008A3DC2" w:rsidP="00764E1A">
            <w:pPr>
              <w:rPr>
                <w:rFonts w:ascii="Arial Narrow" w:hAnsi="Arial Narrow"/>
                <w:color w:val="000000"/>
                <w:sz w:val="16"/>
                <w:szCs w:val="16"/>
              </w:rPr>
            </w:pPr>
            <w:r w:rsidRPr="002E2CB0">
              <w:rPr>
                <w:rFonts w:ascii="Arial Narrow" w:hAnsi="Arial Narrow"/>
                <w:color w:val="000000"/>
                <w:sz w:val="16"/>
                <w:szCs w:val="16"/>
              </w:rPr>
              <w:t>Μεταβιβάσεις σε ΟΚΑ</w:t>
            </w:r>
            <w:r>
              <w:rPr>
                <w:rFonts w:ascii="Arial Narrow" w:hAnsi="Arial Narrow"/>
                <w:color w:val="000000"/>
                <w:sz w:val="16"/>
                <w:szCs w:val="16"/>
              </w:rPr>
              <w:t xml:space="preserve"> </w:t>
            </w:r>
            <w:r w:rsidRPr="002E2CB0">
              <w:rPr>
                <w:rFonts w:ascii="Arial Narrow" w:hAnsi="Arial Narrow"/>
                <w:color w:val="000000"/>
                <w:sz w:val="16"/>
                <w:szCs w:val="16"/>
              </w:rPr>
              <w:t>(1δ1+1δ2+1δ3+1δ4+1δ5+1δ6)</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17.564</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16.299</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Pr>
                <w:rFonts w:ascii="Arial Narrow" w:hAnsi="Arial Narrow"/>
                <w:color w:val="000000"/>
                <w:sz w:val="16"/>
                <w:szCs w:val="16"/>
              </w:rPr>
              <w:t>16.</w:t>
            </w:r>
            <w:r w:rsidR="00F47532">
              <w:rPr>
                <w:rFonts w:ascii="Arial Narrow" w:hAnsi="Arial Narrow"/>
                <w:color w:val="000000"/>
                <w:sz w:val="16"/>
                <w:szCs w:val="16"/>
              </w:rPr>
              <w:t>771</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sidRPr="002E2CB0">
              <w:rPr>
                <w:rFonts w:ascii="Arial Narrow" w:hAnsi="Arial Narrow"/>
                <w:color w:val="000000"/>
                <w:sz w:val="16"/>
                <w:szCs w:val="16"/>
              </w:rPr>
              <w:t>15.509</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color w:val="000000"/>
                <w:sz w:val="16"/>
                <w:szCs w:val="16"/>
              </w:rPr>
            </w:pPr>
            <w:r>
              <w:rPr>
                <w:rFonts w:ascii="Arial Narrow" w:hAnsi="Arial Narrow"/>
                <w:color w:val="000000"/>
                <w:sz w:val="16"/>
                <w:szCs w:val="16"/>
              </w:rPr>
              <w:t>17.</w:t>
            </w:r>
            <w:r w:rsidR="009E10E2">
              <w:rPr>
                <w:rFonts w:ascii="Arial Narrow" w:hAnsi="Arial Narrow"/>
                <w:color w:val="000000"/>
                <w:sz w:val="16"/>
                <w:szCs w:val="16"/>
              </w:rPr>
              <w:t>805</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color w:val="000000"/>
                <w:sz w:val="16"/>
                <w:szCs w:val="16"/>
              </w:rPr>
            </w:pPr>
            <w:r>
              <w:rPr>
                <w:rFonts w:ascii="Arial Narrow" w:hAnsi="Arial Narrow"/>
                <w:color w:val="000000"/>
                <w:sz w:val="16"/>
                <w:szCs w:val="16"/>
              </w:rPr>
              <w:t>-</w:t>
            </w:r>
            <w:r w:rsidR="009E10E2">
              <w:rPr>
                <w:rFonts w:ascii="Arial Narrow" w:hAnsi="Arial Narrow"/>
                <w:color w:val="000000"/>
                <w:sz w:val="16"/>
                <w:szCs w:val="16"/>
              </w:rPr>
              <w:t>4,5</w:t>
            </w:r>
          </w:p>
        </w:tc>
        <w:tc>
          <w:tcPr>
            <w:tcW w:w="596" w:type="dxa"/>
            <w:tcBorders>
              <w:top w:val="nil"/>
              <w:right w:val="single" w:sz="4" w:space="0" w:color="auto"/>
            </w:tcBorders>
            <w:shd w:val="clear" w:color="000000" w:fill="FFFFFF"/>
            <w:noWrap/>
            <w:vAlign w:val="center"/>
            <w:hideMark/>
          </w:tcPr>
          <w:p w:rsidR="008A3DC2" w:rsidRPr="002E2CB0" w:rsidRDefault="009E10E2" w:rsidP="00764E1A">
            <w:pPr>
              <w:ind w:right="113"/>
              <w:jc w:val="right"/>
              <w:rPr>
                <w:rFonts w:ascii="Arial Narrow" w:hAnsi="Arial Narrow"/>
                <w:color w:val="000000"/>
                <w:sz w:val="16"/>
                <w:szCs w:val="16"/>
              </w:rPr>
            </w:pPr>
            <w:r>
              <w:rPr>
                <w:rFonts w:ascii="Arial Narrow" w:hAnsi="Arial Narrow"/>
                <w:color w:val="000000"/>
                <w:sz w:val="16"/>
                <w:szCs w:val="16"/>
              </w:rPr>
              <w:t>6,2</w:t>
            </w:r>
          </w:p>
        </w:tc>
      </w:tr>
      <w:tr w:rsidR="008A3DC2" w:rsidRPr="002E2CB0" w:rsidTr="007C327B">
        <w:trPr>
          <w:trHeight w:val="215"/>
          <w:jc w:val="center"/>
        </w:trPr>
        <w:tc>
          <w:tcPr>
            <w:tcW w:w="293" w:type="dxa"/>
            <w:tcBorders>
              <w:top w:val="nil"/>
              <w:left w:val="single" w:sz="4" w:space="0" w:color="auto"/>
            </w:tcBorders>
            <w:shd w:val="clear" w:color="000000" w:fill="FFFFFF"/>
            <w:vAlign w:val="center"/>
            <w:hideMark/>
          </w:tcPr>
          <w:p w:rsidR="008A3DC2" w:rsidRPr="002E2CB0" w:rsidRDefault="008A3DC2" w:rsidP="00764E1A">
            <w:pPr>
              <w:jc w:val="center"/>
              <w:rPr>
                <w:rFonts w:ascii="Arial Narrow" w:hAnsi="Arial Narrow"/>
                <w:i/>
                <w:iCs/>
                <w:color w:val="272727"/>
                <w:sz w:val="16"/>
                <w:szCs w:val="16"/>
              </w:rPr>
            </w:pPr>
            <w:r w:rsidRPr="002E2CB0">
              <w:rPr>
                <w:rFonts w:ascii="Arial Narrow" w:hAnsi="Arial Narrow"/>
                <w:i/>
                <w:iCs/>
                <w:color w:val="272727"/>
                <w:sz w:val="16"/>
                <w:szCs w:val="16"/>
              </w:rPr>
              <w:t> </w:t>
            </w:r>
          </w:p>
        </w:tc>
        <w:tc>
          <w:tcPr>
            <w:tcW w:w="355" w:type="dxa"/>
            <w:vMerge w:val="restart"/>
            <w:tcBorders>
              <w:top w:val="nil"/>
            </w:tcBorders>
            <w:shd w:val="clear" w:color="000000" w:fill="FFFFFF"/>
            <w:hideMark/>
          </w:tcPr>
          <w:p w:rsidR="008A3DC2" w:rsidRPr="002E2CB0" w:rsidRDefault="008A3DC2" w:rsidP="00764E1A">
            <w:pPr>
              <w:jc w:val="center"/>
              <w:rPr>
                <w:rFonts w:ascii="Arial Narrow" w:hAnsi="Arial Narrow"/>
                <w:i/>
                <w:iCs/>
                <w:color w:val="272727"/>
                <w:sz w:val="16"/>
                <w:szCs w:val="16"/>
              </w:rPr>
            </w:pPr>
          </w:p>
        </w:tc>
        <w:tc>
          <w:tcPr>
            <w:tcW w:w="1964" w:type="dxa"/>
            <w:vMerge w:val="restart"/>
            <w:tcBorders>
              <w:top w:val="nil"/>
              <w:left w:val="nil"/>
            </w:tcBorders>
            <w:shd w:val="clear" w:color="auto" w:fill="auto"/>
            <w:noWrap/>
            <w:vAlign w:val="center"/>
            <w:hideMark/>
          </w:tcPr>
          <w:p w:rsidR="008A3DC2" w:rsidRPr="002E2CB0" w:rsidRDefault="007C327B" w:rsidP="007C327B">
            <w:pPr>
              <w:rPr>
                <w:rFonts w:ascii="Calibri" w:hAnsi="Calibri"/>
                <w:color w:val="000000"/>
                <w:sz w:val="22"/>
                <w:szCs w:val="22"/>
              </w:rPr>
            </w:pPr>
            <w:r w:rsidRPr="002E2CB0">
              <w:rPr>
                <w:rFonts w:ascii="Arial Narrow" w:hAnsi="Arial Narrow"/>
                <w:i/>
                <w:iCs/>
                <w:color w:val="272727"/>
                <w:sz w:val="16"/>
                <w:szCs w:val="16"/>
              </w:rPr>
              <w:t>Μεταβιβάσεις:</w:t>
            </w:r>
          </w:p>
        </w:tc>
        <w:tc>
          <w:tcPr>
            <w:tcW w:w="320"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1δ1</w:t>
            </w:r>
          </w:p>
        </w:tc>
        <w:tc>
          <w:tcPr>
            <w:tcW w:w="2195"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παροχών σύνταξης</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14.305</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13.962</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Pr>
                <w:rFonts w:ascii="Arial Narrow" w:hAnsi="Arial Narrow"/>
                <w:i/>
                <w:iCs/>
                <w:color w:val="272727"/>
                <w:sz w:val="16"/>
                <w:szCs w:val="16"/>
              </w:rPr>
              <w:t>14.380</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12.376</w:t>
            </w:r>
          </w:p>
        </w:tc>
        <w:tc>
          <w:tcPr>
            <w:tcW w:w="794" w:type="dxa"/>
            <w:tcBorders>
              <w:top w:val="nil"/>
            </w:tcBorders>
            <w:shd w:val="clear" w:color="000000" w:fill="FFFFFF"/>
            <w:noWrap/>
            <w:vAlign w:val="center"/>
            <w:hideMark/>
          </w:tcPr>
          <w:p w:rsidR="008A3DC2" w:rsidRPr="002E2CB0" w:rsidRDefault="008A3DC2" w:rsidP="009E10E2">
            <w:pPr>
              <w:ind w:right="170"/>
              <w:jc w:val="right"/>
              <w:rPr>
                <w:rFonts w:ascii="Arial Narrow" w:hAnsi="Arial Narrow"/>
                <w:i/>
                <w:iCs/>
                <w:color w:val="272727"/>
                <w:sz w:val="16"/>
                <w:szCs w:val="16"/>
              </w:rPr>
            </w:pPr>
            <w:r>
              <w:rPr>
                <w:rFonts w:ascii="Arial Narrow" w:hAnsi="Arial Narrow"/>
                <w:i/>
                <w:iCs/>
                <w:color w:val="272727"/>
                <w:sz w:val="16"/>
                <w:szCs w:val="16"/>
              </w:rPr>
              <w:t>1</w:t>
            </w:r>
            <w:r w:rsidR="009E10E2">
              <w:rPr>
                <w:rFonts w:ascii="Arial Narrow" w:hAnsi="Arial Narrow"/>
                <w:i/>
                <w:iCs/>
                <w:color w:val="272727"/>
                <w:sz w:val="16"/>
                <w:szCs w:val="16"/>
              </w:rPr>
              <w:t>3.371</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Pr>
                <w:rFonts w:ascii="Arial Narrow" w:hAnsi="Arial Narrow"/>
                <w:i/>
                <w:iCs/>
                <w:color w:val="272727"/>
                <w:sz w:val="16"/>
                <w:szCs w:val="16"/>
              </w:rPr>
              <w:t>0,5</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Pr>
                <w:rFonts w:ascii="Arial Narrow" w:hAnsi="Arial Narrow"/>
                <w:i/>
                <w:iCs/>
                <w:color w:val="272727"/>
                <w:sz w:val="16"/>
                <w:szCs w:val="16"/>
              </w:rPr>
              <w:t>-</w:t>
            </w:r>
            <w:r w:rsidR="009E10E2">
              <w:rPr>
                <w:rFonts w:ascii="Arial Narrow" w:hAnsi="Arial Narrow"/>
                <w:i/>
                <w:iCs/>
                <w:color w:val="272727"/>
                <w:sz w:val="16"/>
                <w:szCs w:val="16"/>
              </w:rPr>
              <w:t>7,0</w:t>
            </w:r>
          </w:p>
        </w:tc>
      </w:tr>
      <w:tr w:rsidR="008A3DC2" w:rsidRPr="002E2CB0" w:rsidTr="0051647D">
        <w:trPr>
          <w:trHeight w:val="215"/>
          <w:jc w:val="center"/>
        </w:trPr>
        <w:tc>
          <w:tcPr>
            <w:tcW w:w="293" w:type="dxa"/>
            <w:tcBorders>
              <w:top w:val="nil"/>
              <w:left w:val="single" w:sz="4" w:space="0" w:color="auto"/>
            </w:tcBorders>
            <w:shd w:val="clear" w:color="000000" w:fill="FFFFFF"/>
            <w:vAlign w:val="center"/>
            <w:hideMark/>
          </w:tcPr>
          <w:p w:rsidR="008A3DC2" w:rsidRPr="002E2CB0" w:rsidRDefault="008A3DC2" w:rsidP="00764E1A">
            <w:pPr>
              <w:jc w:val="center"/>
              <w:rPr>
                <w:rFonts w:ascii="Arial Narrow" w:hAnsi="Arial Narrow"/>
                <w:i/>
                <w:iCs/>
                <w:color w:val="272727"/>
                <w:sz w:val="16"/>
                <w:szCs w:val="16"/>
              </w:rPr>
            </w:pPr>
            <w:r w:rsidRPr="002E2CB0">
              <w:rPr>
                <w:rFonts w:ascii="Arial Narrow" w:hAnsi="Arial Narrow"/>
                <w:i/>
                <w:iCs/>
                <w:color w:val="272727"/>
                <w:sz w:val="16"/>
                <w:szCs w:val="16"/>
              </w:rPr>
              <w:t> </w:t>
            </w:r>
          </w:p>
        </w:tc>
        <w:tc>
          <w:tcPr>
            <w:tcW w:w="355" w:type="dxa"/>
            <w:vMerge/>
            <w:tcBorders>
              <w:top w:val="nil"/>
            </w:tcBorders>
            <w:hideMark/>
          </w:tcPr>
          <w:p w:rsidR="008A3DC2" w:rsidRPr="002E2CB0" w:rsidRDefault="008A3DC2" w:rsidP="00764E1A">
            <w:pPr>
              <w:jc w:val="center"/>
              <w:rPr>
                <w:rFonts w:ascii="Arial Narrow" w:hAnsi="Arial Narrow"/>
                <w:i/>
                <w:iCs/>
                <w:color w:val="272727"/>
                <w:sz w:val="16"/>
                <w:szCs w:val="16"/>
              </w:rPr>
            </w:pPr>
          </w:p>
        </w:tc>
        <w:tc>
          <w:tcPr>
            <w:tcW w:w="1964" w:type="dxa"/>
            <w:vMerge/>
            <w:tcBorders>
              <w:top w:val="nil"/>
              <w:left w:val="nil"/>
            </w:tcBorders>
            <w:vAlign w:val="center"/>
            <w:hideMark/>
          </w:tcPr>
          <w:p w:rsidR="008A3DC2" w:rsidRPr="002E2CB0" w:rsidRDefault="008A3DC2" w:rsidP="00764E1A">
            <w:pPr>
              <w:rPr>
                <w:rFonts w:ascii="Calibri" w:hAnsi="Calibri"/>
                <w:color w:val="000000"/>
                <w:sz w:val="22"/>
                <w:szCs w:val="22"/>
              </w:rPr>
            </w:pPr>
          </w:p>
        </w:tc>
        <w:tc>
          <w:tcPr>
            <w:tcW w:w="320"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1δ2</w:t>
            </w:r>
          </w:p>
        </w:tc>
        <w:tc>
          <w:tcPr>
            <w:tcW w:w="2195"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παροχών σε ανέργους (ΟΑΕΔ)</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425</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505</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505</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505</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Pr>
                <w:rFonts w:ascii="Arial Narrow" w:hAnsi="Arial Narrow"/>
                <w:i/>
                <w:iCs/>
                <w:color w:val="272727"/>
                <w:sz w:val="16"/>
                <w:szCs w:val="16"/>
              </w:rPr>
              <w:t>556</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sidRPr="002E2CB0">
              <w:rPr>
                <w:rFonts w:ascii="Arial Narrow" w:hAnsi="Arial Narrow"/>
                <w:i/>
                <w:iCs/>
                <w:color w:val="272727"/>
                <w:sz w:val="16"/>
                <w:szCs w:val="16"/>
              </w:rPr>
              <w:t>18,8</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Pr>
                <w:rFonts w:ascii="Arial Narrow" w:hAnsi="Arial Narrow"/>
                <w:i/>
                <w:iCs/>
                <w:color w:val="272727"/>
                <w:sz w:val="16"/>
                <w:szCs w:val="16"/>
              </w:rPr>
              <w:t>10,1</w:t>
            </w:r>
          </w:p>
        </w:tc>
      </w:tr>
      <w:tr w:rsidR="008A3DC2" w:rsidRPr="002E2CB0" w:rsidTr="0051647D">
        <w:trPr>
          <w:trHeight w:val="215"/>
          <w:jc w:val="center"/>
        </w:trPr>
        <w:tc>
          <w:tcPr>
            <w:tcW w:w="293" w:type="dxa"/>
            <w:tcBorders>
              <w:top w:val="nil"/>
              <w:left w:val="single" w:sz="4" w:space="0" w:color="auto"/>
            </w:tcBorders>
            <w:shd w:val="clear" w:color="000000" w:fill="FFFFFF"/>
            <w:vAlign w:val="center"/>
            <w:hideMark/>
          </w:tcPr>
          <w:p w:rsidR="008A3DC2" w:rsidRPr="002E2CB0" w:rsidRDefault="008A3DC2" w:rsidP="00764E1A">
            <w:pPr>
              <w:jc w:val="center"/>
              <w:rPr>
                <w:rFonts w:ascii="Arial Narrow" w:hAnsi="Arial Narrow"/>
                <w:i/>
                <w:iCs/>
                <w:color w:val="272727"/>
                <w:sz w:val="16"/>
                <w:szCs w:val="16"/>
              </w:rPr>
            </w:pPr>
            <w:r w:rsidRPr="002E2CB0">
              <w:rPr>
                <w:rFonts w:ascii="Arial Narrow" w:hAnsi="Arial Narrow"/>
                <w:i/>
                <w:iCs/>
                <w:color w:val="272727"/>
                <w:sz w:val="16"/>
                <w:szCs w:val="16"/>
              </w:rPr>
              <w:t> </w:t>
            </w:r>
          </w:p>
        </w:tc>
        <w:tc>
          <w:tcPr>
            <w:tcW w:w="355" w:type="dxa"/>
            <w:vMerge/>
            <w:tcBorders>
              <w:top w:val="nil"/>
            </w:tcBorders>
            <w:hideMark/>
          </w:tcPr>
          <w:p w:rsidR="008A3DC2" w:rsidRPr="002E2CB0" w:rsidRDefault="008A3DC2" w:rsidP="00764E1A">
            <w:pPr>
              <w:jc w:val="center"/>
              <w:rPr>
                <w:rFonts w:ascii="Arial Narrow" w:hAnsi="Arial Narrow"/>
                <w:i/>
                <w:iCs/>
                <w:color w:val="272727"/>
                <w:sz w:val="16"/>
                <w:szCs w:val="16"/>
              </w:rPr>
            </w:pPr>
          </w:p>
        </w:tc>
        <w:tc>
          <w:tcPr>
            <w:tcW w:w="1964" w:type="dxa"/>
            <w:vMerge/>
            <w:tcBorders>
              <w:top w:val="nil"/>
              <w:left w:val="nil"/>
            </w:tcBorders>
            <w:vAlign w:val="center"/>
            <w:hideMark/>
          </w:tcPr>
          <w:p w:rsidR="008A3DC2" w:rsidRPr="002E2CB0" w:rsidRDefault="008A3DC2" w:rsidP="00764E1A">
            <w:pPr>
              <w:rPr>
                <w:rFonts w:ascii="Calibri" w:hAnsi="Calibri"/>
                <w:color w:val="000000"/>
                <w:sz w:val="22"/>
                <w:szCs w:val="22"/>
              </w:rPr>
            </w:pPr>
          </w:p>
        </w:tc>
        <w:tc>
          <w:tcPr>
            <w:tcW w:w="320"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1δ3</w:t>
            </w:r>
          </w:p>
        </w:tc>
        <w:tc>
          <w:tcPr>
            <w:tcW w:w="2195"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παροχών υγείας (ΕΟΠΥΥ)</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314</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100</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88</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100</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100</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sidRPr="002E2CB0">
              <w:rPr>
                <w:rFonts w:ascii="Arial Narrow" w:hAnsi="Arial Narrow"/>
                <w:i/>
                <w:iCs/>
                <w:color w:val="272727"/>
                <w:sz w:val="16"/>
                <w:szCs w:val="16"/>
              </w:rPr>
              <w:t>-71,9</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sidRPr="002E2CB0">
              <w:rPr>
                <w:rFonts w:ascii="Arial Narrow" w:hAnsi="Arial Narrow"/>
                <w:i/>
                <w:iCs/>
                <w:color w:val="272727"/>
                <w:sz w:val="16"/>
                <w:szCs w:val="16"/>
              </w:rPr>
              <w:t>13,6</w:t>
            </w:r>
          </w:p>
        </w:tc>
      </w:tr>
      <w:tr w:rsidR="008A3DC2" w:rsidRPr="002E2CB0" w:rsidTr="0051647D">
        <w:trPr>
          <w:trHeight w:val="215"/>
          <w:jc w:val="center"/>
        </w:trPr>
        <w:tc>
          <w:tcPr>
            <w:tcW w:w="293" w:type="dxa"/>
            <w:tcBorders>
              <w:top w:val="nil"/>
              <w:left w:val="single" w:sz="4" w:space="0" w:color="auto"/>
            </w:tcBorders>
            <w:shd w:val="clear" w:color="000000" w:fill="FFFFFF"/>
            <w:vAlign w:val="center"/>
            <w:hideMark/>
          </w:tcPr>
          <w:p w:rsidR="008A3DC2" w:rsidRPr="002E2CB0" w:rsidRDefault="008A3DC2" w:rsidP="00764E1A">
            <w:pPr>
              <w:jc w:val="center"/>
              <w:rPr>
                <w:rFonts w:ascii="Arial Narrow" w:hAnsi="Arial Narrow"/>
                <w:i/>
                <w:iCs/>
                <w:color w:val="272727"/>
                <w:sz w:val="16"/>
                <w:szCs w:val="16"/>
              </w:rPr>
            </w:pPr>
            <w:r w:rsidRPr="002E2CB0">
              <w:rPr>
                <w:rFonts w:ascii="Arial Narrow" w:hAnsi="Arial Narrow"/>
                <w:i/>
                <w:iCs/>
                <w:color w:val="272727"/>
                <w:sz w:val="16"/>
                <w:szCs w:val="16"/>
              </w:rPr>
              <w:t> </w:t>
            </w:r>
          </w:p>
        </w:tc>
        <w:tc>
          <w:tcPr>
            <w:tcW w:w="355" w:type="dxa"/>
            <w:vMerge/>
            <w:tcBorders>
              <w:top w:val="nil"/>
            </w:tcBorders>
            <w:hideMark/>
          </w:tcPr>
          <w:p w:rsidR="008A3DC2" w:rsidRPr="002E2CB0" w:rsidRDefault="008A3DC2" w:rsidP="00764E1A">
            <w:pPr>
              <w:jc w:val="center"/>
              <w:rPr>
                <w:rFonts w:ascii="Arial Narrow" w:hAnsi="Arial Narrow"/>
                <w:i/>
                <w:iCs/>
                <w:color w:val="272727"/>
                <w:sz w:val="16"/>
                <w:szCs w:val="16"/>
              </w:rPr>
            </w:pPr>
          </w:p>
        </w:tc>
        <w:tc>
          <w:tcPr>
            <w:tcW w:w="1964" w:type="dxa"/>
            <w:vMerge/>
            <w:tcBorders>
              <w:top w:val="nil"/>
              <w:left w:val="nil"/>
            </w:tcBorders>
            <w:vAlign w:val="center"/>
            <w:hideMark/>
          </w:tcPr>
          <w:p w:rsidR="008A3DC2" w:rsidRPr="002E2CB0" w:rsidRDefault="008A3DC2" w:rsidP="00764E1A">
            <w:pPr>
              <w:rPr>
                <w:rFonts w:ascii="Calibri" w:hAnsi="Calibri"/>
                <w:color w:val="000000"/>
                <w:sz w:val="22"/>
                <w:szCs w:val="22"/>
              </w:rPr>
            </w:pPr>
          </w:p>
        </w:tc>
        <w:tc>
          <w:tcPr>
            <w:tcW w:w="320"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1δ4</w:t>
            </w:r>
          </w:p>
        </w:tc>
        <w:tc>
          <w:tcPr>
            <w:tcW w:w="2195"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παροχών προνοιακού χαρακτήρα</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458</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1.137</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w:t>
            </w:r>
            <w:r w:rsidR="00F47532">
              <w:rPr>
                <w:rFonts w:ascii="Arial Narrow" w:hAnsi="Arial Narrow"/>
                <w:i/>
                <w:iCs/>
                <w:color w:val="272727"/>
                <w:sz w:val="16"/>
                <w:szCs w:val="16"/>
              </w:rPr>
              <w:t>200</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1.933</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Pr>
                <w:rFonts w:ascii="Arial Narrow" w:hAnsi="Arial Narrow"/>
                <w:i/>
                <w:iCs/>
                <w:color w:val="272727"/>
                <w:sz w:val="16"/>
                <w:szCs w:val="16"/>
              </w:rPr>
              <w:t>3.183</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sidRPr="002E2CB0">
              <w:rPr>
                <w:rFonts w:ascii="Arial Narrow" w:hAnsi="Arial Narrow"/>
                <w:i/>
                <w:iCs/>
                <w:color w:val="272727"/>
                <w:sz w:val="16"/>
                <w:szCs w:val="16"/>
              </w:rPr>
              <w:t>1</w:t>
            </w:r>
            <w:r w:rsidR="009E10E2">
              <w:rPr>
                <w:rFonts w:ascii="Arial Narrow" w:hAnsi="Arial Narrow"/>
                <w:i/>
                <w:iCs/>
                <w:color w:val="272727"/>
                <w:sz w:val="16"/>
                <w:szCs w:val="16"/>
              </w:rPr>
              <w:t>62,0</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Pr>
                <w:rFonts w:ascii="Arial Narrow" w:hAnsi="Arial Narrow"/>
                <w:i/>
                <w:iCs/>
                <w:color w:val="272727"/>
                <w:sz w:val="16"/>
                <w:szCs w:val="16"/>
              </w:rPr>
              <w:t>1</w:t>
            </w:r>
            <w:r w:rsidR="009E10E2">
              <w:rPr>
                <w:rFonts w:ascii="Arial Narrow" w:hAnsi="Arial Narrow"/>
                <w:i/>
                <w:iCs/>
                <w:color w:val="272727"/>
                <w:sz w:val="16"/>
                <w:szCs w:val="16"/>
              </w:rPr>
              <w:t>65,2</w:t>
            </w:r>
          </w:p>
        </w:tc>
      </w:tr>
      <w:tr w:rsidR="008A3DC2" w:rsidRPr="002E2CB0" w:rsidTr="0051647D">
        <w:trPr>
          <w:trHeight w:val="215"/>
          <w:jc w:val="center"/>
        </w:trPr>
        <w:tc>
          <w:tcPr>
            <w:tcW w:w="293" w:type="dxa"/>
            <w:tcBorders>
              <w:top w:val="nil"/>
              <w:left w:val="single" w:sz="4" w:space="0" w:color="auto"/>
            </w:tcBorders>
            <w:shd w:val="clear" w:color="000000" w:fill="FFFFFF"/>
            <w:vAlign w:val="center"/>
            <w:hideMark/>
          </w:tcPr>
          <w:p w:rsidR="008A3DC2" w:rsidRPr="002E2CB0" w:rsidRDefault="008A3DC2" w:rsidP="00764E1A">
            <w:pPr>
              <w:jc w:val="center"/>
              <w:rPr>
                <w:rFonts w:ascii="Arial Narrow" w:hAnsi="Arial Narrow"/>
                <w:i/>
                <w:iCs/>
                <w:color w:val="272727"/>
                <w:sz w:val="16"/>
                <w:szCs w:val="16"/>
              </w:rPr>
            </w:pPr>
            <w:r w:rsidRPr="002E2CB0">
              <w:rPr>
                <w:rFonts w:ascii="Arial Narrow" w:hAnsi="Arial Narrow"/>
                <w:i/>
                <w:iCs/>
                <w:color w:val="272727"/>
                <w:sz w:val="16"/>
                <w:szCs w:val="16"/>
              </w:rPr>
              <w:t> </w:t>
            </w:r>
          </w:p>
        </w:tc>
        <w:tc>
          <w:tcPr>
            <w:tcW w:w="355" w:type="dxa"/>
            <w:vMerge/>
            <w:tcBorders>
              <w:top w:val="nil"/>
            </w:tcBorders>
            <w:hideMark/>
          </w:tcPr>
          <w:p w:rsidR="008A3DC2" w:rsidRPr="002E2CB0" w:rsidRDefault="008A3DC2" w:rsidP="00764E1A">
            <w:pPr>
              <w:jc w:val="center"/>
              <w:rPr>
                <w:rFonts w:ascii="Arial Narrow" w:hAnsi="Arial Narrow"/>
                <w:i/>
                <w:iCs/>
                <w:color w:val="272727"/>
                <w:sz w:val="16"/>
                <w:szCs w:val="16"/>
              </w:rPr>
            </w:pPr>
          </w:p>
        </w:tc>
        <w:tc>
          <w:tcPr>
            <w:tcW w:w="1964" w:type="dxa"/>
            <w:vMerge/>
            <w:tcBorders>
              <w:top w:val="nil"/>
              <w:left w:val="nil"/>
            </w:tcBorders>
            <w:vAlign w:val="center"/>
            <w:hideMark/>
          </w:tcPr>
          <w:p w:rsidR="008A3DC2" w:rsidRPr="002E2CB0" w:rsidRDefault="008A3DC2" w:rsidP="00764E1A">
            <w:pPr>
              <w:rPr>
                <w:rFonts w:ascii="Calibri" w:hAnsi="Calibri"/>
                <w:color w:val="000000"/>
                <w:sz w:val="22"/>
                <w:szCs w:val="22"/>
              </w:rPr>
            </w:pPr>
          </w:p>
        </w:tc>
        <w:tc>
          <w:tcPr>
            <w:tcW w:w="320"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sidRPr="002E2CB0">
              <w:rPr>
                <w:rFonts w:ascii="Arial Narrow" w:hAnsi="Arial Narrow"/>
                <w:i/>
                <w:iCs/>
                <w:color w:val="272727"/>
                <w:sz w:val="16"/>
                <w:szCs w:val="16"/>
              </w:rPr>
              <w:t>1δ5</w:t>
            </w:r>
          </w:p>
        </w:tc>
        <w:tc>
          <w:tcPr>
            <w:tcW w:w="2195" w:type="dxa"/>
            <w:tcBorders>
              <w:top w:val="nil"/>
            </w:tcBorders>
            <w:shd w:val="clear" w:color="auto" w:fill="auto"/>
            <w:vAlign w:val="center"/>
            <w:hideMark/>
          </w:tcPr>
          <w:p w:rsidR="008A3DC2" w:rsidRPr="002E2CB0" w:rsidRDefault="008A3DC2" w:rsidP="00764E1A">
            <w:pPr>
              <w:rPr>
                <w:rFonts w:ascii="Arial Narrow" w:hAnsi="Arial Narrow"/>
                <w:i/>
                <w:iCs/>
                <w:color w:val="272727"/>
                <w:sz w:val="16"/>
                <w:szCs w:val="16"/>
              </w:rPr>
            </w:pPr>
            <w:r>
              <w:rPr>
                <w:rFonts w:ascii="Arial Narrow" w:hAnsi="Arial Narrow"/>
                <w:i/>
                <w:iCs/>
                <w:color w:val="272727"/>
                <w:sz w:val="16"/>
                <w:szCs w:val="16"/>
              </w:rPr>
              <w:t>λειτουργικών και</w:t>
            </w:r>
            <w:r w:rsidRPr="002E2CB0">
              <w:rPr>
                <w:rFonts w:ascii="Arial Narrow" w:hAnsi="Arial Narrow"/>
                <w:i/>
                <w:iCs/>
                <w:color w:val="272727"/>
                <w:sz w:val="16"/>
                <w:szCs w:val="16"/>
              </w:rPr>
              <w:t xml:space="preserve"> έκτακτων δαπανών</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1.484</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16</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18</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16</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i/>
                <w:iCs/>
                <w:color w:val="272727"/>
                <w:sz w:val="16"/>
                <w:szCs w:val="16"/>
              </w:rPr>
            </w:pPr>
            <w:r w:rsidRPr="002E2CB0">
              <w:rPr>
                <w:rFonts w:ascii="Arial Narrow" w:hAnsi="Arial Narrow"/>
                <w:i/>
                <w:iCs/>
                <w:color w:val="272727"/>
                <w:sz w:val="16"/>
                <w:szCs w:val="16"/>
              </w:rPr>
              <w:t>16</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sidRPr="002E2CB0">
              <w:rPr>
                <w:rFonts w:ascii="Arial Narrow" w:hAnsi="Arial Narrow"/>
                <w:i/>
                <w:iCs/>
                <w:color w:val="272727"/>
                <w:sz w:val="16"/>
                <w:szCs w:val="16"/>
              </w:rPr>
              <w:t>-98,8</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i/>
                <w:iCs/>
                <w:color w:val="272727"/>
                <w:sz w:val="16"/>
                <w:szCs w:val="16"/>
              </w:rPr>
            </w:pPr>
            <w:r w:rsidRPr="002E2CB0">
              <w:rPr>
                <w:rFonts w:ascii="Arial Narrow" w:hAnsi="Arial Narrow"/>
                <w:i/>
                <w:iCs/>
                <w:color w:val="272727"/>
                <w:sz w:val="16"/>
                <w:szCs w:val="16"/>
              </w:rPr>
              <w:t>-11,8</w:t>
            </w:r>
          </w:p>
        </w:tc>
      </w:tr>
      <w:tr w:rsidR="008A3DC2" w:rsidRPr="00713E4A" w:rsidTr="0097301E">
        <w:trPr>
          <w:trHeight w:val="215"/>
          <w:jc w:val="center"/>
        </w:trPr>
        <w:tc>
          <w:tcPr>
            <w:tcW w:w="293" w:type="dxa"/>
            <w:tcBorders>
              <w:top w:val="nil"/>
              <w:left w:val="single" w:sz="4" w:space="0" w:color="auto"/>
            </w:tcBorders>
            <w:shd w:val="clear" w:color="000000" w:fill="FFFFFF"/>
            <w:noWrap/>
            <w:vAlign w:val="center"/>
            <w:hideMark/>
          </w:tcPr>
          <w:p w:rsidR="008A3DC2" w:rsidRPr="00713E4A" w:rsidRDefault="008A3DC2" w:rsidP="00764E1A">
            <w:pPr>
              <w:jc w:val="center"/>
              <w:rPr>
                <w:rFonts w:ascii="Arial Narrow" w:hAnsi="Arial Narrow"/>
                <w:i/>
                <w:color w:val="000000"/>
                <w:sz w:val="16"/>
                <w:szCs w:val="16"/>
              </w:rPr>
            </w:pPr>
            <w:r w:rsidRPr="00713E4A">
              <w:rPr>
                <w:rFonts w:ascii="Arial Narrow" w:hAnsi="Arial Narrow"/>
                <w:i/>
                <w:color w:val="000000"/>
                <w:sz w:val="16"/>
                <w:szCs w:val="16"/>
              </w:rPr>
              <w:t> </w:t>
            </w:r>
          </w:p>
        </w:tc>
        <w:tc>
          <w:tcPr>
            <w:tcW w:w="355" w:type="dxa"/>
            <w:tcBorders>
              <w:top w:val="nil"/>
            </w:tcBorders>
            <w:shd w:val="clear" w:color="000000" w:fill="FFFFFF"/>
            <w:noWrap/>
            <w:hideMark/>
          </w:tcPr>
          <w:p w:rsidR="008A3DC2" w:rsidRPr="00713E4A" w:rsidRDefault="008A3DC2" w:rsidP="00764E1A">
            <w:pPr>
              <w:jc w:val="center"/>
              <w:rPr>
                <w:rFonts w:ascii="Arial Narrow" w:hAnsi="Arial Narrow"/>
                <w:i/>
                <w:color w:val="000000"/>
                <w:sz w:val="16"/>
                <w:szCs w:val="16"/>
              </w:rPr>
            </w:pPr>
          </w:p>
        </w:tc>
        <w:tc>
          <w:tcPr>
            <w:tcW w:w="4479" w:type="dxa"/>
            <w:gridSpan w:val="3"/>
            <w:tcBorders>
              <w:top w:val="nil"/>
            </w:tcBorders>
            <w:shd w:val="clear" w:color="000000" w:fill="FFFFFF"/>
            <w:vAlign w:val="center"/>
            <w:hideMark/>
          </w:tcPr>
          <w:p w:rsidR="008A3DC2" w:rsidRPr="00713E4A" w:rsidRDefault="00713E4A" w:rsidP="00713E4A">
            <w:pPr>
              <w:tabs>
                <w:tab w:val="left" w:pos="289"/>
              </w:tabs>
              <w:ind w:left="289" w:hanging="289"/>
              <w:rPr>
                <w:rFonts w:ascii="Arial Narrow" w:hAnsi="Arial Narrow"/>
                <w:i/>
                <w:color w:val="000000"/>
                <w:sz w:val="16"/>
                <w:szCs w:val="16"/>
              </w:rPr>
            </w:pPr>
            <w:r w:rsidRPr="00713E4A">
              <w:rPr>
                <w:rFonts w:ascii="Arial Narrow" w:hAnsi="Arial Narrow"/>
                <w:i/>
                <w:color w:val="000000"/>
                <w:sz w:val="16"/>
                <w:szCs w:val="16"/>
              </w:rPr>
              <w:t>1δ6</w:t>
            </w:r>
            <w:r w:rsidRPr="00713E4A">
              <w:rPr>
                <w:rFonts w:ascii="Arial Narrow" w:hAnsi="Arial Narrow"/>
                <w:i/>
                <w:color w:val="000000"/>
                <w:sz w:val="16"/>
                <w:szCs w:val="16"/>
              </w:rPr>
              <w:tab/>
            </w:r>
            <w:r w:rsidR="008A3DC2" w:rsidRPr="00713E4A">
              <w:rPr>
                <w:rFonts w:ascii="Arial Narrow" w:hAnsi="Arial Narrow"/>
                <w:i/>
                <w:color w:val="000000"/>
                <w:sz w:val="16"/>
                <w:szCs w:val="16"/>
              </w:rPr>
              <w:t>Αντιπαροχή έναντι της ενσωματωμένης στη ΔΕΗ ΑΕ περιουσίας  των Τομέων Ασφάλισης Προσωπικού ΔΕΗ</w:t>
            </w:r>
          </w:p>
        </w:tc>
        <w:tc>
          <w:tcPr>
            <w:tcW w:w="737" w:type="dxa"/>
            <w:tcBorders>
              <w:top w:val="nil"/>
            </w:tcBorders>
            <w:shd w:val="clear" w:color="000000" w:fill="FFFFFF"/>
            <w:noWrap/>
            <w:vAlign w:val="center"/>
            <w:hideMark/>
          </w:tcPr>
          <w:p w:rsidR="008A3DC2" w:rsidRPr="00713E4A" w:rsidRDefault="008A3DC2" w:rsidP="00764E1A">
            <w:pPr>
              <w:ind w:right="170"/>
              <w:jc w:val="right"/>
              <w:rPr>
                <w:rFonts w:ascii="Arial Narrow" w:hAnsi="Arial Narrow"/>
                <w:i/>
                <w:color w:val="000000"/>
                <w:sz w:val="16"/>
                <w:szCs w:val="16"/>
              </w:rPr>
            </w:pPr>
            <w:r w:rsidRPr="00713E4A">
              <w:rPr>
                <w:rFonts w:ascii="Arial Narrow" w:hAnsi="Arial Narrow"/>
                <w:i/>
                <w:color w:val="000000"/>
                <w:sz w:val="16"/>
                <w:szCs w:val="16"/>
              </w:rPr>
              <w:t>579</w:t>
            </w:r>
          </w:p>
        </w:tc>
        <w:tc>
          <w:tcPr>
            <w:tcW w:w="628" w:type="dxa"/>
            <w:tcBorders>
              <w:top w:val="nil"/>
            </w:tcBorders>
            <w:shd w:val="clear" w:color="000000" w:fill="FFFFFF"/>
            <w:noWrap/>
            <w:vAlign w:val="center"/>
            <w:hideMark/>
          </w:tcPr>
          <w:p w:rsidR="008A3DC2" w:rsidRPr="00713E4A" w:rsidRDefault="008A3DC2" w:rsidP="00764E1A">
            <w:pPr>
              <w:ind w:right="170"/>
              <w:jc w:val="right"/>
              <w:rPr>
                <w:rFonts w:ascii="Arial Narrow" w:hAnsi="Arial Narrow"/>
                <w:i/>
                <w:color w:val="000000"/>
                <w:sz w:val="16"/>
                <w:szCs w:val="16"/>
              </w:rPr>
            </w:pPr>
            <w:r w:rsidRPr="00713E4A">
              <w:rPr>
                <w:rFonts w:ascii="Arial Narrow" w:hAnsi="Arial Narrow"/>
                <w:i/>
                <w:color w:val="000000"/>
                <w:sz w:val="16"/>
                <w:szCs w:val="16"/>
              </w:rPr>
              <w:t>579</w:t>
            </w:r>
          </w:p>
        </w:tc>
        <w:tc>
          <w:tcPr>
            <w:tcW w:w="729" w:type="dxa"/>
            <w:tcBorders>
              <w:top w:val="nil"/>
            </w:tcBorders>
            <w:shd w:val="clear" w:color="000000" w:fill="FFFFFF"/>
            <w:noWrap/>
            <w:vAlign w:val="center"/>
            <w:hideMark/>
          </w:tcPr>
          <w:p w:rsidR="008A3DC2" w:rsidRPr="00713E4A" w:rsidRDefault="008A3DC2" w:rsidP="00764E1A">
            <w:pPr>
              <w:ind w:right="170"/>
              <w:jc w:val="right"/>
              <w:rPr>
                <w:rFonts w:ascii="Arial Narrow" w:hAnsi="Arial Narrow"/>
                <w:i/>
                <w:color w:val="000000"/>
                <w:sz w:val="16"/>
                <w:szCs w:val="16"/>
              </w:rPr>
            </w:pPr>
            <w:r w:rsidRPr="00713E4A">
              <w:rPr>
                <w:rFonts w:ascii="Arial Narrow" w:hAnsi="Arial Narrow"/>
                <w:i/>
                <w:color w:val="000000"/>
                <w:sz w:val="16"/>
                <w:szCs w:val="16"/>
              </w:rPr>
              <w:t>579</w:t>
            </w:r>
          </w:p>
        </w:tc>
        <w:tc>
          <w:tcPr>
            <w:tcW w:w="628" w:type="dxa"/>
            <w:tcBorders>
              <w:top w:val="nil"/>
            </w:tcBorders>
            <w:shd w:val="clear" w:color="000000" w:fill="FFFFFF"/>
            <w:noWrap/>
            <w:vAlign w:val="center"/>
            <w:hideMark/>
          </w:tcPr>
          <w:p w:rsidR="008A3DC2" w:rsidRPr="00713E4A" w:rsidRDefault="008A3DC2" w:rsidP="00764E1A">
            <w:pPr>
              <w:ind w:right="170"/>
              <w:jc w:val="right"/>
              <w:rPr>
                <w:rFonts w:ascii="Arial Narrow" w:hAnsi="Arial Narrow"/>
                <w:i/>
                <w:color w:val="000000"/>
                <w:sz w:val="16"/>
                <w:szCs w:val="16"/>
              </w:rPr>
            </w:pPr>
            <w:r w:rsidRPr="00713E4A">
              <w:rPr>
                <w:rFonts w:ascii="Arial Narrow" w:hAnsi="Arial Narrow"/>
                <w:i/>
                <w:color w:val="000000"/>
                <w:sz w:val="16"/>
                <w:szCs w:val="16"/>
              </w:rPr>
              <w:t>579</w:t>
            </w:r>
          </w:p>
        </w:tc>
        <w:tc>
          <w:tcPr>
            <w:tcW w:w="794" w:type="dxa"/>
            <w:tcBorders>
              <w:top w:val="nil"/>
            </w:tcBorders>
            <w:shd w:val="clear" w:color="000000" w:fill="FFFFFF"/>
            <w:noWrap/>
            <w:vAlign w:val="center"/>
            <w:hideMark/>
          </w:tcPr>
          <w:p w:rsidR="008A3DC2" w:rsidRPr="00713E4A" w:rsidRDefault="008A3DC2" w:rsidP="00764E1A">
            <w:pPr>
              <w:ind w:right="170"/>
              <w:jc w:val="right"/>
              <w:rPr>
                <w:rFonts w:ascii="Arial Narrow" w:hAnsi="Arial Narrow"/>
                <w:i/>
                <w:color w:val="000000"/>
                <w:sz w:val="16"/>
                <w:szCs w:val="16"/>
              </w:rPr>
            </w:pPr>
            <w:r w:rsidRPr="00713E4A">
              <w:rPr>
                <w:rFonts w:ascii="Arial Narrow" w:hAnsi="Arial Narrow"/>
                <w:i/>
                <w:color w:val="000000"/>
                <w:sz w:val="16"/>
                <w:szCs w:val="16"/>
              </w:rPr>
              <w:t>579</w:t>
            </w:r>
          </w:p>
        </w:tc>
        <w:tc>
          <w:tcPr>
            <w:tcW w:w="628" w:type="dxa"/>
            <w:tcBorders>
              <w:top w:val="nil"/>
            </w:tcBorders>
            <w:shd w:val="clear" w:color="000000" w:fill="FFFFFF"/>
            <w:noWrap/>
            <w:vAlign w:val="center"/>
            <w:hideMark/>
          </w:tcPr>
          <w:p w:rsidR="008A3DC2" w:rsidRPr="00713E4A" w:rsidRDefault="008A3DC2" w:rsidP="00764E1A">
            <w:pPr>
              <w:ind w:right="113"/>
              <w:jc w:val="right"/>
              <w:rPr>
                <w:rFonts w:ascii="Arial Narrow" w:hAnsi="Arial Narrow"/>
                <w:i/>
                <w:color w:val="000000"/>
                <w:sz w:val="16"/>
                <w:szCs w:val="16"/>
              </w:rPr>
            </w:pPr>
            <w:r w:rsidRPr="00713E4A">
              <w:rPr>
                <w:rFonts w:ascii="Arial Narrow" w:hAnsi="Arial Narrow"/>
                <w:i/>
                <w:color w:val="000000"/>
                <w:sz w:val="16"/>
                <w:szCs w:val="16"/>
              </w:rPr>
              <w:t>0,0</w:t>
            </w:r>
          </w:p>
        </w:tc>
        <w:tc>
          <w:tcPr>
            <w:tcW w:w="596" w:type="dxa"/>
            <w:tcBorders>
              <w:top w:val="nil"/>
              <w:right w:val="single" w:sz="4" w:space="0" w:color="auto"/>
            </w:tcBorders>
            <w:shd w:val="clear" w:color="000000" w:fill="FFFFFF"/>
            <w:noWrap/>
            <w:vAlign w:val="center"/>
            <w:hideMark/>
          </w:tcPr>
          <w:p w:rsidR="008A3DC2" w:rsidRPr="00713E4A" w:rsidRDefault="008A3DC2" w:rsidP="00764E1A">
            <w:pPr>
              <w:ind w:right="113"/>
              <w:jc w:val="right"/>
              <w:rPr>
                <w:rFonts w:ascii="Arial Narrow" w:hAnsi="Arial Narrow"/>
                <w:i/>
                <w:color w:val="000000"/>
                <w:sz w:val="16"/>
                <w:szCs w:val="16"/>
              </w:rPr>
            </w:pPr>
            <w:r w:rsidRPr="00713E4A">
              <w:rPr>
                <w:rFonts w:ascii="Arial Narrow" w:hAnsi="Arial Narrow"/>
                <w:i/>
                <w:color w:val="000000"/>
                <w:sz w:val="16"/>
                <w:szCs w:val="16"/>
              </w:rPr>
              <w:t>0,0</w:t>
            </w:r>
          </w:p>
        </w:tc>
      </w:tr>
      <w:tr w:rsidR="008A3DC2" w:rsidRPr="002E2CB0" w:rsidTr="0097301E">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color w:val="000000"/>
                <w:sz w:val="16"/>
                <w:szCs w:val="16"/>
              </w:rPr>
            </w:pPr>
            <w:r w:rsidRPr="002E2CB0">
              <w:rPr>
                <w:rFonts w:ascii="Arial Narrow" w:hAnsi="Arial Narrow"/>
                <w:b/>
                <w:bCs/>
                <w:color w:val="000000"/>
                <w:sz w:val="16"/>
                <w:szCs w:val="16"/>
              </w:rPr>
              <w:t>2</w:t>
            </w:r>
          </w:p>
        </w:tc>
        <w:tc>
          <w:tcPr>
            <w:tcW w:w="4834" w:type="dxa"/>
            <w:gridSpan w:val="4"/>
            <w:tcBorders>
              <w:top w:val="nil"/>
            </w:tcBorders>
            <w:shd w:val="clear" w:color="000000" w:fill="FFFFFF"/>
            <w:vAlign w:val="center"/>
            <w:hideMark/>
          </w:tcPr>
          <w:p w:rsidR="008A3DC2" w:rsidRPr="002E2CB0" w:rsidRDefault="008A3DC2" w:rsidP="00764E1A">
            <w:pPr>
              <w:rPr>
                <w:rFonts w:ascii="Arial Narrow" w:hAnsi="Arial Narrow"/>
                <w:b/>
                <w:bCs/>
                <w:color w:val="000000"/>
                <w:sz w:val="16"/>
                <w:szCs w:val="16"/>
              </w:rPr>
            </w:pPr>
            <w:r w:rsidRPr="002E2CB0">
              <w:rPr>
                <w:rFonts w:ascii="Arial Narrow" w:hAnsi="Arial Narrow"/>
                <w:b/>
                <w:bCs/>
                <w:color w:val="000000"/>
                <w:sz w:val="16"/>
                <w:szCs w:val="16"/>
              </w:rPr>
              <w:t>Μεταβιβάσεις σε λοιπά νομικά πρόσωπα</w:t>
            </w:r>
          </w:p>
        </w:tc>
        <w:tc>
          <w:tcPr>
            <w:tcW w:w="737" w:type="dxa"/>
            <w:tcBorders>
              <w:top w:val="nil"/>
            </w:tcBorders>
            <w:shd w:val="clear" w:color="auto" w:fill="auto"/>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2.162</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1.610</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1.675</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1.679</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1.728</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-22,5</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3,2</w:t>
            </w:r>
          </w:p>
        </w:tc>
      </w:tr>
      <w:tr w:rsidR="008A3DC2" w:rsidRPr="002E2CB0" w:rsidTr="0097301E">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color w:val="000000"/>
                <w:sz w:val="16"/>
                <w:szCs w:val="16"/>
              </w:rPr>
            </w:pPr>
            <w:r w:rsidRPr="002E2CB0">
              <w:rPr>
                <w:rFonts w:ascii="Arial Narrow" w:hAnsi="Arial Narrow"/>
                <w:b/>
                <w:bCs/>
                <w:color w:val="000000"/>
                <w:sz w:val="16"/>
                <w:szCs w:val="16"/>
              </w:rPr>
              <w:t>3</w:t>
            </w:r>
          </w:p>
        </w:tc>
        <w:tc>
          <w:tcPr>
            <w:tcW w:w="4834" w:type="dxa"/>
            <w:gridSpan w:val="4"/>
            <w:tcBorders>
              <w:top w:val="nil"/>
            </w:tcBorders>
            <w:shd w:val="clear" w:color="000000" w:fill="FFFFFF"/>
            <w:vAlign w:val="center"/>
            <w:hideMark/>
          </w:tcPr>
          <w:p w:rsidR="008A3DC2" w:rsidRPr="002E2CB0" w:rsidRDefault="008A3DC2" w:rsidP="00764E1A">
            <w:pPr>
              <w:rPr>
                <w:rFonts w:ascii="Arial Narrow" w:hAnsi="Arial Narrow"/>
                <w:b/>
                <w:bCs/>
                <w:color w:val="000000"/>
                <w:sz w:val="16"/>
                <w:szCs w:val="16"/>
              </w:rPr>
            </w:pPr>
            <w:r w:rsidRPr="002E2CB0">
              <w:rPr>
                <w:rFonts w:ascii="Arial Narrow" w:hAnsi="Arial Narrow"/>
                <w:b/>
                <w:bCs/>
                <w:color w:val="000000"/>
                <w:sz w:val="16"/>
                <w:szCs w:val="16"/>
              </w:rPr>
              <w:t>Λοιπές μεταβιβάσεις (τρέχουσες εγχώριες)</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6</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4</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4</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3</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3</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-37,5</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-28,5</w:t>
            </w:r>
          </w:p>
        </w:tc>
      </w:tr>
      <w:tr w:rsidR="008A3DC2" w:rsidRPr="002E2CB0" w:rsidTr="0097301E">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color w:val="000000"/>
                <w:sz w:val="16"/>
                <w:szCs w:val="16"/>
              </w:rPr>
            </w:pPr>
            <w:r w:rsidRPr="002E2CB0">
              <w:rPr>
                <w:rFonts w:ascii="Arial Narrow" w:hAnsi="Arial Narrow"/>
                <w:b/>
                <w:bCs/>
                <w:color w:val="000000"/>
                <w:sz w:val="16"/>
                <w:szCs w:val="16"/>
              </w:rPr>
              <w:t>4</w:t>
            </w:r>
          </w:p>
        </w:tc>
        <w:tc>
          <w:tcPr>
            <w:tcW w:w="4834" w:type="dxa"/>
            <w:gridSpan w:val="4"/>
            <w:tcBorders>
              <w:top w:val="nil"/>
            </w:tcBorders>
            <w:shd w:val="clear" w:color="000000" w:fill="FFFFFF"/>
            <w:vAlign w:val="center"/>
            <w:hideMark/>
          </w:tcPr>
          <w:p w:rsidR="008A3DC2" w:rsidRPr="002E2CB0" w:rsidRDefault="008A3DC2" w:rsidP="00764E1A">
            <w:pPr>
              <w:rPr>
                <w:rFonts w:ascii="Arial Narrow" w:hAnsi="Arial Narrow"/>
                <w:b/>
                <w:bCs/>
                <w:color w:val="000000"/>
                <w:sz w:val="16"/>
                <w:szCs w:val="16"/>
              </w:rPr>
            </w:pPr>
            <w:r w:rsidRPr="002E2CB0">
              <w:rPr>
                <w:rFonts w:ascii="Arial Narrow" w:hAnsi="Arial Narrow"/>
                <w:b/>
                <w:bCs/>
                <w:color w:val="000000"/>
                <w:sz w:val="16"/>
                <w:szCs w:val="16"/>
              </w:rPr>
              <w:t xml:space="preserve">Επιχορηγήσεις επενδύσεων εσωτερικού </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187</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190</w:t>
            </w:r>
          </w:p>
        </w:tc>
        <w:tc>
          <w:tcPr>
            <w:tcW w:w="729" w:type="dxa"/>
            <w:tcBorders>
              <w:top w:val="nil"/>
            </w:tcBorders>
            <w:shd w:val="clear" w:color="000000" w:fill="FFFFFF"/>
            <w:noWrap/>
            <w:vAlign w:val="center"/>
            <w:hideMark/>
          </w:tcPr>
          <w:p w:rsidR="008A3DC2" w:rsidRPr="002E2CB0" w:rsidRDefault="00F47532" w:rsidP="00764E1A">
            <w:pPr>
              <w:ind w:right="170"/>
              <w:jc w:val="right"/>
              <w:rPr>
                <w:rFonts w:ascii="Arial Narrow" w:hAnsi="Arial Narrow"/>
                <w:b/>
                <w:bCs/>
                <w:color w:val="000000"/>
                <w:sz w:val="16"/>
                <w:szCs w:val="16"/>
              </w:rPr>
            </w:pPr>
            <w:r>
              <w:rPr>
                <w:rFonts w:ascii="Arial Narrow" w:hAnsi="Arial Narrow"/>
                <w:b/>
                <w:bCs/>
                <w:color w:val="000000"/>
                <w:sz w:val="16"/>
                <w:szCs w:val="16"/>
              </w:rPr>
              <w:t>214</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190</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190</w:t>
            </w:r>
          </w:p>
        </w:tc>
        <w:tc>
          <w:tcPr>
            <w:tcW w:w="628" w:type="dxa"/>
            <w:tcBorders>
              <w:top w:val="nil"/>
            </w:tcBorders>
            <w:shd w:val="clear" w:color="000000" w:fill="FFFFFF"/>
            <w:noWrap/>
            <w:vAlign w:val="center"/>
            <w:hideMark/>
          </w:tcPr>
          <w:p w:rsidR="008A3DC2" w:rsidRPr="002E2CB0" w:rsidRDefault="009E10E2" w:rsidP="00764E1A">
            <w:pPr>
              <w:ind w:right="113"/>
              <w:jc w:val="right"/>
              <w:rPr>
                <w:rFonts w:ascii="Arial Narrow" w:hAnsi="Arial Narrow"/>
                <w:b/>
                <w:bCs/>
                <w:color w:val="000000"/>
                <w:sz w:val="16"/>
                <w:szCs w:val="16"/>
              </w:rPr>
            </w:pPr>
            <w:r>
              <w:rPr>
                <w:rFonts w:ascii="Arial Narrow" w:hAnsi="Arial Narrow"/>
                <w:b/>
                <w:bCs/>
                <w:color w:val="000000"/>
                <w:sz w:val="16"/>
                <w:szCs w:val="16"/>
              </w:rPr>
              <w:t>1</w:t>
            </w:r>
            <w:r w:rsidR="008A3DC2" w:rsidRPr="002E2CB0">
              <w:rPr>
                <w:rFonts w:ascii="Arial Narrow" w:hAnsi="Arial Narrow"/>
                <w:b/>
                <w:bCs/>
                <w:color w:val="000000"/>
                <w:sz w:val="16"/>
                <w:szCs w:val="16"/>
              </w:rPr>
              <w:t>4,</w:t>
            </w:r>
            <w:r>
              <w:rPr>
                <w:rFonts w:ascii="Arial Narrow" w:hAnsi="Arial Narrow"/>
                <w:b/>
                <w:bCs/>
                <w:color w:val="000000"/>
                <w:sz w:val="16"/>
                <w:szCs w:val="16"/>
              </w:rPr>
              <w:t>2</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w:t>
            </w:r>
            <w:r w:rsidR="009E10E2">
              <w:rPr>
                <w:rFonts w:ascii="Arial Narrow" w:hAnsi="Arial Narrow"/>
                <w:b/>
                <w:bCs/>
                <w:color w:val="000000"/>
                <w:sz w:val="16"/>
                <w:szCs w:val="16"/>
              </w:rPr>
              <w:t>11,1</w:t>
            </w:r>
          </w:p>
        </w:tc>
      </w:tr>
      <w:tr w:rsidR="008A3DC2" w:rsidRPr="002E2CB0" w:rsidTr="008870AD">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color w:val="000000"/>
                <w:sz w:val="16"/>
                <w:szCs w:val="16"/>
              </w:rPr>
            </w:pPr>
            <w:r w:rsidRPr="002E2CB0">
              <w:rPr>
                <w:rFonts w:ascii="Arial Narrow" w:hAnsi="Arial Narrow"/>
                <w:b/>
                <w:bCs/>
                <w:color w:val="000000"/>
                <w:sz w:val="16"/>
                <w:szCs w:val="16"/>
              </w:rPr>
              <w:t>5</w:t>
            </w:r>
          </w:p>
        </w:tc>
        <w:tc>
          <w:tcPr>
            <w:tcW w:w="4834" w:type="dxa"/>
            <w:gridSpan w:val="4"/>
            <w:tcBorders>
              <w:top w:val="nil"/>
            </w:tcBorders>
            <w:shd w:val="clear" w:color="000000" w:fill="FFFFFF"/>
            <w:vAlign w:val="center"/>
            <w:hideMark/>
          </w:tcPr>
          <w:p w:rsidR="008A3DC2" w:rsidRPr="002E2CB0" w:rsidRDefault="008A3DC2" w:rsidP="00764E1A">
            <w:pPr>
              <w:rPr>
                <w:rFonts w:ascii="Arial Narrow" w:hAnsi="Arial Narrow"/>
                <w:b/>
                <w:bCs/>
                <w:color w:val="000000"/>
                <w:sz w:val="16"/>
                <w:szCs w:val="16"/>
              </w:rPr>
            </w:pPr>
            <w:r w:rsidRPr="002E2CB0">
              <w:rPr>
                <w:rFonts w:ascii="Arial Narrow" w:hAnsi="Arial Narrow"/>
                <w:b/>
                <w:bCs/>
                <w:color w:val="000000"/>
                <w:sz w:val="16"/>
                <w:szCs w:val="16"/>
              </w:rPr>
              <w:t>Λοιπές μεταβιβάσεις</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1.080</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958</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952</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393</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393</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-11,9</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-58,</w:t>
            </w:r>
            <w:r w:rsidR="009E10E2">
              <w:rPr>
                <w:rFonts w:ascii="Arial Narrow" w:hAnsi="Arial Narrow"/>
                <w:b/>
                <w:bCs/>
                <w:color w:val="000000"/>
                <w:sz w:val="16"/>
                <w:szCs w:val="16"/>
              </w:rPr>
              <w:t>7</w:t>
            </w:r>
          </w:p>
        </w:tc>
      </w:tr>
      <w:tr w:rsidR="008A3DC2" w:rsidRPr="002E2CB0" w:rsidTr="008870AD">
        <w:trPr>
          <w:trHeight w:val="215"/>
          <w:jc w:val="center"/>
        </w:trPr>
        <w:tc>
          <w:tcPr>
            <w:tcW w:w="293" w:type="dxa"/>
            <w:tcBorders>
              <w:top w:val="nil"/>
              <w:left w:val="single" w:sz="4" w:space="0" w:color="auto"/>
              <w:right w:val="nil"/>
            </w:tcBorders>
            <w:shd w:val="clear" w:color="000000" w:fill="D8D8D8"/>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I</w:t>
            </w:r>
          </w:p>
        </w:tc>
        <w:tc>
          <w:tcPr>
            <w:tcW w:w="4834" w:type="dxa"/>
            <w:gridSpan w:val="4"/>
            <w:tcBorders>
              <w:top w:val="nil"/>
              <w:left w:val="nil"/>
              <w:right w:val="nil"/>
            </w:tcBorders>
            <w:shd w:val="clear" w:color="000000" w:fill="D8D8D8"/>
            <w:vAlign w:val="center"/>
            <w:hideMark/>
          </w:tcPr>
          <w:p w:rsidR="008A3DC2" w:rsidRPr="002E2CB0" w:rsidRDefault="008A3DC2" w:rsidP="00764E1A">
            <w:pPr>
              <w:rPr>
                <w:rFonts w:ascii="Arial Narrow" w:hAnsi="Arial Narrow"/>
                <w:b/>
                <w:bCs/>
                <w:sz w:val="16"/>
                <w:szCs w:val="16"/>
              </w:rPr>
            </w:pPr>
            <w:r w:rsidRPr="002E2CB0">
              <w:rPr>
                <w:rFonts w:ascii="Arial Narrow" w:hAnsi="Arial Narrow"/>
                <w:b/>
                <w:bCs/>
                <w:sz w:val="16"/>
                <w:szCs w:val="16"/>
              </w:rPr>
              <w:t>Σύνολο μεταβιβάσεων εντός ΓΚ Τακτικού Προϋπολογισμού (1+2+3+4+5)</w:t>
            </w:r>
          </w:p>
        </w:tc>
        <w:tc>
          <w:tcPr>
            <w:tcW w:w="737"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25.637</w:t>
            </w:r>
          </w:p>
        </w:tc>
        <w:tc>
          <w:tcPr>
            <w:tcW w:w="628"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23.360</w:t>
            </w:r>
          </w:p>
        </w:tc>
        <w:tc>
          <w:tcPr>
            <w:tcW w:w="729"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Pr>
                <w:rFonts w:ascii="Arial Narrow" w:hAnsi="Arial Narrow"/>
                <w:b/>
                <w:bCs/>
                <w:sz w:val="16"/>
                <w:szCs w:val="16"/>
              </w:rPr>
              <w:t>2</w:t>
            </w:r>
            <w:r w:rsidR="00F47532">
              <w:rPr>
                <w:rFonts w:ascii="Arial Narrow" w:hAnsi="Arial Narrow"/>
                <w:b/>
                <w:bCs/>
                <w:sz w:val="16"/>
                <w:szCs w:val="16"/>
              </w:rPr>
              <w:t>3.952</w:t>
            </w:r>
          </w:p>
        </w:tc>
        <w:tc>
          <w:tcPr>
            <w:tcW w:w="628"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21.376</w:t>
            </w:r>
          </w:p>
        </w:tc>
        <w:tc>
          <w:tcPr>
            <w:tcW w:w="794"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Pr>
                <w:rFonts w:ascii="Arial Narrow" w:hAnsi="Arial Narrow"/>
                <w:b/>
                <w:bCs/>
                <w:sz w:val="16"/>
                <w:szCs w:val="16"/>
              </w:rPr>
              <w:t>23.</w:t>
            </w:r>
            <w:r w:rsidR="009E10E2">
              <w:rPr>
                <w:rFonts w:ascii="Arial Narrow" w:hAnsi="Arial Narrow"/>
                <w:b/>
                <w:bCs/>
                <w:sz w:val="16"/>
                <w:szCs w:val="16"/>
              </w:rPr>
              <w:t>682</w:t>
            </w:r>
          </w:p>
        </w:tc>
        <w:tc>
          <w:tcPr>
            <w:tcW w:w="628" w:type="dxa"/>
            <w:tcBorders>
              <w:top w:val="nil"/>
              <w:left w:val="nil"/>
              <w:right w:val="nil"/>
            </w:tcBorders>
            <w:shd w:val="clear" w:color="000000" w:fill="D8D8D8"/>
            <w:noWrap/>
            <w:vAlign w:val="center"/>
            <w:hideMark/>
          </w:tcPr>
          <w:p w:rsidR="008A3DC2" w:rsidRPr="002E2CB0" w:rsidRDefault="008A3DC2" w:rsidP="00764E1A">
            <w:pPr>
              <w:ind w:right="113"/>
              <w:jc w:val="right"/>
              <w:rPr>
                <w:rFonts w:ascii="Arial Narrow" w:hAnsi="Arial Narrow"/>
                <w:b/>
                <w:bCs/>
                <w:sz w:val="16"/>
                <w:szCs w:val="16"/>
              </w:rPr>
            </w:pPr>
            <w:r>
              <w:rPr>
                <w:rFonts w:ascii="Arial Narrow" w:hAnsi="Arial Narrow"/>
                <w:b/>
                <w:bCs/>
                <w:sz w:val="16"/>
                <w:szCs w:val="16"/>
              </w:rPr>
              <w:t>-6,</w:t>
            </w:r>
            <w:r w:rsidR="009E10E2">
              <w:rPr>
                <w:rFonts w:ascii="Arial Narrow" w:hAnsi="Arial Narrow"/>
                <w:b/>
                <w:bCs/>
                <w:sz w:val="16"/>
                <w:szCs w:val="16"/>
              </w:rPr>
              <w:t>6</w:t>
            </w:r>
          </w:p>
        </w:tc>
        <w:tc>
          <w:tcPr>
            <w:tcW w:w="596" w:type="dxa"/>
            <w:tcBorders>
              <w:top w:val="nil"/>
              <w:left w:val="nil"/>
              <w:right w:val="single" w:sz="4" w:space="0" w:color="auto"/>
            </w:tcBorders>
            <w:shd w:val="clear" w:color="000000" w:fill="D8D8D8"/>
            <w:noWrap/>
            <w:vAlign w:val="center"/>
            <w:hideMark/>
          </w:tcPr>
          <w:p w:rsidR="008A3DC2" w:rsidRPr="002E2CB0" w:rsidRDefault="008A3DC2" w:rsidP="00764E1A">
            <w:pPr>
              <w:ind w:right="113"/>
              <w:jc w:val="right"/>
              <w:rPr>
                <w:rFonts w:ascii="Arial Narrow" w:hAnsi="Arial Narrow"/>
                <w:b/>
                <w:bCs/>
                <w:sz w:val="16"/>
                <w:szCs w:val="16"/>
              </w:rPr>
            </w:pPr>
            <w:r>
              <w:rPr>
                <w:rFonts w:ascii="Arial Narrow" w:hAnsi="Arial Narrow"/>
                <w:b/>
                <w:bCs/>
                <w:sz w:val="16"/>
                <w:szCs w:val="16"/>
              </w:rPr>
              <w:t>-</w:t>
            </w:r>
            <w:r w:rsidR="009E10E2">
              <w:rPr>
                <w:rFonts w:ascii="Arial Narrow" w:hAnsi="Arial Narrow"/>
                <w:b/>
                <w:bCs/>
                <w:sz w:val="16"/>
                <w:szCs w:val="16"/>
              </w:rPr>
              <w:t>1,1</w:t>
            </w:r>
          </w:p>
        </w:tc>
      </w:tr>
      <w:tr w:rsidR="008870AD" w:rsidRPr="002E2CB0" w:rsidTr="008870AD">
        <w:trPr>
          <w:trHeight w:val="215"/>
          <w:jc w:val="center"/>
        </w:trPr>
        <w:tc>
          <w:tcPr>
            <w:tcW w:w="293" w:type="dxa"/>
            <w:tcBorders>
              <w:left w:val="single" w:sz="4" w:space="0" w:color="auto"/>
              <w:bottom w:val="single" w:sz="4" w:space="0" w:color="auto"/>
              <w:right w:val="nil"/>
            </w:tcBorders>
            <w:shd w:val="clear" w:color="auto" w:fill="auto"/>
            <w:noWrap/>
            <w:vAlign w:val="center"/>
            <w:hideMark/>
          </w:tcPr>
          <w:p w:rsidR="008870AD" w:rsidRPr="002E2CB0" w:rsidRDefault="008870AD" w:rsidP="00764E1A">
            <w:pPr>
              <w:jc w:val="center"/>
              <w:rPr>
                <w:rFonts w:ascii="Arial Narrow" w:hAnsi="Arial Narrow"/>
                <w:b/>
                <w:bCs/>
                <w:sz w:val="16"/>
                <w:szCs w:val="16"/>
              </w:rPr>
            </w:pPr>
          </w:p>
        </w:tc>
        <w:tc>
          <w:tcPr>
            <w:tcW w:w="4834" w:type="dxa"/>
            <w:gridSpan w:val="4"/>
            <w:tcBorders>
              <w:left w:val="nil"/>
              <w:bottom w:val="single" w:sz="4" w:space="0" w:color="auto"/>
              <w:right w:val="nil"/>
            </w:tcBorders>
            <w:shd w:val="clear" w:color="auto" w:fill="auto"/>
            <w:vAlign w:val="center"/>
            <w:hideMark/>
          </w:tcPr>
          <w:p w:rsidR="008870AD" w:rsidRPr="002E2CB0" w:rsidRDefault="008870AD" w:rsidP="00764E1A">
            <w:pPr>
              <w:rPr>
                <w:rFonts w:ascii="Arial Narrow" w:hAnsi="Arial Narrow"/>
                <w:b/>
                <w:bCs/>
                <w:sz w:val="16"/>
                <w:szCs w:val="16"/>
              </w:rPr>
            </w:pPr>
          </w:p>
        </w:tc>
        <w:tc>
          <w:tcPr>
            <w:tcW w:w="737" w:type="dxa"/>
            <w:tcBorders>
              <w:left w:val="nil"/>
              <w:bottom w:val="single" w:sz="4" w:space="0" w:color="auto"/>
              <w:right w:val="nil"/>
            </w:tcBorders>
            <w:shd w:val="clear" w:color="auto" w:fill="auto"/>
            <w:noWrap/>
            <w:vAlign w:val="center"/>
            <w:hideMark/>
          </w:tcPr>
          <w:p w:rsidR="008870AD" w:rsidRPr="002E2CB0" w:rsidRDefault="008870AD" w:rsidP="00764E1A">
            <w:pPr>
              <w:ind w:right="170"/>
              <w:jc w:val="right"/>
              <w:rPr>
                <w:rFonts w:ascii="Arial Narrow" w:hAnsi="Arial Narrow"/>
                <w:b/>
                <w:bCs/>
                <w:sz w:val="16"/>
                <w:szCs w:val="16"/>
              </w:rPr>
            </w:pPr>
          </w:p>
        </w:tc>
        <w:tc>
          <w:tcPr>
            <w:tcW w:w="628" w:type="dxa"/>
            <w:tcBorders>
              <w:left w:val="nil"/>
              <w:bottom w:val="single" w:sz="4" w:space="0" w:color="auto"/>
              <w:right w:val="nil"/>
            </w:tcBorders>
            <w:shd w:val="clear" w:color="auto" w:fill="auto"/>
            <w:noWrap/>
            <w:vAlign w:val="center"/>
            <w:hideMark/>
          </w:tcPr>
          <w:p w:rsidR="008870AD" w:rsidRPr="002E2CB0" w:rsidRDefault="008870AD" w:rsidP="00764E1A">
            <w:pPr>
              <w:ind w:right="170"/>
              <w:jc w:val="right"/>
              <w:rPr>
                <w:rFonts w:ascii="Arial Narrow" w:hAnsi="Arial Narrow"/>
                <w:b/>
                <w:bCs/>
                <w:sz w:val="16"/>
                <w:szCs w:val="16"/>
              </w:rPr>
            </w:pPr>
          </w:p>
        </w:tc>
        <w:tc>
          <w:tcPr>
            <w:tcW w:w="729" w:type="dxa"/>
            <w:tcBorders>
              <w:left w:val="nil"/>
              <w:bottom w:val="single" w:sz="4" w:space="0" w:color="auto"/>
              <w:right w:val="nil"/>
            </w:tcBorders>
            <w:shd w:val="clear" w:color="auto" w:fill="auto"/>
            <w:noWrap/>
            <w:vAlign w:val="center"/>
            <w:hideMark/>
          </w:tcPr>
          <w:p w:rsidR="008870AD" w:rsidRDefault="008870AD" w:rsidP="00764E1A">
            <w:pPr>
              <w:ind w:right="170"/>
              <w:jc w:val="right"/>
              <w:rPr>
                <w:rFonts w:ascii="Arial Narrow" w:hAnsi="Arial Narrow"/>
                <w:b/>
                <w:bCs/>
                <w:sz w:val="16"/>
                <w:szCs w:val="16"/>
              </w:rPr>
            </w:pPr>
          </w:p>
        </w:tc>
        <w:tc>
          <w:tcPr>
            <w:tcW w:w="628" w:type="dxa"/>
            <w:tcBorders>
              <w:left w:val="nil"/>
              <w:bottom w:val="single" w:sz="4" w:space="0" w:color="auto"/>
              <w:right w:val="nil"/>
            </w:tcBorders>
            <w:shd w:val="clear" w:color="auto" w:fill="auto"/>
            <w:noWrap/>
            <w:vAlign w:val="center"/>
            <w:hideMark/>
          </w:tcPr>
          <w:p w:rsidR="008870AD" w:rsidRPr="002E2CB0" w:rsidRDefault="008870AD" w:rsidP="00764E1A">
            <w:pPr>
              <w:ind w:right="170"/>
              <w:jc w:val="right"/>
              <w:rPr>
                <w:rFonts w:ascii="Arial Narrow" w:hAnsi="Arial Narrow"/>
                <w:b/>
                <w:bCs/>
                <w:sz w:val="16"/>
                <w:szCs w:val="16"/>
              </w:rPr>
            </w:pPr>
          </w:p>
        </w:tc>
        <w:tc>
          <w:tcPr>
            <w:tcW w:w="794" w:type="dxa"/>
            <w:tcBorders>
              <w:left w:val="nil"/>
              <w:bottom w:val="single" w:sz="4" w:space="0" w:color="auto"/>
              <w:right w:val="nil"/>
            </w:tcBorders>
            <w:shd w:val="clear" w:color="auto" w:fill="auto"/>
            <w:noWrap/>
            <w:vAlign w:val="center"/>
            <w:hideMark/>
          </w:tcPr>
          <w:p w:rsidR="008870AD" w:rsidRDefault="008870AD" w:rsidP="00764E1A">
            <w:pPr>
              <w:ind w:right="170"/>
              <w:jc w:val="right"/>
              <w:rPr>
                <w:rFonts w:ascii="Arial Narrow" w:hAnsi="Arial Narrow"/>
                <w:b/>
                <w:bCs/>
                <w:sz w:val="16"/>
                <w:szCs w:val="16"/>
              </w:rPr>
            </w:pPr>
          </w:p>
        </w:tc>
        <w:tc>
          <w:tcPr>
            <w:tcW w:w="628" w:type="dxa"/>
            <w:tcBorders>
              <w:left w:val="nil"/>
              <w:bottom w:val="single" w:sz="4" w:space="0" w:color="auto"/>
              <w:right w:val="nil"/>
            </w:tcBorders>
            <w:shd w:val="clear" w:color="auto" w:fill="auto"/>
            <w:noWrap/>
            <w:vAlign w:val="center"/>
            <w:hideMark/>
          </w:tcPr>
          <w:p w:rsidR="008870AD" w:rsidRDefault="008870AD" w:rsidP="00764E1A">
            <w:pPr>
              <w:ind w:right="113"/>
              <w:jc w:val="right"/>
              <w:rPr>
                <w:rFonts w:ascii="Arial Narrow" w:hAnsi="Arial Narrow"/>
                <w:b/>
                <w:bCs/>
                <w:sz w:val="16"/>
                <w:szCs w:val="16"/>
              </w:rPr>
            </w:pPr>
          </w:p>
        </w:tc>
        <w:tc>
          <w:tcPr>
            <w:tcW w:w="596" w:type="dxa"/>
            <w:tcBorders>
              <w:left w:val="nil"/>
              <w:bottom w:val="single" w:sz="4" w:space="0" w:color="auto"/>
              <w:right w:val="single" w:sz="4" w:space="0" w:color="auto"/>
            </w:tcBorders>
            <w:shd w:val="clear" w:color="auto" w:fill="auto"/>
            <w:noWrap/>
            <w:vAlign w:val="center"/>
            <w:hideMark/>
          </w:tcPr>
          <w:p w:rsidR="008870AD" w:rsidRDefault="008870AD" w:rsidP="00764E1A">
            <w:pPr>
              <w:ind w:right="113"/>
              <w:jc w:val="right"/>
              <w:rPr>
                <w:rFonts w:ascii="Arial Narrow" w:hAnsi="Arial Narrow"/>
                <w:b/>
                <w:bCs/>
                <w:sz w:val="16"/>
                <w:szCs w:val="16"/>
              </w:rPr>
            </w:pPr>
          </w:p>
        </w:tc>
      </w:tr>
      <w:tr w:rsidR="008A3DC2" w:rsidRPr="002E2CB0" w:rsidTr="0097301E">
        <w:trPr>
          <w:trHeight w:val="215"/>
          <w:jc w:val="center"/>
        </w:trPr>
        <w:tc>
          <w:tcPr>
            <w:tcW w:w="9867" w:type="dxa"/>
            <w:gridSpan w:val="1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3DC2" w:rsidRPr="002E2CB0" w:rsidRDefault="008A3DC2" w:rsidP="00612DF2">
            <w:pPr>
              <w:spacing w:before="60" w:after="60"/>
              <w:jc w:val="center"/>
              <w:rPr>
                <w:rFonts w:ascii="Arial Narrow" w:hAnsi="Arial Narrow"/>
                <w:b/>
                <w:bCs/>
                <w:color w:val="000000"/>
                <w:sz w:val="16"/>
                <w:szCs w:val="16"/>
              </w:rPr>
            </w:pPr>
            <w:r w:rsidRPr="002E2CB0">
              <w:rPr>
                <w:rFonts w:ascii="Arial Narrow" w:hAnsi="Arial Narrow"/>
                <w:b/>
                <w:bCs/>
                <w:color w:val="000000"/>
                <w:sz w:val="16"/>
                <w:szCs w:val="16"/>
              </w:rPr>
              <w:t>Μεταβιβάσεις φορέων εκτός Γενικής Κυβέρνησης</w:t>
            </w:r>
          </w:p>
        </w:tc>
      </w:tr>
      <w:tr w:rsidR="008A3DC2" w:rsidRPr="002E2CB0" w:rsidTr="0097301E">
        <w:trPr>
          <w:trHeight w:val="215"/>
          <w:jc w:val="center"/>
        </w:trPr>
        <w:tc>
          <w:tcPr>
            <w:tcW w:w="293" w:type="dxa"/>
            <w:tcBorders>
              <w:top w:val="single" w:sz="4" w:space="0" w:color="auto"/>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color w:val="000000"/>
                <w:sz w:val="16"/>
                <w:szCs w:val="16"/>
              </w:rPr>
            </w:pPr>
            <w:r w:rsidRPr="002E2CB0">
              <w:rPr>
                <w:rFonts w:ascii="Arial Narrow" w:hAnsi="Arial Narrow"/>
                <w:b/>
                <w:bCs/>
                <w:color w:val="000000"/>
                <w:sz w:val="16"/>
                <w:szCs w:val="16"/>
              </w:rPr>
              <w:t>1</w:t>
            </w:r>
          </w:p>
        </w:tc>
        <w:tc>
          <w:tcPr>
            <w:tcW w:w="4834" w:type="dxa"/>
            <w:gridSpan w:val="4"/>
            <w:tcBorders>
              <w:top w:val="single" w:sz="4" w:space="0" w:color="auto"/>
            </w:tcBorders>
            <w:shd w:val="clear" w:color="000000" w:fill="FFFFFF"/>
            <w:vAlign w:val="center"/>
            <w:hideMark/>
          </w:tcPr>
          <w:p w:rsidR="008A3DC2" w:rsidRPr="002E2CB0" w:rsidRDefault="008A3DC2" w:rsidP="00764E1A">
            <w:pPr>
              <w:rPr>
                <w:rFonts w:ascii="Arial Narrow" w:hAnsi="Arial Narrow"/>
                <w:b/>
                <w:bCs/>
                <w:color w:val="000000"/>
                <w:sz w:val="16"/>
                <w:szCs w:val="16"/>
              </w:rPr>
            </w:pPr>
            <w:r w:rsidRPr="002E2CB0">
              <w:rPr>
                <w:rFonts w:ascii="Arial Narrow" w:hAnsi="Arial Narrow"/>
                <w:b/>
                <w:bCs/>
                <w:color w:val="000000"/>
                <w:sz w:val="16"/>
                <w:szCs w:val="16"/>
              </w:rPr>
              <w:t>Μεταβιβάσεις σε λοιπά νομικά πρόσωπα</w:t>
            </w:r>
          </w:p>
        </w:tc>
        <w:tc>
          <w:tcPr>
            <w:tcW w:w="737"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174</w:t>
            </w:r>
          </w:p>
        </w:tc>
        <w:tc>
          <w:tcPr>
            <w:tcW w:w="628"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113</w:t>
            </w:r>
          </w:p>
        </w:tc>
        <w:tc>
          <w:tcPr>
            <w:tcW w:w="729"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138</w:t>
            </w:r>
          </w:p>
        </w:tc>
        <w:tc>
          <w:tcPr>
            <w:tcW w:w="628"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119</w:t>
            </w:r>
          </w:p>
        </w:tc>
        <w:tc>
          <w:tcPr>
            <w:tcW w:w="794" w:type="dxa"/>
            <w:tcBorders>
              <w:top w:val="single" w:sz="4" w:space="0" w:color="auto"/>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Pr>
                <w:rFonts w:ascii="Arial Narrow" w:hAnsi="Arial Narrow"/>
                <w:b/>
                <w:bCs/>
                <w:color w:val="000000"/>
                <w:sz w:val="16"/>
                <w:szCs w:val="16"/>
              </w:rPr>
              <w:t>117</w:t>
            </w:r>
          </w:p>
        </w:tc>
        <w:tc>
          <w:tcPr>
            <w:tcW w:w="628" w:type="dxa"/>
            <w:tcBorders>
              <w:top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-20,8</w:t>
            </w:r>
          </w:p>
        </w:tc>
        <w:tc>
          <w:tcPr>
            <w:tcW w:w="596" w:type="dxa"/>
            <w:tcBorders>
              <w:top w:val="single" w:sz="4" w:space="0" w:color="auto"/>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Pr>
                <w:rFonts w:ascii="Arial Narrow" w:hAnsi="Arial Narrow"/>
                <w:b/>
                <w:bCs/>
                <w:color w:val="000000"/>
                <w:sz w:val="16"/>
                <w:szCs w:val="16"/>
              </w:rPr>
              <w:t>-15,3</w:t>
            </w:r>
          </w:p>
        </w:tc>
      </w:tr>
      <w:tr w:rsidR="008A3DC2" w:rsidRPr="002E2CB0" w:rsidTr="0097301E">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764E1A">
            <w:pPr>
              <w:jc w:val="center"/>
              <w:rPr>
                <w:rFonts w:ascii="Arial Narrow" w:hAnsi="Arial Narrow"/>
                <w:b/>
                <w:bCs/>
                <w:color w:val="000000"/>
                <w:sz w:val="16"/>
                <w:szCs w:val="16"/>
              </w:rPr>
            </w:pPr>
            <w:r w:rsidRPr="002E2CB0">
              <w:rPr>
                <w:rFonts w:ascii="Arial Narrow" w:hAnsi="Arial Narrow"/>
                <w:b/>
                <w:bCs/>
                <w:color w:val="000000"/>
                <w:sz w:val="16"/>
                <w:szCs w:val="16"/>
              </w:rPr>
              <w:t>2</w:t>
            </w:r>
          </w:p>
        </w:tc>
        <w:tc>
          <w:tcPr>
            <w:tcW w:w="4834" w:type="dxa"/>
            <w:gridSpan w:val="4"/>
            <w:tcBorders>
              <w:top w:val="nil"/>
            </w:tcBorders>
            <w:shd w:val="clear" w:color="000000" w:fill="FFFFFF"/>
            <w:vAlign w:val="center"/>
            <w:hideMark/>
          </w:tcPr>
          <w:p w:rsidR="008A3DC2" w:rsidRPr="002E2CB0" w:rsidRDefault="008A3DC2" w:rsidP="00764E1A">
            <w:pPr>
              <w:rPr>
                <w:rFonts w:ascii="Arial Narrow" w:hAnsi="Arial Narrow"/>
                <w:b/>
                <w:bCs/>
                <w:color w:val="000000"/>
                <w:sz w:val="16"/>
                <w:szCs w:val="16"/>
              </w:rPr>
            </w:pPr>
            <w:r w:rsidRPr="002E2CB0">
              <w:rPr>
                <w:rFonts w:ascii="Arial Narrow" w:hAnsi="Arial Narrow"/>
                <w:b/>
                <w:bCs/>
                <w:color w:val="000000"/>
                <w:sz w:val="16"/>
                <w:szCs w:val="16"/>
              </w:rPr>
              <w:t>Λοιπές μεταβιβάσεις (τρέχουσες εγχώριες)</w:t>
            </w:r>
          </w:p>
        </w:tc>
        <w:tc>
          <w:tcPr>
            <w:tcW w:w="737"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157</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96</w:t>
            </w:r>
          </w:p>
        </w:tc>
        <w:tc>
          <w:tcPr>
            <w:tcW w:w="729"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131</w:t>
            </w:r>
          </w:p>
        </w:tc>
        <w:tc>
          <w:tcPr>
            <w:tcW w:w="628"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90</w:t>
            </w:r>
          </w:p>
        </w:tc>
        <w:tc>
          <w:tcPr>
            <w:tcW w:w="794" w:type="dxa"/>
            <w:tcBorders>
              <w:top w:val="nil"/>
            </w:tcBorders>
            <w:shd w:val="clear" w:color="000000" w:fill="FFFFFF"/>
            <w:noWrap/>
            <w:vAlign w:val="center"/>
            <w:hideMark/>
          </w:tcPr>
          <w:p w:rsidR="008A3DC2" w:rsidRPr="002E2CB0" w:rsidRDefault="008A3DC2" w:rsidP="00764E1A">
            <w:pPr>
              <w:ind w:right="170"/>
              <w:jc w:val="right"/>
              <w:rPr>
                <w:rFonts w:ascii="Arial Narrow" w:hAnsi="Arial Narrow"/>
                <w:b/>
                <w:bCs/>
                <w:color w:val="000000"/>
                <w:sz w:val="16"/>
                <w:szCs w:val="16"/>
              </w:rPr>
            </w:pPr>
            <w:r w:rsidRPr="002E2CB0">
              <w:rPr>
                <w:rFonts w:ascii="Arial Narrow" w:hAnsi="Arial Narrow"/>
                <w:b/>
                <w:bCs/>
                <w:color w:val="000000"/>
                <w:sz w:val="16"/>
                <w:szCs w:val="16"/>
              </w:rPr>
              <w:t>82</w:t>
            </w:r>
          </w:p>
        </w:tc>
        <w:tc>
          <w:tcPr>
            <w:tcW w:w="628" w:type="dxa"/>
            <w:tcBorders>
              <w:top w:val="nil"/>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-16,7</w:t>
            </w:r>
          </w:p>
        </w:tc>
        <w:tc>
          <w:tcPr>
            <w:tcW w:w="596" w:type="dxa"/>
            <w:tcBorders>
              <w:top w:val="nil"/>
              <w:right w:val="single" w:sz="4" w:space="0" w:color="auto"/>
            </w:tcBorders>
            <w:shd w:val="clear" w:color="000000" w:fill="FFFFFF"/>
            <w:noWrap/>
            <w:vAlign w:val="center"/>
            <w:hideMark/>
          </w:tcPr>
          <w:p w:rsidR="008A3DC2" w:rsidRPr="002E2CB0" w:rsidRDefault="008A3DC2" w:rsidP="00764E1A">
            <w:pPr>
              <w:ind w:right="113"/>
              <w:jc w:val="right"/>
              <w:rPr>
                <w:rFonts w:ascii="Arial Narrow" w:hAnsi="Arial Narrow"/>
                <w:b/>
                <w:bCs/>
                <w:color w:val="000000"/>
                <w:sz w:val="16"/>
                <w:szCs w:val="16"/>
              </w:rPr>
            </w:pPr>
            <w:r w:rsidRPr="002E2CB0">
              <w:rPr>
                <w:rFonts w:ascii="Arial Narrow" w:hAnsi="Arial Narrow"/>
                <w:b/>
                <w:bCs/>
                <w:color w:val="000000"/>
                <w:sz w:val="16"/>
                <w:szCs w:val="16"/>
              </w:rPr>
              <w:t>-37,5</w:t>
            </w:r>
          </w:p>
        </w:tc>
      </w:tr>
      <w:tr w:rsidR="008A3DC2" w:rsidRPr="002E2CB0" w:rsidTr="0097301E">
        <w:trPr>
          <w:trHeight w:val="215"/>
          <w:jc w:val="center"/>
        </w:trPr>
        <w:tc>
          <w:tcPr>
            <w:tcW w:w="293" w:type="dxa"/>
            <w:tcBorders>
              <w:top w:val="nil"/>
              <w:left w:val="single" w:sz="4" w:space="0" w:color="auto"/>
            </w:tcBorders>
            <w:shd w:val="clear" w:color="000000" w:fill="FFFFFF"/>
            <w:noWrap/>
            <w:vAlign w:val="center"/>
            <w:hideMark/>
          </w:tcPr>
          <w:p w:rsidR="008A3DC2" w:rsidRPr="002E2CB0" w:rsidRDefault="008A3DC2" w:rsidP="0097301E">
            <w:pPr>
              <w:jc w:val="center"/>
              <w:rPr>
                <w:rFonts w:ascii="Arial Narrow" w:hAnsi="Arial Narrow"/>
                <w:b/>
                <w:bCs/>
                <w:color w:val="000000"/>
                <w:sz w:val="16"/>
                <w:szCs w:val="16"/>
              </w:rPr>
            </w:pPr>
            <w:r w:rsidRPr="002E2CB0">
              <w:rPr>
                <w:rFonts w:ascii="Arial Narrow" w:hAnsi="Arial Narrow"/>
                <w:b/>
                <w:bCs/>
                <w:color w:val="000000"/>
                <w:sz w:val="16"/>
                <w:szCs w:val="16"/>
              </w:rPr>
              <w:t>3</w:t>
            </w:r>
          </w:p>
        </w:tc>
        <w:tc>
          <w:tcPr>
            <w:tcW w:w="4834" w:type="dxa"/>
            <w:gridSpan w:val="4"/>
            <w:tcBorders>
              <w:top w:val="nil"/>
            </w:tcBorders>
            <w:shd w:val="clear" w:color="000000" w:fill="FFFFFF"/>
            <w:vAlign w:val="center"/>
            <w:hideMark/>
          </w:tcPr>
          <w:p w:rsidR="008A3DC2" w:rsidRPr="002E2CB0" w:rsidRDefault="008A3DC2" w:rsidP="0097301E">
            <w:pPr>
              <w:rPr>
                <w:rFonts w:ascii="Arial Narrow" w:hAnsi="Arial Narrow"/>
                <w:b/>
                <w:bCs/>
                <w:color w:val="000000"/>
                <w:sz w:val="16"/>
                <w:szCs w:val="16"/>
              </w:rPr>
            </w:pPr>
            <w:r w:rsidRPr="002E2CB0">
              <w:rPr>
                <w:rFonts w:ascii="Arial Narrow" w:hAnsi="Arial Narrow"/>
                <w:b/>
                <w:bCs/>
                <w:color w:val="000000"/>
                <w:sz w:val="16"/>
                <w:szCs w:val="16"/>
              </w:rPr>
              <w:t>Λοιπές μεταβιβάσεις</w:t>
            </w:r>
          </w:p>
        </w:tc>
        <w:tc>
          <w:tcPr>
            <w:tcW w:w="737" w:type="dxa"/>
            <w:tcBorders>
              <w:top w:val="nil"/>
            </w:tcBorders>
            <w:shd w:val="clear" w:color="000000" w:fill="FFFFFF"/>
            <w:noWrap/>
            <w:vAlign w:val="center"/>
            <w:hideMark/>
          </w:tcPr>
          <w:p w:rsidR="008A3DC2" w:rsidRPr="002E2CB0" w:rsidRDefault="008A3DC2" w:rsidP="0097301E">
            <w:pPr>
              <w:ind w:right="170"/>
              <w:jc w:val="right"/>
              <w:rPr>
                <w:rFonts w:ascii="Arial Narrow" w:hAnsi="Arial Narrow"/>
                <w:b/>
                <w:bCs/>
                <w:color w:val="000000"/>
                <w:sz w:val="16"/>
                <w:szCs w:val="16"/>
              </w:rPr>
            </w:pPr>
            <w:r w:rsidRPr="002E2CB0">
              <w:rPr>
                <w:rFonts w:ascii="Arial Narrow" w:hAnsi="Arial Narrow"/>
                <w:b/>
                <w:bCs/>
                <w:color w:val="000000"/>
                <w:sz w:val="16"/>
                <w:szCs w:val="16"/>
              </w:rPr>
              <w:t>2.745</w:t>
            </w:r>
          </w:p>
        </w:tc>
        <w:tc>
          <w:tcPr>
            <w:tcW w:w="628" w:type="dxa"/>
            <w:tcBorders>
              <w:top w:val="nil"/>
            </w:tcBorders>
            <w:shd w:val="clear" w:color="000000" w:fill="FFFFFF"/>
            <w:noWrap/>
            <w:vAlign w:val="center"/>
            <w:hideMark/>
          </w:tcPr>
          <w:p w:rsidR="008A3DC2" w:rsidRPr="002E2CB0" w:rsidRDefault="008A3DC2" w:rsidP="0097301E">
            <w:pPr>
              <w:ind w:right="170"/>
              <w:jc w:val="right"/>
              <w:rPr>
                <w:rFonts w:ascii="Arial Narrow" w:hAnsi="Arial Narrow"/>
                <w:b/>
                <w:bCs/>
                <w:color w:val="000000"/>
                <w:sz w:val="16"/>
                <w:szCs w:val="16"/>
              </w:rPr>
            </w:pPr>
            <w:r w:rsidRPr="002E2CB0">
              <w:rPr>
                <w:rFonts w:ascii="Arial Narrow" w:hAnsi="Arial Narrow"/>
                <w:b/>
                <w:bCs/>
                <w:color w:val="000000"/>
                <w:sz w:val="16"/>
                <w:szCs w:val="16"/>
              </w:rPr>
              <w:t>2.073</w:t>
            </w:r>
          </w:p>
        </w:tc>
        <w:tc>
          <w:tcPr>
            <w:tcW w:w="729" w:type="dxa"/>
            <w:tcBorders>
              <w:top w:val="nil"/>
            </w:tcBorders>
            <w:shd w:val="clear" w:color="000000" w:fill="FFFFFF"/>
            <w:noWrap/>
            <w:vAlign w:val="center"/>
            <w:hideMark/>
          </w:tcPr>
          <w:p w:rsidR="008A3DC2" w:rsidRPr="002E2CB0" w:rsidRDefault="008A3DC2" w:rsidP="0097301E">
            <w:pPr>
              <w:ind w:right="170"/>
              <w:jc w:val="right"/>
              <w:rPr>
                <w:rFonts w:ascii="Arial Narrow" w:hAnsi="Arial Narrow"/>
                <w:b/>
                <w:bCs/>
                <w:color w:val="000000"/>
                <w:sz w:val="16"/>
                <w:szCs w:val="16"/>
              </w:rPr>
            </w:pPr>
            <w:r>
              <w:rPr>
                <w:rFonts w:ascii="Arial Narrow" w:hAnsi="Arial Narrow"/>
                <w:b/>
                <w:bCs/>
                <w:color w:val="000000"/>
                <w:sz w:val="16"/>
                <w:szCs w:val="16"/>
              </w:rPr>
              <w:t>2.249</w:t>
            </w:r>
          </w:p>
        </w:tc>
        <w:tc>
          <w:tcPr>
            <w:tcW w:w="628" w:type="dxa"/>
            <w:tcBorders>
              <w:top w:val="nil"/>
            </w:tcBorders>
            <w:shd w:val="clear" w:color="000000" w:fill="FFFFFF"/>
            <w:noWrap/>
            <w:vAlign w:val="center"/>
            <w:hideMark/>
          </w:tcPr>
          <w:p w:rsidR="008A3DC2" w:rsidRPr="002E2CB0" w:rsidRDefault="008A3DC2" w:rsidP="0097301E">
            <w:pPr>
              <w:ind w:right="170"/>
              <w:jc w:val="right"/>
              <w:rPr>
                <w:rFonts w:ascii="Arial Narrow" w:hAnsi="Arial Narrow"/>
                <w:b/>
                <w:bCs/>
                <w:color w:val="000000"/>
                <w:sz w:val="16"/>
                <w:szCs w:val="16"/>
              </w:rPr>
            </w:pPr>
            <w:r w:rsidRPr="002E2CB0">
              <w:rPr>
                <w:rFonts w:ascii="Arial Narrow" w:hAnsi="Arial Narrow"/>
                <w:b/>
                <w:bCs/>
                <w:color w:val="000000"/>
                <w:sz w:val="16"/>
                <w:szCs w:val="16"/>
              </w:rPr>
              <w:t>2.251</w:t>
            </w:r>
          </w:p>
        </w:tc>
        <w:tc>
          <w:tcPr>
            <w:tcW w:w="794" w:type="dxa"/>
            <w:tcBorders>
              <w:top w:val="nil"/>
            </w:tcBorders>
            <w:shd w:val="clear" w:color="000000" w:fill="FFFFFF"/>
            <w:noWrap/>
            <w:vAlign w:val="center"/>
            <w:hideMark/>
          </w:tcPr>
          <w:p w:rsidR="008A3DC2" w:rsidRPr="002E2CB0" w:rsidRDefault="008A3DC2" w:rsidP="0097301E">
            <w:pPr>
              <w:ind w:right="170"/>
              <w:jc w:val="right"/>
              <w:rPr>
                <w:rFonts w:ascii="Arial Narrow" w:hAnsi="Arial Narrow"/>
                <w:b/>
                <w:bCs/>
                <w:color w:val="000000"/>
                <w:sz w:val="16"/>
                <w:szCs w:val="16"/>
              </w:rPr>
            </w:pPr>
            <w:r w:rsidRPr="002E2CB0">
              <w:rPr>
                <w:rFonts w:ascii="Arial Narrow" w:hAnsi="Arial Narrow"/>
                <w:b/>
                <w:bCs/>
                <w:color w:val="000000"/>
                <w:sz w:val="16"/>
                <w:szCs w:val="16"/>
              </w:rPr>
              <w:t>2.223</w:t>
            </w:r>
          </w:p>
        </w:tc>
        <w:tc>
          <w:tcPr>
            <w:tcW w:w="628" w:type="dxa"/>
            <w:tcBorders>
              <w:top w:val="nil"/>
            </w:tcBorders>
            <w:shd w:val="clear" w:color="000000" w:fill="FFFFFF"/>
            <w:noWrap/>
            <w:vAlign w:val="center"/>
            <w:hideMark/>
          </w:tcPr>
          <w:p w:rsidR="008A3DC2" w:rsidRPr="002E2CB0" w:rsidRDefault="008A3DC2" w:rsidP="0097301E">
            <w:pPr>
              <w:ind w:right="113"/>
              <w:jc w:val="right"/>
              <w:rPr>
                <w:rFonts w:ascii="Arial Narrow" w:hAnsi="Arial Narrow"/>
                <w:b/>
                <w:bCs/>
                <w:color w:val="000000"/>
                <w:sz w:val="16"/>
                <w:szCs w:val="16"/>
              </w:rPr>
            </w:pPr>
            <w:r w:rsidRPr="002E2CB0">
              <w:rPr>
                <w:rFonts w:ascii="Arial Narrow" w:hAnsi="Arial Narrow"/>
                <w:b/>
                <w:bCs/>
                <w:color w:val="000000"/>
                <w:sz w:val="16"/>
                <w:szCs w:val="16"/>
              </w:rPr>
              <w:t>-18,0</w:t>
            </w:r>
          </w:p>
        </w:tc>
        <w:tc>
          <w:tcPr>
            <w:tcW w:w="596" w:type="dxa"/>
            <w:tcBorders>
              <w:top w:val="nil"/>
              <w:right w:val="single" w:sz="4" w:space="0" w:color="auto"/>
            </w:tcBorders>
            <w:shd w:val="clear" w:color="000000" w:fill="FFFFFF"/>
            <w:noWrap/>
            <w:vAlign w:val="center"/>
            <w:hideMark/>
          </w:tcPr>
          <w:p w:rsidR="008A3DC2" w:rsidRPr="002E2CB0" w:rsidRDefault="008A3DC2" w:rsidP="0097301E">
            <w:pPr>
              <w:ind w:right="113"/>
              <w:jc w:val="right"/>
              <w:rPr>
                <w:rFonts w:ascii="Arial Narrow" w:hAnsi="Arial Narrow"/>
                <w:b/>
                <w:bCs/>
                <w:color w:val="000000"/>
                <w:sz w:val="16"/>
                <w:szCs w:val="16"/>
              </w:rPr>
            </w:pPr>
            <w:r w:rsidRPr="002E2CB0">
              <w:rPr>
                <w:rFonts w:ascii="Arial Narrow" w:hAnsi="Arial Narrow"/>
                <w:b/>
                <w:bCs/>
                <w:color w:val="000000"/>
                <w:sz w:val="16"/>
                <w:szCs w:val="16"/>
              </w:rPr>
              <w:t>-1,2</w:t>
            </w:r>
          </w:p>
        </w:tc>
      </w:tr>
      <w:tr w:rsidR="008A3DC2" w:rsidRPr="002E2CB0" w:rsidTr="0097301E">
        <w:trPr>
          <w:trHeight w:val="215"/>
          <w:jc w:val="center"/>
        </w:trPr>
        <w:tc>
          <w:tcPr>
            <w:tcW w:w="293" w:type="dxa"/>
            <w:tcBorders>
              <w:top w:val="nil"/>
              <w:left w:val="single" w:sz="4" w:space="0" w:color="auto"/>
              <w:right w:val="nil"/>
            </w:tcBorders>
            <w:shd w:val="clear" w:color="000000" w:fill="D8D8D8"/>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II</w:t>
            </w:r>
          </w:p>
        </w:tc>
        <w:tc>
          <w:tcPr>
            <w:tcW w:w="4834" w:type="dxa"/>
            <w:gridSpan w:val="4"/>
            <w:tcBorders>
              <w:top w:val="nil"/>
              <w:left w:val="nil"/>
              <w:right w:val="nil"/>
            </w:tcBorders>
            <w:shd w:val="clear" w:color="000000" w:fill="D8D8D8"/>
            <w:noWrap/>
            <w:vAlign w:val="center"/>
            <w:hideMark/>
          </w:tcPr>
          <w:p w:rsidR="008A3DC2" w:rsidRPr="002E2CB0" w:rsidRDefault="008A3DC2" w:rsidP="00764E1A">
            <w:pPr>
              <w:rPr>
                <w:rFonts w:ascii="Arial Narrow" w:hAnsi="Arial Narrow"/>
                <w:b/>
                <w:bCs/>
                <w:sz w:val="16"/>
                <w:szCs w:val="16"/>
              </w:rPr>
            </w:pPr>
            <w:r w:rsidRPr="002E2CB0">
              <w:rPr>
                <w:rFonts w:ascii="Arial Narrow" w:hAnsi="Arial Narrow"/>
                <w:b/>
                <w:bCs/>
                <w:sz w:val="16"/>
                <w:szCs w:val="16"/>
              </w:rPr>
              <w:t>Σύνολο μεταβιβάσεων εκτός ΓΚ Τακτικού Προϋπολογισμού (1+2+3)</w:t>
            </w:r>
          </w:p>
        </w:tc>
        <w:tc>
          <w:tcPr>
            <w:tcW w:w="737"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3.076</w:t>
            </w:r>
          </w:p>
        </w:tc>
        <w:tc>
          <w:tcPr>
            <w:tcW w:w="628"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2.282</w:t>
            </w:r>
          </w:p>
        </w:tc>
        <w:tc>
          <w:tcPr>
            <w:tcW w:w="729"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2.518</w:t>
            </w:r>
          </w:p>
        </w:tc>
        <w:tc>
          <w:tcPr>
            <w:tcW w:w="628"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2.459</w:t>
            </w:r>
          </w:p>
        </w:tc>
        <w:tc>
          <w:tcPr>
            <w:tcW w:w="794" w:type="dxa"/>
            <w:tcBorders>
              <w:top w:val="nil"/>
              <w:left w:val="nil"/>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Pr>
                <w:rFonts w:ascii="Arial Narrow" w:hAnsi="Arial Narrow"/>
                <w:b/>
                <w:bCs/>
                <w:sz w:val="16"/>
                <w:szCs w:val="16"/>
              </w:rPr>
              <w:t>2.421</w:t>
            </w:r>
          </w:p>
        </w:tc>
        <w:tc>
          <w:tcPr>
            <w:tcW w:w="628" w:type="dxa"/>
            <w:tcBorders>
              <w:top w:val="nil"/>
              <w:left w:val="nil"/>
              <w:right w:val="nil"/>
            </w:tcBorders>
            <w:shd w:val="clear" w:color="000000" w:fill="D8D8D8"/>
            <w:noWrap/>
            <w:vAlign w:val="center"/>
            <w:hideMark/>
          </w:tcPr>
          <w:p w:rsidR="008A3DC2" w:rsidRPr="002E2CB0" w:rsidRDefault="008A3DC2" w:rsidP="00764E1A">
            <w:pPr>
              <w:ind w:right="113"/>
              <w:jc w:val="right"/>
              <w:rPr>
                <w:rFonts w:ascii="Arial Narrow" w:hAnsi="Arial Narrow"/>
                <w:b/>
                <w:bCs/>
                <w:sz w:val="16"/>
                <w:szCs w:val="16"/>
              </w:rPr>
            </w:pPr>
            <w:r w:rsidRPr="002E2CB0">
              <w:rPr>
                <w:rFonts w:ascii="Arial Narrow" w:hAnsi="Arial Narrow"/>
                <w:b/>
                <w:bCs/>
                <w:sz w:val="16"/>
                <w:szCs w:val="16"/>
              </w:rPr>
              <w:t>-18,1</w:t>
            </w:r>
          </w:p>
        </w:tc>
        <w:tc>
          <w:tcPr>
            <w:tcW w:w="596" w:type="dxa"/>
            <w:tcBorders>
              <w:top w:val="nil"/>
              <w:left w:val="nil"/>
              <w:right w:val="single" w:sz="4" w:space="0" w:color="auto"/>
            </w:tcBorders>
            <w:shd w:val="clear" w:color="000000" w:fill="D8D8D8"/>
            <w:noWrap/>
            <w:vAlign w:val="center"/>
            <w:hideMark/>
          </w:tcPr>
          <w:p w:rsidR="008A3DC2" w:rsidRPr="002E2CB0" w:rsidRDefault="008A3DC2" w:rsidP="00764E1A">
            <w:pPr>
              <w:ind w:right="113"/>
              <w:jc w:val="right"/>
              <w:rPr>
                <w:rFonts w:ascii="Arial Narrow" w:hAnsi="Arial Narrow"/>
                <w:b/>
                <w:bCs/>
                <w:sz w:val="16"/>
                <w:szCs w:val="16"/>
              </w:rPr>
            </w:pPr>
            <w:r w:rsidRPr="002E2CB0">
              <w:rPr>
                <w:rFonts w:ascii="Arial Narrow" w:hAnsi="Arial Narrow"/>
                <w:b/>
                <w:bCs/>
                <w:sz w:val="16"/>
                <w:szCs w:val="16"/>
              </w:rPr>
              <w:t>-3,9</w:t>
            </w:r>
          </w:p>
        </w:tc>
      </w:tr>
      <w:tr w:rsidR="008A3DC2" w:rsidRPr="002E2CB0" w:rsidTr="0097301E">
        <w:trPr>
          <w:trHeight w:val="215"/>
          <w:jc w:val="center"/>
        </w:trPr>
        <w:tc>
          <w:tcPr>
            <w:tcW w:w="293" w:type="dxa"/>
            <w:tcBorders>
              <w:top w:val="nil"/>
              <w:left w:val="single" w:sz="4" w:space="0" w:color="auto"/>
              <w:right w:val="nil"/>
            </w:tcBorders>
            <w:shd w:val="clear" w:color="auto" w:fill="auto"/>
            <w:noWrap/>
            <w:vAlign w:val="center"/>
            <w:hideMark/>
          </w:tcPr>
          <w:p w:rsidR="008A3DC2" w:rsidRPr="002E2CB0" w:rsidRDefault="008A3DC2" w:rsidP="00764E1A">
            <w:pPr>
              <w:jc w:val="center"/>
              <w:rPr>
                <w:rFonts w:ascii="Arial Narrow" w:hAnsi="Arial Narrow"/>
                <w:b/>
                <w:bCs/>
                <w:sz w:val="16"/>
                <w:szCs w:val="16"/>
              </w:rPr>
            </w:pPr>
          </w:p>
        </w:tc>
        <w:tc>
          <w:tcPr>
            <w:tcW w:w="4834" w:type="dxa"/>
            <w:gridSpan w:val="4"/>
            <w:tcBorders>
              <w:top w:val="nil"/>
              <w:left w:val="nil"/>
              <w:right w:val="nil"/>
            </w:tcBorders>
            <w:shd w:val="clear" w:color="auto" w:fill="auto"/>
            <w:noWrap/>
            <w:vAlign w:val="center"/>
            <w:hideMark/>
          </w:tcPr>
          <w:p w:rsidR="008A3DC2" w:rsidRPr="002E2CB0" w:rsidRDefault="008A3DC2" w:rsidP="00764E1A">
            <w:pPr>
              <w:rPr>
                <w:rFonts w:ascii="Arial Narrow" w:hAnsi="Arial Narrow"/>
                <w:b/>
                <w:bCs/>
                <w:sz w:val="16"/>
                <w:szCs w:val="16"/>
              </w:rPr>
            </w:pPr>
          </w:p>
        </w:tc>
        <w:tc>
          <w:tcPr>
            <w:tcW w:w="737" w:type="dxa"/>
            <w:tcBorders>
              <w:top w:val="nil"/>
              <w:left w:val="nil"/>
              <w:right w:val="nil"/>
            </w:tcBorders>
            <w:shd w:val="clear" w:color="auto" w:fill="auto"/>
            <w:noWrap/>
            <w:vAlign w:val="center"/>
            <w:hideMark/>
          </w:tcPr>
          <w:p w:rsidR="008A3DC2" w:rsidRPr="002E2CB0" w:rsidRDefault="008A3DC2" w:rsidP="00764E1A">
            <w:pPr>
              <w:ind w:right="170"/>
              <w:jc w:val="right"/>
              <w:rPr>
                <w:rFonts w:ascii="Arial Narrow" w:hAnsi="Arial Narrow"/>
                <w:b/>
                <w:bCs/>
                <w:sz w:val="16"/>
                <w:szCs w:val="16"/>
              </w:rPr>
            </w:pPr>
          </w:p>
        </w:tc>
        <w:tc>
          <w:tcPr>
            <w:tcW w:w="628" w:type="dxa"/>
            <w:tcBorders>
              <w:top w:val="nil"/>
              <w:left w:val="nil"/>
              <w:right w:val="nil"/>
            </w:tcBorders>
            <w:shd w:val="clear" w:color="auto" w:fill="auto"/>
            <w:noWrap/>
            <w:vAlign w:val="center"/>
            <w:hideMark/>
          </w:tcPr>
          <w:p w:rsidR="008A3DC2" w:rsidRPr="002E2CB0" w:rsidRDefault="008A3DC2" w:rsidP="00764E1A">
            <w:pPr>
              <w:ind w:right="170"/>
              <w:jc w:val="right"/>
              <w:rPr>
                <w:rFonts w:ascii="Arial Narrow" w:hAnsi="Arial Narrow"/>
                <w:b/>
                <w:bCs/>
                <w:sz w:val="16"/>
                <w:szCs w:val="16"/>
              </w:rPr>
            </w:pPr>
          </w:p>
        </w:tc>
        <w:tc>
          <w:tcPr>
            <w:tcW w:w="729" w:type="dxa"/>
            <w:tcBorders>
              <w:top w:val="nil"/>
              <w:left w:val="nil"/>
              <w:right w:val="nil"/>
            </w:tcBorders>
            <w:shd w:val="clear" w:color="auto" w:fill="auto"/>
            <w:noWrap/>
            <w:vAlign w:val="center"/>
            <w:hideMark/>
          </w:tcPr>
          <w:p w:rsidR="008A3DC2" w:rsidRPr="002E2CB0" w:rsidRDefault="008A3DC2" w:rsidP="00764E1A">
            <w:pPr>
              <w:ind w:right="170"/>
              <w:jc w:val="right"/>
              <w:rPr>
                <w:rFonts w:ascii="Arial Narrow" w:hAnsi="Arial Narrow"/>
                <w:b/>
                <w:bCs/>
                <w:sz w:val="16"/>
                <w:szCs w:val="16"/>
              </w:rPr>
            </w:pPr>
          </w:p>
        </w:tc>
        <w:tc>
          <w:tcPr>
            <w:tcW w:w="628" w:type="dxa"/>
            <w:tcBorders>
              <w:top w:val="nil"/>
              <w:left w:val="nil"/>
              <w:right w:val="nil"/>
            </w:tcBorders>
            <w:shd w:val="clear" w:color="auto" w:fill="auto"/>
            <w:noWrap/>
            <w:vAlign w:val="center"/>
            <w:hideMark/>
          </w:tcPr>
          <w:p w:rsidR="008A3DC2" w:rsidRPr="002E2CB0" w:rsidRDefault="008A3DC2" w:rsidP="00764E1A">
            <w:pPr>
              <w:ind w:right="170"/>
              <w:jc w:val="right"/>
              <w:rPr>
                <w:rFonts w:ascii="Arial Narrow" w:hAnsi="Arial Narrow"/>
                <w:b/>
                <w:bCs/>
                <w:sz w:val="16"/>
                <w:szCs w:val="16"/>
              </w:rPr>
            </w:pPr>
          </w:p>
        </w:tc>
        <w:tc>
          <w:tcPr>
            <w:tcW w:w="794" w:type="dxa"/>
            <w:tcBorders>
              <w:top w:val="nil"/>
              <w:left w:val="nil"/>
              <w:right w:val="nil"/>
            </w:tcBorders>
            <w:shd w:val="clear" w:color="auto" w:fill="auto"/>
            <w:noWrap/>
            <w:vAlign w:val="center"/>
            <w:hideMark/>
          </w:tcPr>
          <w:p w:rsidR="008A3DC2" w:rsidRPr="002E2CB0" w:rsidRDefault="008A3DC2" w:rsidP="00764E1A">
            <w:pPr>
              <w:ind w:right="170"/>
              <w:jc w:val="right"/>
              <w:rPr>
                <w:rFonts w:ascii="Arial Narrow" w:hAnsi="Arial Narrow"/>
                <w:b/>
                <w:bCs/>
                <w:sz w:val="16"/>
                <w:szCs w:val="16"/>
              </w:rPr>
            </w:pPr>
          </w:p>
        </w:tc>
        <w:tc>
          <w:tcPr>
            <w:tcW w:w="628" w:type="dxa"/>
            <w:tcBorders>
              <w:top w:val="nil"/>
              <w:left w:val="nil"/>
              <w:right w:val="nil"/>
            </w:tcBorders>
            <w:shd w:val="clear" w:color="auto" w:fill="auto"/>
            <w:noWrap/>
            <w:vAlign w:val="center"/>
            <w:hideMark/>
          </w:tcPr>
          <w:p w:rsidR="008A3DC2" w:rsidRPr="002E2CB0" w:rsidRDefault="008A3DC2" w:rsidP="00764E1A">
            <w:pPr>
              <w:ind w:right="113"/>
              <w:jc w:val="right"/>
              <w:rPr>
                <w:rFonts w:ascii="Arial Narrow" w:hAnsi="Arial Narrow"/>
                <w:b/>
                <w:bCs/>
                <w:sz w:val="16"/>
                <w:szCs w:val="16"/>
              </w:rPr>
            </w:pPr>
          </w:p>
        </w:tc>
        <w:tc>
          <w:tcPr>
            <w:tcW w:w="596" w:type="dxa"/>
            <w:tcBorders>
              <w:top w:val="nil"/>
              <w:left w:val="nil"/>
              <w:right w:val="single" w:sz="4" w:space="0" w:color="auto"/>
            </w:tcBorders>
            <w:shd w:val="clear" w:color="auto" w:fill="auto"/>
            <w:noWrap/>
            <w:vAlign w:val="center"/>
            <w:hideMark/>
          </w:tcPr>
          <w:p w:rsidR="008A3DC2" w:rsidRPr="002E2CB0" w:rsidRDefault="008A3DC2" w:rsidP="00764E1A">
            <w:pPr>
              <w:ind w:right="113"/>
              <w:jc w:val="right"/>
              <w:rPr>
                <w:rFonts w:ascii="Arial Narrow" w:hAnsi="Arial Narrow"/>
                <w:b/>
                <w:bCs/>
                <w:sz w:val="16"/>
                <w:szCs w:val="16"/>
              </w:rPr>
            </w:pPr>
          </w:p>
        </w:tc>
      </w:tr>
      <w:tr w:rsidR="008A3DC2" w:rsidRPr="002E2CB0" w:rsidTr="0097301E">
        <w:trPr>
          <w:trHeight w:val="215"/>
          <w:jc w:val="center"/>
        </w:trPr>
        <w:tc>
          <w:tcPr>
            <w:tcW w:w="293" w:type="dxa"/>
            <w:tcBorders>
              <w:left w:val="single" w:sz="4" w:space="0" w:color="auto"/>
              <w:bottom w:val="single" w:sz="4" w:space="0" w:color="auto"/>
              <w:right w:val="nil"/>
            </w:tcBorders>
            <w:shd w:val="clear" w:color="000000" w:fill="D8D8D8"/>
            <w:noWrap/>
            <w:vAlign w:val="center"/>
            <w:hideMark/>
          </w:tcPr>
          <w:p w:rsidR="008A3DC2" w:rsidRPr="002E2CB0" w:rsidRDefault="008A3DC2" w:rsidP="00764E1A">
            <w:pPr>
              <w:jc w:val="center"/>
              <w:rPr>
                <w:rFonts w:ascii="Arial Narrow" w:hAnsi="Arial Narrow"/>
                <w:b/>
                <w:bCs/>
                <w:sz w:val="16"/>
                <w:szCs w:val="16"/>
              </w:rPr>
            </w:pPr>
            <w:r w:rsidRPr="002E2CB0">
              <w:rPr>
                <w:rFonts w:ascii="Arial Narrow" w:hAnsi="Arial Narrow"/>
                <w:b/>
                <w:bCs/>
                <w:sz w:val="16"/>
                <w:szCs w:val="16"/>
              </w:rPr>
              <w:t>IIΙ</w:t>
            </w:r>
          </w:p>
        </w:tc>
        <w:tc>
          <w:tcPr>
            <w:tcW w:w="4834" w:type="dxa"/>
            <w:gridSpan w:val="4"/>
            <w:tcBorders>
              <w:left w:val="nil"/>
              <w:bottom w:val="single" w:sz="4" w:space="0" w:color="auto"/>
              <w:right w:val="nil"/>
            </w:tcBorders>
            <w:shd w:val="clear" w:color="000000" w:fill="D8D8D8"/>
            <w:noWrap/>
            <w:vAlign w:val="center"/>
            <w:hideMark/>
          </w:tcPr>
          <w:p w:rsidR="008A3DC2" w:rsidRPr="002E2CB0" w:rsidRDefault="008A3DC2" w:rsidP="00764E1A">
            <w:pPr>
              <w:rPr>
                <w:rFonts w:ascii="Arial Narrow" w:hAnsi="Arial Narrow"/>
                <w:b/>
                <w:bCs/>
                <w:sz w:val="16"/>
                <w:szCs w:val="16"/>
              </w:rPr>
            </w:pPr>
            <w:r w:rsidRPr="002E2CB0">
              <w:rPr>
                <w:rFonts w:ascii="Arial Narrow" w:hAnsi="Arial Narrow"/>
                <w:b/>
                <w:bCs/>
                <w:sz w:val="16"/>
                <w:szCs w:val="16"/>
              </w:rPr>
              <w:t>Σύνολο μεταβιβάσεων Τακτικού Προϋπολογισμού (Ι+ΙΙ)</w:t>
            </w:r>
          </w:p>
        </w:tc>
        <w:tc>
          <w:tcPr>
            <w:tcW w:w="737" w:type="dxa"/>
            <w:tcBorders>
              <w:left w:val="nil"/>
              <w:bottom w:val="single" w:sz="4" w:space="0" w:color="auto"/>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28.713</w:t>
            </w:r>
          </w:p>
        </w:tc>
        <w:tc>
          <w:tcPr>
            <w:tcW w:w="628" w:type="dxa"/>
            <w:tcBorders>
              <w:left w:val="nil"/>
              <w:bottom w:val="single" w:sz="4" w:space="0" w:color="auto"/>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25.642</w:t>
            </w:r>
          </w:p>
        </w:tc>
        <w:tc>
          <w:tcPr>
            <w:tcW w:w="729" w:type="dxa"/>
            <w:tcBorders>
              <w:left w:val="nil"/>
              <w:bottom w:val="single" w:sz="4" w:space="0" w:color="auto"/>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Pr>
                <w:rFonts w:ascii="Arial Narrow" w:hAnsi="Arial Narrow"/>
                <w:b/>
                <w:bCs/>
                <w:sz w:val="16"/>
                <w:szCs w:val="16"/>
              </w:rPr>
              <w:t>26.</w:t>
            </w:r>
            <w:r w:rsidR="00F47532">
              <w:rPr>
                <w:rFonts w:ascii="Arial Narrow" w:hAnsi="Arial Narrow"/>
                <w:b/>
                <w:bCs/>
                <w:sz w:val="16"/>
                <w:szCs w:val="16"/>
              </w:rPr>
              <w:t>470</w:t>
            </w:r>
          </w:p>
        </w:tc>
        <w:tc>
          <w:tcPr>
            <w:tcW w:w="628" w:type="dxa"/>
            <w:tcBorders>
              <w:left w:val="nil"/>
              <w:bottom w:val="single" w:sz="4" w:space="0" w:color="auto"/>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sidRPr="002E2CB0">
              <w:rPr>
                <w:rFonts w:ascii="Arial Narrow" w:hAnsi="Arial Narrow"/>
                <w:b/>
                <w:bCs/>
                <w:sz w:val="16"/>
                <w:szCs w:val="16"/>
              </w:rPr>
              <w:t>23.834</w:t>
            </w:r>
          </w:p>
        </w:tc>
        <w:tc>
          <w:tcPr>
            <w:tcW w:w="794" w:type="dxa"/>
            <w:tcBorders>
              <w:left w:val="nil"/>
              <w:bottom w:val="single" w:sz="4" w:space="0" w:color="auto"/>
              <w:right w:val="nil"/>
            </w:tcBorders>
            <w:shd w:val="clear" w:color="000000" w:fill="D8D8D8"/>
            <w:noWrap/>
            <w:vAlign w:val="center"/>
            <w:hideMark/>
          </w:tcPr>
          <w:p w:rsidR="008A3DC2" w:rsidRPr="002E2CB0" w:rsidRDefault="008A3DC2" w:rsidP="00764E1A">
            <w:pPr>
              <w:ind w:right="170"/>
              <w:jc w:val="right"/>
              <w:rPr>
                <w:rFonts w:ascii="Arial Narrow" w:hAnsi="Arial Narrow"/>
                <w:b/>
                <w:bCs/>
                <w:sz w:val="16"/>
                <w:szCs w:val="16"/>
              </w:rPr>
            </w:pPr>
            <w:r>
              <w:rPr>
                <w:rFonts w:ascii="Arial Narrow" w:hAnsi="Arial Narrow"/>
                <w:b/>
                <w:bCs/>
                <w:sz w:val="16"/>
                <w:szCs w:val="16"/>
              </w:rPr>
              <w:t>2</w:t>
            </w:r>
            <w:r w:rsidR="009E10E2">
              <w:rPr>
                <w:rFonts w:ascii="Arial Narrow" w:hAnsi="Arial Narrow"/>
                <w:b/>
                <w:bCs/>
                <w:sz w:val="16"/>
                <w:szCs w:val="16"/>
              </w:rPr>
              <w:t>6.104</w:t>
            </w:r>
          </w:p>
        </w:tc>
        <w:tc>
          <w:tcPr>
            <w:tcW w:w="628" w:type="dxa"/>
            <w:tcBorders>
              <w:left w:val="nil"/>
              <w:bottom w:val="single" w:sz="4" w:space="0" w:color="auto"/>
              <w:right w:val="nil"/>
            </w:tcBorders>
            <w:shd w:val="clear" w:color="000000" w:fill="D8D8D8"/>
            <w:noWrap/>
            <w:vAlign w:val="center"/>
            <w:hideMark/>
          </w:tcPr>
          <w:p w:rsidR="008A3DC2" w:rsidRPr="002E2CB0" w:rsidRDefault="008A3DC2" w:rsidP="00764E1A">
            <w:pPr>
              <w:ind w:right="113"/>
              <w:jc w:val="right"/>
              <w:rPr>
                <w:rFonts w:ascii="Arial Narrow" w:hAnsi="Arial Narrow"/>
                <w:b/>
                <w:bCs/>
                <w:sz w:val="16"/>
                <w:szCs w:val="16"/>
              </w:rPr>
            </w:pPr>
            <w:r>
              <w:rPr>
                <w:rFonts w:ascii="Arial Narrow" w:hAnsi="Arial Narrow"/>
                <w:b/>
                <w:bCs/>
                <w:sz w:val="16"/>
                <w:szCs w:val="16"/>
              </w:rPr>
              <w:t>-7,</w:t>
            </w:r>
            <w:r w:rsidR="009E10E2">
              <w:rPr>
                <w:rFonts w:ascii="Arial Narrow" w:hAnsi="Arial Narrow"/>
                <w:b/>
                <w:bCs/>
                <w:sz w:val="16"/>
                <w:szCs w:val="16"/>
              </w:rPr>
              <w:t>8</w:t>
            </w:r>
          </w:p>
        </w:tc>
        <w:tc>
          <w:tcPr>
            <w:tcW w:w="596" w:type="dxa"/>
            <w:tcBorders>
              <w:left w:val="nil"/>
              <w:bottom w:val="single" w:sz="4" w:space="0" w:color="auto"/>
              <w:right w:val="single" w:sz="4" w:space="0" w:color="auto"/>
            </w:tcBorders>
            <w:shd w:val="clear" w:color="000000" w:fill="D8D8D8"/>
            <w:noWrap/>
            <w:vAlign w:val="center"/>
            <w:hideMark/>
          </w:tcPr>
          <w:p w:rsidR="008A3DC2" w:rsidRPr="002E2CB0" w:rsidRDefault="008A3DC2" w:rsidP="00764E1A">
            <w:pPr>
              <w:ind w:right="113"/>
              <w:jc w:val="right"/>
              <w:rPr>
                <w:rFonts w:ascii="Arial Narrow" w:hAnsi="Arial Narrow"/>
                <w:b/>
                <w:bCs/>
                <w:sz w:val="16"/>
                <w:szCs w:val="16"/>
              </w:rPr>
            </w:pPr>
            <w:r>
              <w:rPr>
                <w:rFonts w:ascii="Arial Narrow" w:hAnsi="Arial Narrow"/>
                <w:b/>
                <w:bCs/>
                <w:sz w:val="16"/>
                <w:szCs w:val="16"/>
              </w:rPr>
              <w:t>-</w:t>
            </w:r>
            <w:r w:rsidR="009E10E2">
              <w:rPr>
                <w:rFonts w:ascii="Arial Narrow" w:hAnsi="Arial Narrow"/>
                <w:b/>
                <w:bCs/>
                <w:sz w:val="16"/>
                <w:szCs w:val="16"/>
              </w:rPr>
              <w:t>1,4</w:t>
            </w:r>
          </w:p>
        </w:tc>
      </w:tr>
    </w:tbl>
    <w:p w:rsidR="008A3DC2" w:rsidRDefault="008A3DC2" w:rsidP="00566189">
      <w:pPr>
        <w:jc w:val="both"/>
        <w:rPr>
          <w:bCs/>
          <w:iCs/>
          <w:sz w:val="22"/>
          <w:szCs w:val="22"/>
        </w:rPr>
      </w:pPr>
    </w:p>
    <w:p w:rsidR="00612DF2" w:rsidRDefault="00612DF2" w:rsidP="00566189">
      <w:pPr>
        <w:jc w:val="both"/>
        <w:rPr>
          <w:bCs/>
          <w:iCs/>
          <w:sz w:val="22"/>
          <w:szCs w:val="22"/>
        </w:rPr>
      </w:pPr>
    </w:p>
    <w:p w:rsidR="00612DF2" w:rsidRPr="005D6CBB" w:rsidRDefault="00612DF2" w:rsidP="00566189">
      <w:pPr>
        <w:jc w:val="both"/>
        <w:rPr>
          <w:bCs/>
          <w:iCs/>
          <w:sz w:val="22"/>
          <w:szCs w:val="22"/>
        </w:rPr>
      </w:pPr>
    </w:p>
    <w:p w:rsidR="00566189" w:rsidRPr="0064589E" w:rsidRDefault="00566189"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Αγορές αγαθών και υπηρεσιών</w:t>
      </w:r>
    </w:p>
    <w:p w:rsidR="00566189" w:rsidRPr="005D6CBB" w:rsidRDefault="00566189" w:rsidP="00566189">
      <w:pPr>
        <w:jc w:val="both"/>
        <w:rPr>
          <w:bCs/>
          <w:i/>
          <w:iCs/>
          <w:sz w:val="22"/>
          <w:szCs w:val="22"/>
        </w:rPr>
      </w:pPr>
    </w:p>
    <w:p w:rsidR="00566189" w:rsidRPr="005D6CBB" w:rsidRDefault="00566189" w:rsidP="00566189">
      <w:pPr>
        <w:jc w:val="both"/>
        <w:rPr>
          <w:bCs/>
          <w:iCs/>
          <w:sz w:val="22"/>
          <w:szCs w:val="22"/>
        </w:rPr>
      </w:pPr>
      <w:r w:rsidRPr="005D6CBB">
        <w:rPr>
          <w:bCs/>
          <w:iCs/>
          <w:sz w:val="22"/>
          <w:szCs w:val="22"/>
        </w:rPr>
        <w:t xml:space="preserve">Στην κατηγορία αυτή περιλαμβάνονται δαπάνες καταναλωτικού χαρακτήρα (αγαθά και υπηρεσίες). Οι δαπάνες της κατηγορίας αυτής για το έτος 2018 εκτιμάται ότι θα </w:t>
      </w:r>
      <w:r w:rsidR="00166E31">
        <w:rPr>
          <w:bCs/>
          <w:iCs/>
          <w:sz w:val="22"/>
          <w:szCs w:val="22"/>
        </w:rPr>
        <w:t>ανέλθουν σε</w:t>
      </w:r>
      <w:r w:rsidRPr="005D6CBB">
        <w:rPr>
          <w:bCs/>
          <w:iCs/>
          <w:sz w:val="22"/>
          <w:szCs w:val="22"/>
        </w:rPr>
        <w:t xml:space="preserve"> 1.</w:t>
      </w:r>
      <w:r w:rsidR="008F0AD4">
        <w:rPr>
          <w:bCs/>
          <w:iCs/>
          <w:sz w:val="22"/>
          <w:szCs w:val="22"/>
        </w:rPr>
        <w:t>539</w:t>
      </w:r>
      <w:r w:rsidRPr="005D6CBB">
        <w:rPr>
          <w:bCs/>
          <w:iCs/>
          <w:sz w:val="22"/>
          <w:szCs w:val="22"/>
        </w:rPr>
        <w:t xml:space="preserve"> εκατ. ευρώ, α</w:t>
      </w:r>
      <w:r w:rsidRPr="005D6CBB">
        <w:rPr>
          <w:bCs/>
          <w:iCs/>
          <w:sz w:val="22"/>
          <w:szCs w:val="22"/>
        </w:rPr>
        <w:t>υ</w:t>
      </w:r>
      <w:r w:rsidRPr="005D6CBB">
        <w:rPr>
          <w:bCs/>
          <w:iCs/>
          <w:sz w:val="22"/>
          <w:szCs w:val="22"/>
        </w:rPr>
        <w:t>ξημένες κατά 261 εκατ. ευρώ, έναντι του στόχου του ΜΠΔΣ</w:t>
      </w:r>
      <w:r w:rsidR="000B1842">
        <w:rPr>
          <w:bCs/>
          <w:iCs/>
          <w:sz w:val="22"/>
          <w:szCs w:val="22"/>
        </w:rPr>
        <w:t xml:space="preserve"> 2019-2022</w:t>
      </w:r>
      <w:r w:rsidRPr="005D6CBB">
        <w:rPr>
          <w:bCs/>
          <w:iCs/>
          <w:sz w:val="22"/>
          <w:szCs w:val="22"/>
        </w:rPr>
        <w:t>, κυρίως λόγω της ενίσχυσης των πιστώσεων της κατηγορίας αυτής από το τακτικό αποθεματικό.</w:t>
      </w:r>
    </w:p>
    <w:p w:rsidR="0064589E" w:rsidRPr="005D6CBB" w:rsidRDefault="0064589E" w:rsidP="00566189">
      <w:pPr>
        <w:jc w:val="both"/>
        <w:rPr>
          <w:bCs/>
          <w:iCs/>
          <w:sz w:val="22"/>
          <w:szCs w:val="22"/>
        </w:rPr>
      </w:pPr>
    </w:p>
    <w:p w:rsidR="00566189" w:rsidRPr="0064589E" w:rsidRDefault="00566189"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Επιδοτήσεις</w:t>
      </w:r>
    </w:p>
    <w:p w:rsidR="00566189" w:rsidRPr="005D6CBB" w:rsidRDefault="00566189" w:rsidP="00566189">
      <w:pPr>
        <w:jc w:val="both"/>
        <w:rPr>
          <w:bCs/>
          <w:iCs/>
          <w:sz w:val="22"/>
          <w:szCs w:val="22"/>
        </w:rPr>
      </w:pPr>
    </w:p>
    <w:p w:rsidR="00566189" w:rsidRPr="005D6CBB" w:rsidRDefault="00566189" w:rsidP="00566189">
      <w:pPr>
        <w:jc w:val="both"/>
        <w:rPr>
          <w:bCs/>
          <w:i/>
          <w:iCs/>
          <w:sz w:val="22"/>
          <w:szCs w:val="22"/>
        </w:rPr>
      </w:pPr>
      <w:r w:rsidRPr="005D6CBB">
        <w:rPr>
          <w:bCs/>
          <w:iCs/>
          <w:sz w:val="22"/>
          <w:szCs w:val="22"/>
        </w:rPr>
        <w:t>Στην κατηγορία αυτή περιλαμβάνονται οι επιδοτήσεις για τις άγονες γραμμές</w:t>
      </w:r>
      <w:r w:rsidR="000B1842">
        <w:rPr>
          <w:bCs/>
          <w:iCs/>
          <w:sz w:val="22"/>
          <w:szCs w:val="22"/>
        </w:rPr>
        <w:t>,</w:t>
      </w:r>
      <w:r w:rsidRPr="005D6CBB">
        <w:rPr>
          <w:bCs/>
          <w:iCs/>
          <w:sz w:val="22"/>
          <w:szCs w:val="22"/>
        </w:rPr>
        <w:t xml:space="preserve"> καθώς και για την ΤΡΑΙΝΟΣΕ. Η εκτίμηση για αυτή την κατηγορία για το έτος 2018 ανέρχεται σε 151 εκατ. ευρώ</w:t>
      </w:r>
      <w:r w:rsidRPr="005D6CBB">
        <w:rPr>
          <w:bCs/>
          <w:i/>
          <w:iCs/>
          <w:sz w:val="22"/>
          <w:szCs w:val="22"/>
        </w:rPr>
        <w:t>.</w:t>
      </w:r>
    </w:p>
    <w:p w:rsidR="00566189" w:rsidRPr="005D6CBB" w:rsidRDefault="00566189" w:rsidP="00566189">
      <w:pPr>
        <w:jc w:val="both"/>
        <w:rPr>
          <w:bCs/>
          <w:iCs/>
          <w:sz w:val="22"/>
          <w:szCs w:val="22"/>
        </w:rPr>
      </w:pPr>
    </w:p>
    <w:p w:rsidR="00566189" w:rsidRPr="0064589E" w:rsidRDefault="00566189"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Τόκοι (σε ακαθάριστη βάση)</w:t>
      </w:r>
    </w:p>
    <w:p w:rsidR="00566189" w:rsidRPr="005D6CBB" w:rsidRDefault="00566189" w:rsidP="00566189">
      <w:pPr>
        <w:jc w:val="both"/>
        <w:rPr>
          <w:bCs/>
          <w:iCs/>
          <w:sz w:val="22"/>
          <w:szCs w:val="22"/>
        </w:rPr>
      </w:pPr>
    </w:p>
    <w:p w:rsidR="008F0AD4" w:rsidRDefault="008F0AD4" w:rsidP="008F0AD4">
      <w:pPr>
        <w:jc w:val="both"/>
        <w:rPr>
          <w:bCs/>
          <w:iCs/>
          <w:sz w:val="22"/>
          <w:szCs w:val="22"/>
        </w:rPr>
      </w:pPr>
      <w:r w:rsidRPr="005C0B80">
        <w:rPr>
          <w:bCs/>
          <w:iCs/>
          <w:sz w:val="22"/>
          <w:szCs w:val="22"/>
        </w:rPr>
        <w:t>Η εκτίμηση για τις</w:t>
      </w:r>
      <w:r w:rsidRPr="005C0B80">
        <w:rPr>
          <w:bCs/>
          <w:i/>
          <w:iCs/>
          <w:sz w:val="22"/>
          <w:szCs w:val="22"/>
        </w:rPr>
        <w:t xml:space="preserve"> </w:t>
      </w:r>
      <w:r w:rsidRPr="005C0B80">
        <w:rPr>
          <w:bCs/>
          <w:iCs/>
          <w:sz w:val="22"/>
          <w:szCs w:val="22"/>
        </w:rPr>
        <w:t xml:space="preserve">δαπάνες τόκων σε ακαθάριστη ταμειακή βάση, ανέρχεται σε 5.520 εκατ. ευρώ. </w:t>
      </w:r>
    </w:p>
    <w:p w:rsidR="00041F10" w:rsidRDefault="00041F10" w:rsidP="008F0AD4">
      <w:pPr>
        <w:jc w:val="both"/>
        <w:rPr>
          <w:bCs/>
          <w:iCs/>
          <w:sz w:val="22"/>
          <w:szCs w:val="22"/>
        </w:rPr>
      </w:pPr>
    </w:p>
    <w:p w:rsidR="00041F10" w:rsidRDefault="00041F10" w:rsidP="008F0AD4">
      <w:pPr>
        <w:jc w:val="both"/>
        <w:rPr>
          <w:bCs/>
          <w:iCs/>
          <w:sz w:val="22"/>
          <w:szCs w:val="22"/>
        </w:rPr>
      </w:pPr>
    </w:p>
    <w:p w:rsidR="00041F10" w:rsidRPr="005C0B80" w:rsidRDefault="00041F10" w:rsidP="008F0AD4">
      <w:pPr>
        <w:jc w:val="both"/>
        <w:rPr>
          <w:bCs/>
          <w:iCs/>
          <w:sz w:val="22"/>
          <w:szCs w:val="22"/>
        </w:rPr>
      </w:pPr>
    </w:p>
    <w:p w:rsidR="00566189" w:rsidRPr="005D6CBB" w:rsidRDefault="00566189" w:rsidP="00566189">
      <w:pPr>
        <w:jc w:val="both"/>
        <w:rPr>
          <w:bCs/>
          <w:i/>
          <w:iCs/>
          <w:sz w:val="22"/>
          <w:szCs w:val="22"/>
        </w:rPr>
      </w:pPr>
    </w:p>
    <w:p w:rsidR="00566189" w:rsidRPr="0064589E" w:rsidRDefault="008870AD" w:rsidP="0064589E">
      <w:pPr>
        <w:jc w:val="both"/>
        <w:rPr>
          <w:rFonts w:ascii="Arial Narrow" w:hAnsi="Arial Narrow"/>
          <w:b/>
          <w:bCs/>
          <w:i/>
          <w:iCs/>
          <w:sz w:val="22"/>
          <w:szCs w:val="22"/>
          <w:lang w:bidi="en-US"/>
        </w:rPr>
      </w:pPr>
      <w:r>
        <w:rPr>
          <w:rFonts w:ascii="Arial Narrow" w:hAnsi="Arial Narrow"/>
          <w:b/>
          <w:bCs/>
          <w:i/>
          <w:iCs/>
          <w:sz w:val="22"/>
          <w:szCs w:val="22"/>
          <w:lang w:bidi="en-US"/>
        </w:rPr>
        <w:lastRenderedPageBreak/>
        <w:t>Λοιπές δ</w:t>
      </w:r>
      <w:r w:rsidR="00566189" w:rsidRPr="0064589E">
        <w:rPr>
          <w:rFonts w:ascii="Arial Narrow" w:hAnsi="Arial Narrow"/>
          <w:b/>
          <w:bCs/>
          <w:i/>
          <w:iCs/>
          <w:sz w:val="22"/>
          <w:szCs w:val="22"/>
          <w:lang w:bidi="en-US"/>
        </w:rPr>
        <w:t>απάνες</w:t>
      </w:r>
    </w:p>
    <w:p w:rsidR="00566189" w:rsidRPr="005D6CBB" w:rsidRDefault="00566189" w:rsidP="00566189">
      <w:pPr>
        <w:jc w:val="both"/>
        <w:rPr>
          <w:bCs/>
          <w:iCs/>
          <w:sz w:val="22"/>
          <w:szCs w:val="22"/>
        </w:rPr>
      </w:pPr>
    </w:p>
    <w:p w:rsidR="00566189" w:rsidRPr="005D6CBB" w:rsidRDefault="00566189" w:rsidP="00566189">
      <w:pPr>
        <w:jc w:val="both"/>
        <w:rPr>
          <w:bCs/>
          <w:iCs/>
          <w:sz w:val="22"/>
          <w:szCs w:val="22"/>
        </w:rPr>
      </w:pPr>
      <w:r w:rsidRPr="005D6CBB">
        <w:rPr>
          <w:bCs/>
          <w:iCs/>
          <w:sz w:val="22"/>
          <w:szCs w:val="22"/>
        </w:rPr>
        <w:t xml:space="preserve">Στην κατηγορία αυτή περιλαμβάνεται κυρίως η δαπάνη για τις επιστροφές στην ΕΕ από ανεκτέλεστα προγράμματα ύψους 50 εκατ. ευρώ, ενώ </w:t>
      </w:r>
      <w:r w:rsidR="00AF354D">
        <w:rPr>
          <w:bCs/>
          <w:iCs/>
          <w:sz w:val="22"/>
          <w:szCs w:val="22"/>
        </w:rPr>
        <w:t xml:space="preserve">η συνολική </w:t>
      </w:r>
      <w:r w:rsidRPr="005D6CBB">
        <w:rPr>
          <w:bCs/>
          <w:iCs/>
          <w:sz w:val="22"/>
          <w:szCs w:val="22"/>
        </w:rPr>
        <w:t xml:space="preserve">δαπάνη της κατηγορίας αυτής αναμένεται να </w:t>
      </w:r>
      <w:r w:rsidR="00957872">
        <w:rPr>
          <w:bCs/>
          <w:iCs/>
          <w:sz w:val="22"/>
          <w:szCs w:val="22"/>
        </w:rPr>
        <w:t>α</w:t>
      </w:r>
      <w:r w:rsidR="00957872">
        <w:rPr>
          <w:bCs/>
          <w:iCs/>
          <w:sz w:val="22"/>
          <w:szCs w:val="22"/>
        </w:rPr>
        <w:t>νέλθει σε</w:t>
      </w:r>
      <w:r w:rsidRPr="005D6CBB">
        <w:rPr>
          <w:bCs/>
          <w:iCs/>
          <w:sz w:val="22"/>
          <w:szCs w:val="22"/>
        </w:rPr>
        <w:t xml:space="preserve"> 78 εκατ. ευρώ.</w:t>
      </w:r>
    </w:p>
    <w:p w:rsidR="00612DF2" w:rsidRDefault="00612DF2" w:rsidP="0064589E">
      <w:pPr>
        <w:jc w:val="both"/>
        <w:rPr>
          <w:rFonts w:ascii="Arial Narrow" w:hAnsi="Arial Narrow"/>
          <w:b/>
          <w:bCs/>
          <w:i/>
          <w:iCs/>
          <w:sz w:val="22"/>
          <w:szCs w:val="22"/>
          <w:lang w:bidi="en-US"/>
        </w:rPr>
      </w:pPr>
    </w:p>
    <w:p w:rsidR="00566189" w:rsidRPr="0064589E" w:rsidRDefault="00566189"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Πιστώσεις υπό κατανομή</w:t>
      </w:r>
    </w:p>
    <w:p w:rsidR="00566189" w:rsidRPr="005D6CBB" w:rsidRDefault="00566189" w:rsidP="00566189">
      <w:pPr>
        <w:jc w:val="both"/>
        <w:rPr>
          <w:bCs/>
          <w:iCs/>
          <w:sz w:val="22"/>
          <w:szCs w:val="22"/>
        </w:rPr>
      </w:pPr>
    </w:p>
    <w:p w:rsidR="008F0AD4" w:rsidRPr="005C0B80" w:rsidRDefault="008F0AD4" w:rsidP="008F0AD4">
      <w:pPr>
        <w:jc w:val="both"/>
        <w:rPr>
          <w:bCs/>
          <w:iCs/>
          <w:sz w:val="22"/>
          <w:szCs w:val="22"/>
        </w:rPr>
      </w:pPr>
      <w:r w:rsidRPr="005C0B80">
        <w:rPr>
          <w:bCs/>
          <w:iCs/>
          <w:sz w:val="22"/>
          <w:szCs w:val="22"/>
        </w:rPr>
        <w:t xml:space="preserve">Στην κατηγορία αυτή περιλαμβάνονται κυρίως οι δαπάνες του ΠΔΕ (με ταμειακή εκτίμηση 6.750 </w:t>
      </w:r>
      <w:r w:rsidRPr="005C0B80">
        <w:rPr>
          <w:bCs/>
          <w:iCs/>
          <w:sz w:val="22"/>
          <w:szCs w:val="22"/>
        </w:rPr>
        <w:t>ε</w:t>
      </w:r>
      <w:r w:rsidRPr="005C0B80">
        <w:rPr>
          <w:bCs/>
          <w:iCs/>
          <w:sz w:val="22"/>
          <w:szCs w:val="22"/>
        </w:rPr>
        <w:t xml:space="preserve">κατ. ευρώ), το τακτικό αποθεματικό και οι υπό κατανομή πιστώσεις προς τους ΟΚΑ. </w:t>
      </w:r>
    </w:p>
    <w:p w:rsidR="008F0AD4" w:rsidRPr="005C0B80" w:rsidRDefault="008F0AD4" w:rsidP="008F0AD4">
      <w:pPr>
        <w:jc w:val="both"/>
        <w:rPr>
          <w:bCs/>
          <w:iCs/>
          <w:sz w:val="22"/>
          <w:szCs w:val="22"/>
        </w:rPr>
      </w:pPr>
    </w:p>
    <w:p w:rsidR="008F0AD4" w:rsidRPr="005C0B80" w:rsidRDefault="00041F10" w:rsidP="008F0AD4">
      <w:pPr>
        <w:jc w:val="both"/>
        <w:rPr>
          <w:bCs/>
          <w:sz w:val="22"/>
          <w:szCs w:val="22"/>
        </w:rPr>
      </w:pPr>
      <w:r>
        <w:rPr>
          <w:bCs/>
          <w:iCs/>
          <w:sz w:val="22"/>
          <w:szCs w:val="22"/>
        </w:rPr>
        <w:t>Οι δαπάνες</w:t>
      </w:r>
      <w:r w:rsidR="008F0AD4" w:rsidRPr="005C0B80">
        <w:rPr>
          <w:bCs/>
          <w:iCs/>
          <w:sz w:val="22"/>
          <w:szCs w:val="22"/>
        </w:rPr>
        <w:t xml:space="preserve"> για την κατηγορία α</w:t>
      </w:r>
      <w:r>
        <w:rPr>
          <w:bCs/>
          <w:iCs/>
          <w:sz w:val="22"/>
          <w:szCs w:val="22"/>
        </w:rPr>
        <w:t>υτή εκτιμώνται σε ταμειακή βάση</w:t>
      </w:r>
      <w:r w:rsidR="008F0AD4" w:rsidRPr="005C0B80">
        <w:rPr>
          <w:bCs/>
          <w:iCs/>
          <w:sz w:val="22"/>
          <w:szCs w:val="22"/>
        </w:rPr>
        <w:t xml:space="preserve"> στα 8.012 εκατ. ευρώ, μειωμένες κατά 1.614 εκατ. ευρώ έναντι του στόχου του ΜΠΔΣ, γεγονός που οφείλεται κυρίως στη μεταφορά πιστώσεων από το αποθεματικό, συνολικού ύψους 562 εκατ. ευρώ, για να αντιμετωπισθούν δαπάνες κυρίως για: </w:t>
      </w:r>
    </w:p>
    <w:p w:rsidR="008F0AD4" w:rsidRPr="005C0B80" w:rsidRDefault="008F0AD4" w:rsidP="008F0AD4">
      <w:pPr>
        <w:ind w:left="284" w:hanging="284"/>
        <w:jc w:val="both"/>
        <w:rPr>
          <w:bCs/>
          <w:iCs/>
          <w:sz w:val="22"/>
          <w:szCs w:val="22"/>
        </w:rPr>
      </w:pPr>
      <w:r w:rsidRPr="005C0B80">
        <w:rPr>
          <w:bCs/>
          <w:sz w:val="22"/>
          <w:szCs w:val="22"/>
        </w:rPr>
        <w:t>-</w:t>
      </w:r>
      <w:r w:rsidRPr="005C0B80">
        <w:rPr>
          <w:bCs/>
          <w:sz w:val="22"/>
          <w:szCs w:val="22"/>
        </w:rPr>
        <w:tab/>
        <w:t>την εκτέλεση τελεσίδικων και αμετάκλητων δικαστικών αποφάσεων,</w:t>
      </w:r>
    </w:p>
    <w:p w:rsidR="008F0AD4" w:rsidRPr="005C0B80" w:rsidRDefault="008F0AD4" w:rsidP="008F0AD4">
      <w:pPr>
        <w:ind w:left="284" w:hanging="284"/>
        <w:jc w:val="both"/>
        <w:rPr>
          <w:bCs/>
          <w:iCs/>
          <w:sz w:val="22"/>
          <w:szCs w:val="22"/>
        </w:rPr>
      </w:pPr>
      <w:r w:rsidRPr="005C0B80">
        <w:rPr>
          <w:bCs/>
          <w:sz w:val="22"/>
          <w:szCs w:val="22"/>
        </w:rPr>
        <w:t>-</w:t>
      </w:r>
      <w:r w:rsidRPr="005C0B80">
        <w:rPr>
          <w:bCs/>
          <w:sz w:val="22"/>
          <w:szCs w:val="22"/>
        </w:rPr>
        <w:tab/>
        <w:t>τ</w:t>
      </w:r>
      <w:r w:rsidRPr="005C0B80">
        <w:rPr>
          <w:bCs/>
          <w:sz w:val="22"/>
          <w:szCs w:val="22"/>
          <w:lang w:bidi="en-US"/>
        </w:rPr>
        <w:t>ην αντιμετώπιση φυσικών καταστροφών,</w:t>
      </w:r>
    </w:p>
    <w:p w:rsidR="008F0AD4" w:rsidRPr="005C0B80" w:rsidRDefault="008F0AD4" w:rsidP="008F0AD4">
      <w:pPr>
        <w:ind w:left="284" w:hanging="284"/>
        <w:jc w:val="both"/>
        <w:rPr>
          <w:bCs/>
          <w:iCs/>
          <w:sz w:val="22"/>
          <w:szCs w:val="22"/>
        </w:rPr>
      </w:pPr>
      <w:r w:rsidRPr="005C0B80">
        <w:rPr>
          <w:bCs/>
          <w:sz w:val="22"/>
          <w:szCs w:val="22"/>
        </w:rPr>
        <w:t>-</w:t>
      </w:r>
      <w:r w:rsidRPr="005C0B80">
        <w:rPr>
          <w:bCs/>
          <w:sz w:val="22"/>
          <w:szCs w:val="22"/>
        </w:rPr>
        <w:tab/>
        <w:t>την αποπληρωμή συσσωρευμένων ληξιπρόθεσμων οφειλών της Κεντρικής Διοίκησης και των λο</w:t>
      </w:r>
      <w:r w:rsidRPr="005C0B80">
        <w:rPr>
          <w:bCs/>
          <w:sz w:val="22"/>
          <w:szCs w:val="22"/>
        </w:rPr>
        <w:t>ι</w:t>
      </w:r>
      <w:r w:rsidRPr="005C0B80">
        <w:rPr>
          <w:bCs/>
          <w:sz w:val="22"/>
          <w:szCs w:val="22"/>
        </w:rPr>
        <w:t>πών φορέων προς τη ΔΕΗ</w:t>
      </w:r>
      <w:r w:rsidR="00041F10">
        <w:rPr>
          <w:bCs/>
          <w:sz w:val="22"/>
          <w:szCs w:val="22"/>
        </w:rPr>
        <w:t xml:space="preserve"> και</w:t>
      </w:r>
      <w:r w:rsidRPr="005C0B80">
        <w:rPr>
          <w:bCs/>
          <w:sz w:val="22"/>
          <w:szCs w:val="22"/>
        </w:rPr>
        <w:t xml:space="preserve"> </w:t>
      </w:r>
    </w:p>
    <w:p w:rsidR="008F0AD4" w:rsidRPr="005C0B80" w:rsidRDefault="008F0AD4" w:rsidP="008F0AD4">
      <w:pPr>
        <w:ind w:left="284" w:hanging="284"/>
        <w:jc w:val="both"/>
        <w:rPr>
          <w:bCs/>
          <w:iCs/>
          <w:sz w:val="22"/>
          <w:szCs w:val="22"/>
        </w:rPr>
      </w:pPr>
      <w:r w:rsidRPr="005C0B80">
        <w:rPr>
          <w:bCs/>
          <w:sz w:val="22"/>
          <w:szCs w:val="22"/>
        </w:rPr>
        <w:t>-</w:t>
      </w:r>
      <w:r w:rsidRPr="005C0B80">
        <w:rPr>
          <w:bCs/>
          <w:sz w:val="22"/>
          <w:szCs w:val="22"/>
        </w:rPr>
        <w:tab/>
        <w:t>την κάλυψη της δαπάνης καθο</w:t>
      </w:r>
      <w:r w:rsidR="00041F10">
        <w:rPr>
          <w:bCs/>
          <w:sz w:val="22"/>
          <w:szCs w:val="22"/>
        </w:rPr>
        <w:t>λικών ταχυδρομικών υπηρεσιών.</w:t>
      </w:r>
    </w:p>
    <w:p w:rsidR="008F0AD4" w:rsidRPr="005C0B80" w:rsidRDefault="008F0AD4" w:rsidP="008F0AD4">
      <w:pPr>
        <w:jc w:val="both"/>
        <w:rPr>
          <w:bCs/>
          <w:iCs/>
          <w:sz w:val="22"/>
          <w:szCs w:val="22"/>
        </w:rPr>
      </w:pPr>
    </w:p>
    <w:p w:rsidR="008F0AD4" w:rsidRPr="005C0B80" w:rsidRDefault="008F0AD4" w:rsidP="008F0AD4">
      <w:pPr>
        <w:jc w:val="both"/>
        <w:rPr>
          <w:bCs/>
          <w:iCs/>
          <w:sz w:val="22"/>
          <w:szCs w:val="22"/>
        </w:rPr>
      </w:pPr>
      <w:r w:rsidRPr="005C0B80">
        <w:rPr>
          <w:bCs/>
          <w:iCs/>
          <w:sz w:val="22"/>
          <w:szCs w:val="22"/>
        </w:rPr>
        <w:t xml:space="preserve">Επίσης η παρατηρούμενη μείωση σε σχέση με το ΜΠΔΣ 2019-22 οφείλεται </w:t>
      </w:r>
      <w:r w:rsidR="00433838">
        <w:rPr>
          <w:bCs/>
          <w:iCs/>
          <w:sz w:val="22"/>
          <w:szCs w:val="22"/>
        </w:rPr>
        <w:t xml:space="preserve">και </w:t>
      </w:r>
      <w:r w:rsidRPr="005C0B80">
        <w:rPr>
          <w:bCs/>
          <w:iCs/>
          <w:sz w:val="22"/>
          <w:szCs w:val="22"/>
        </w:rPr>
        <w:t>στο γεγονός</w:t>
      </w:r>
      <w:r w:rsidR="00041F10">
        <w:rPr>
          <w:bCs/>
          <w:iCs/>
          <w:sz w:val="22"/>
          <w:szCs w:val="22"/>
        </w:rPr>
        <w:t xml:space="preserve"> του επ</w:t>
      </w:r>
      <w:r w:rsidR="00041F10">
        <w:rPr>
          <w:bCs/>
          <w:iCs/>
          <w:sz w:val="22"/>
          <w:szCs w:val="22"/>
        </w:rPr>
        <w:t>ι</w:t>
      </w:r>
      <w:r w:rsidR="00041F10">
        <w:rPr>
          <w:bCs/>
          <w:iCs/>
          <w:sz w:val="22"/>
          <w:szCs w:val="22"/>
        </w:rPr>
        <w:t>μερισμού της</w:t>
      </w:r>
      <w:r w:rsidRPr="005C0B80">
        <w:rPr>
          <w:bCs/>
          <w:iCs/>
          <w:sz w:val="22"/>
          <w:szCs w:val="22"/>
        </w:rPr>
        <w:t xml:space="preserve"> δαπάνη</w:t>
      </w:r>
      <w:r w:rsidR="00041F10">
        <w:rPr>
          <w:bCs/>
          <w:iCs/>
          <w:sz w:val="22"/>
          <w:szCs w:val="22"/>
        </w:rPr>
        <w:t>ς</w:t>
      </w:r>
      <w:r w:rsidRPr="005C0B80">
        <w:rPr>
          <w:bCs/>
          <w:iCs/>
          <w:sz w:val="22"/>
          <w:szCs w:val="22"/>
        </w:rPr>
        <w:t xml:space="preserve"> καταβολής εφάπαξ χρηματικού ποσού (άρθρα 10 - 15 του ν. 4575/2018) σε εν ενεργεία υπαλλήλους και συνταξιούχους</w:t>
      </w:r>
      <w:r w:rsidR="00041F10">
        <w:rPr>
          <w:bCs/>
          <w:iCs/>
          <w:sz w:val="22"/>
          <w:szCs w:val="22"/>
        </w:rPr>
        <w:t xml:space="preserve"> σε προαναφερόμενες</w:t>
      </w:r>
      <w:r w:rsidR="00612DF2">
        <w:rPr>
          <w:bCs/>
          <w:iCs/>
          <w:sz w:val="22"/>
          <w:szCs w:val="22"/>
        </w:rPr>
        <w:t xml:space="preserve"> κατηγορίες </w:t>
      </w:r>
      <w:r w:rsidR="00041F10">
        <w:rPr>
          <w:bCs/>
          <w:iCs/>
          <w:sz w:val="22"/>
          <w:szCs w:val="22"/>
        </w:rPr>
        <w:t>δαπανών</w:t>
      </w:r>
      <w:r w:rsidRPr="005C0B80">
        <w:rPr>
          <w:bCs/>
          <w:iCs/>
          <w:sz w:val="22"/>
          <w:szCs w:val="22"/>
        </w:rPr>
        <w:t>.</w:t>
      </w:r>
    </w:p>
    <w:p w:rsidR="00566189" w:rsidRPr="005D6CBB" w:rsidRDefault="00566189" w:rsidP="00566189">
      <w:pPr>
        <w:jc w:val="both"/>
        <w:rPr>
          <w:bCs/>
          <w:iCs/>
          <w:sz w:val="22"/>
          <w:szCs w:val="22"/>
        </w:rPr>
      </w:pPr>
    </w:p>
    <w:p w:rsidR="00566189" w:rsidRPr="0064589E" w:rsidRDefault="000B1842"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Αγορές παγίων περιουσιακών στοιχείων</w:t>
      </w:r>
    </w:p>
    <w:p w:rsidR="00566189" w:rsidRPr="005D6CBB" w:rsidRDefault="00566189" w:rsidP="00566189">
      <w:pPr>
        <w:jc w:val="both"/>
        <w:rPr>
          <w:bCs/>
          <w:iCs/>
          <w:sz w:val="22"/>
          <w:szCs w:val="22"/>
        </w:rPr>
      </w:pPr>
    </w:p>
    <w:p w:rsidR="008F0AD4" w:rsidRPr="005C0B80" w:rsidRDefault="008F0AD4" w:rsidP="008F0AD4">
      <w:pPr>
        <w:jc w:val="both"/>
        <w:rPr>
          <w:bCs/>
          <w:iCs/>
          <w:sz w:val="22"/>
          <w:szCs w:val="22"/>
        </w:rPr>
      </w:pPr>
      <w:r w:rsidRPr="005C0B80">
        <w:rPr>
          <w:bCs/>
          <w:iCs/>
          <w:sz w:val="22"/>
          <w:szCs w:val="22"/>
        </w:rPr>
        <w:t xml:space="preserve">Στην κατηγορία αυτή περιλαμβάνονται κυρίως οι εκτιμώμενες δαπάνες αγοράς οπλικών συστημάτων. Η συνολική δαπάνη της κατηγορίας αυτής ανέρχεται σε 544 εκατ. ευρώ. Επισημαίνεται </w:t>
      </w:r>
      <w:r w:rsidR="00ED7553">
        <w:rPr>
          <w:bCs/>
          <w:iCs/>
          <w:sz w:val="22"/>
          <w:szCs w:val="22"/>
        </w:rPr>
        <w:t>πως</w:t>
      </w:r>
      <w:r w:rsidRPr="005C0B80">
        <w:rPr>
          <w:bCs/>
          <w:iCs/>
          <w:sz w:val="22"/>
          <w:szCs w:val="22"/>
        </w:rPr>
        <w:t xml:space="preserve"> οι φυσ</w:t>
      </w:r>
      <w:r w:rsidRPr="005C0B80">
        <w:rPr>
          <w:bCs/>
          <w:iCs/>
          <w:sz w:val="22"/>
          <w:szCs w:val="22"/>
        </w:rPr>
        <w:t>ι</w:t>
      </w:r>
      <w:r w:rsidRPr="005C0B80">
        <w:rPr>
          <w:bCs/>
          <w:iCs/>
          <w:sz w:val="22"/>
          <w:szCs w:val="22"/>
        </w:rPr>
        <w:t xml:space="preserve">κές παραλαβές των εξοπλιστικών προγραμμάτων εκτιμάται ότι θα ανέλθουν στα 271 εκατ. ευρώ. </w:t>
      </w:r>
    </w:p>
    <w:p w:rsidR="008F0AD4" w:rsidRDefault="008F0AD4" w:rsidP="008A60CC">
      <w:pPr>
        <w:rPr>
          <w:sz w:val="22"/>
          <w:szCs w:val="22"/>
          <w:lang w:eastAsia="en-US"/>
        </w:rPr>
      </w:pPr>
    </w:p>
    <w:p w:rsidR="008F0AD4" w:rsidRDefault="008F0AD4" w:rsidP="008F0AD4">
      <w:pPr>
        <w:jc w:val="both"/>
        <w:rPr>
          <w:rFonts w:ascii="Arial Narrow" w:hAnsi="Arial Narrow"/>
          <w:b/>
          <w:bCs/>
          <w:i/>
          <w:iCs/>
          <w:sz w:val="22"/>
          <w:szCs w:val="22"/>
          <w:lang w:bidi="en-US"/>
        </w:rPr>
      </w:pPr>
      <w:r>
        <w:rPr>
          <w:rFonts w:ascii="Arial Narrow" w:hAnsi="Arial Narrow"/>
          <w:b/>
          <w:bCs/>
          <w:i/>
          <w:iCs/>
          <w:sz w:val="22"/>
          <w:szCs w:val="22"/>
          <w:lang w:bidi="en-US"/>
        </w:rPr>
        <w:t xml:space="preserve">Δαπάνες Προγράμματος Δημοσίων Επενδύσεων </w:t>
      </w:r>
    </w:p>
    <w:p w:rsidR="008F0AD4" w:rsidRPr="00F63898" w:rsidRDefault="008F0AD4" w:rsidP="008F0AD4">
      <w:pPr>
        <w:jc w:val="both"/>
        <w:rPr>
          <w:bCs/>
          <w:sz w:val="22"/>
          <w:szCs w:val="22"/>
        </w:rPr>
      </w:pPr>
    </w:p>
    <w:p w:rsidR="008F0AD4" w:rsidRPr="00F63898" w:rsidRDefault="008F0AD4" w:rsidP="008F0AD4">
      <w:pPr>
        <w:jc w:val="both"/>
        <w:rPr>
          <w:bCs/>
          <w:sz w:val="22"/>
          <w:szCs w:val="22"/>
        </w:rPr>
      </w:pPr>
      <w:r w:rsidRPr="00F63898">
        <w:rPr>
          <w:bCs/>
          <w:sz w:val="22"/>
          <w:szCs w:val="22"/>
        </w:rPr>
        <w:t xml:space="preserve">Η υλοποίηση του ΠΔΕ για το 2018 έχει ως στόχο να συνδράμει τη δημοσιονομική προσπάθεια με </w:t>
      </w:r>
      <w:r w:rsidRPr="00F63898">
        <w:rPr>
          <w:bCs/>
          <w:sz w:val="22"/>
          <w:szCs w:val="22"/>
        </w:rPr>
        <w:t>α</w:t>
      </w:r>
      <w:r w:rsidRPr="00F63898">
        <w:rPr>
          <w:bCs/>
          <w:sz w:val="22"/>
          <w:szCs w:val="22"/>
        </w:rPr>
        <w:t>ναπτυξιακές δράσεις, συμβάλλοντας στην ενίσχυση της οικονομίας και ταυτόχρονα τη στήριξη της κοινωνικής συνοχής. Για το έτος 2018, προβλέπεται η υλοποίηση έργων και δράσεων συνολικού ύψ</w:t>
      </w:r>
      <w:r w:rsidRPr="00F63898">
        <w:rPr>
          <w:bCs/>
          <w:sz w:val="22"/>
          <w:szCs w:val="22"/>
        </w:rPr>
        <w:t>ο</w:t>
      </w:r>
      <w:r w:rsidRPr="00F63898">
        <w:rPr>
          <w:bCs/>
          <w:sz w:val="22"/>
          <w:szCs w:val="22"/>
        </w:rPr>
        <w:t xml:space="preserve">υς </w:t>
      </w:r>
      <w:r>
        <w:rPr>
          <w:bCs/>
          <w:sz w:val="22"/>
          <w:szCs w:val="22"/>
        </w:rPr>
        <w:t>6.</w:t>
      </w:r>
      <w:r w:rsidRPr="00F63898">
        <w:rPr>
          <w:bCs/>
          <w:sz w:val="22"/>
          <w:szCs w:val="22"/>
        </w:rPr>
        <w:t>75</w:t>
      </w:r>
      <w:r>
        <w:rPr>
          <w:bCs/>
          <w:sz w:val="22"/>
          <w:szCs w:val="22"/>
        </w:rPr>
        <w:t>0 εκατ</w:t>
      </w:r>
      <w:r w:rsidRPr="00F63898">
        <w:rPr>
          <w:bCs/>
          <w:sz w:val="22"/>
          <w:szCs w:val="22"/>
        </w:rPr>
        <w:t>. ευρώ.</w:t>
      </w:r>
    </w:p>
    <w:p w:rsidR="008F0AD4" w:rsidRDefault="008F0AD4" w:rsidP="008F0AD4">
      <w:pPr>
        <w:jc w:val="both"/>
        <w:rPr>
          <w:bCs/>
          <w:sz w:val="22"/>
          <w:szCs w:val="22"/>
        </w:rPr>
      </w:pPr>
    </w:p>
    <w:p w:rsidR="008F0AD4" w:rsidRPr="00F63898" w:rsidRDefault="008F0AD4" w:rsidP="008F0AD4">
      <w:pPr>
        <w:jc w:val="both"/>
        <w:rPr>
          <w:bCs/>
          <w:sz w:val="22"/>
          <w:szCs w:val="22"/>
        </w:rPr>
      </w:pPr>
      <w:r w:rsidRPr="00F63898">
        <w:rPr>
          <w:bCs/>
          <w:sz w:val="22"/>
          <w:szCs w:val="22"/>
        </w:rPr>
        <w:t xml:space="preserve">Από το ποσό αυτό, τμήμα ύψους </w:t>
      </w:r>
      <w:r>
        <w:rPr>
          <w:bCs/>
          <w:sz w:val="22"/>
          <w:szCs w:val="22"/>
        </w:rPr>
        <w:t>5.</w:t>
      </w:r>
      <w:r w:rsidRPr="00F63898">
        <w:rPr>
          <w:bCs/>
          <w:sz w:val="22"/>
          <w:szCs w:val="22"/>
        </w:rPr>
        <w:t>75</w:t>
      </w:r>
      <w:r>
        <w:rPr>
          <w:bCs/>
          <w:sz w:val="22"/>
          <w:szCs w:val="22"/>
        </w:rPr>
        <w:t>0</w:t>
      </w:r>
      <w:r w:rsidRPr="00F63898">
        <w:rPr>
          <w:bCs/>
          <w:sz w:val="22"/>
          <w:szCs w:val="22"/>
        </w:rPr>
        <w:t xml:space="preserve"> </w:t>
      </w:r>
      <w:r>
        <w:rPr>
          <w:bCs/>
          <w:sz w:val="22"/>
          <w:szCs w:val="22"/>
        </w:rPr>
        <w:t>εκατ</w:t>
      </w:r>
      <w:r w:rsidRPr="00F63898">
        <w:rPr>
          <w:bCs/>
          <w:sz w:val="22"/>
          <w:szCs w:val="22"/>
        </w:rPr>
        <w:t xml:space="preserve">. ευρώ, αφορά συγχρηματοδοτούμενα έργα, με περαιτέρω διάκριση σε </w:t>
      </w:r>
      <w:r>
        <w:rPr>
          <w:bCs/>
          <w:sz w:val="22"/>
          <w:szCs w:val="22"/>
        </w:rPr>
        <w:t>4.</w:t>
      </w:r>
      <w:r w:rsidRPr="00F63898">
        <w:rPr>
          <w:bCs/>
          <w:sz w:val="22"/>
          <w:szCs w:val="22"/>
        </w:rPr>
        <w:t>06</w:t>
      </w:r>
      <w:r>
        <w:rPr>
          <w:bCs/>
          <w:sz w:val="22"/>
          <w:szCs w:val="22"/>
        </w:rPr>
        <w:t>0 εκατ</w:t>
      </w:r>
      <w:r w:rsidRPr="00F63898">
        <w:rPr>
          <w:bCs/>
          <w:sz w:val="22"/>
          <w:szCs w:val="22"/>
        </w:rPr>
        <w:t>. ευρώ για έργα ΕΣΠΑ 2014-2020 και 1</w:t>
      </w:r>
      <w:r>
        <w:rPr>
          <w:bCs/>
          <w:sz w:val="22"/>
          <w:szCs w:val="22"/>
        </w:rPr>
        <w:t>.</w:t>
      </w:r>
      <w:r w:rsidRPr="00F63898">
        <w:rPr>
          <w:bCs/>
          <w:sz w:val="22"/>
          <w:szCs w:val="22"/>
        </w:rPr>
        <w:t>69</w:t>
      </w:r>
      <w:r>
        <w:rPr>
          <w:bCs/>
          <w:sz w:val="22"/>
          <w:szCs w:val="22"/>
        </w:rPr>
        <w:t>0 εκατ</w:t>
      </w:r>
      <w:r w:rsidRPr="00F63898">
        <w:rPr>
          <w:bCs/>
          <w:sz w:val="22"/>
          <w:szCs w:val="22"/>
        </w:rPr>
        <w:t>. ευρώ για λοιπά συγχρημ</w:t>
      </w:r>
      <w:r w:rsidRPr="00F63898">
        <w:rPr>
          <w:bCs/>
          <w:sz w:val="22"/>
          <w:szCs w:val="22"/>
        </w:rPr>
        <w:t>α</w:t>
      </w:r>
      <w:r w:rsidRPr="00F63898">
        <w:rPr>
          <w:bCs/>
          <w:sz w:val="22"/>
          <w:szCs w:val="22"/>
        </w:rPr>
        <w:t>τοδοτούμενα προγράμματα. Βασικός στόχος της εκτέλεσης του συγχρηματοδοτούμενου σκέλους του ΠΔΕ και για το 2018 είναι η απορρόφηση των πόρων των συγχρηματοδοτούμενων προγραμμάτων και η εξασφάλιση της εισροής της κοινοτικής συνδρομής</w:t>
      </w:r>
      <w:r w:rsidRPr="00DB23CA">
        <w:rPr>
          <w:bCs/>
          <w:sz w:val="22"/>
          <w:szCs w:val="22"/>
        </w:rPr>
        <w:t>,</w:t>
      </w:r>
      <w:r w:rsidRPr="00F63898">
        <w:rPr>
          <w:bCs/>
          <w:sz w:val="22"/>
          <w:szCs w:val="22"/>
        </w:rPr>
        <w:t xml:space="preserve"> στο πλαίσιο των στόχων και υποχρεώσεων που απορρέουν από τις Συνθήκες της ΕΕ.</w:t>
      </w:r>
    </w:p>
    <w:p w:rsidR="008F0AD4" w:rsidRPr="00F63898" w:rsidRDefault="008F0AD4" w:rsidP="008F0AD4">
      <w:pPr>
        <w:jc w:val="both"/>
        <w:rPr>
          <w:bCs/>
          <w:sz w:val="22"/>
          <w:szCs w:val="22"/>
        </w:rPr>
      </w:pPr>
    </w:p>
    <w:p w:rsidR="008F0AD4" w:rsidRDefault="008F0AD4" w:rsidP="008F0AD4">
      <w:pPr>
        <w:jc w:val="both"/>
        <w:rPr>
          <w:bCs/>
          <w:sz w:val="22"/>
          <w:szCs w:val="22"/>
        </w:rPr>
      </w:pPr>
      <w:r w:rsidRPr="00F63898">
        <w:rPr>
          <w:bCs/>
          <w:sz w:val="22"/>
          <w:szCs w:val="22"/>
        </w:rPr>
        <w:t>Το υπόλοιπο, ύψους 1</w:t>
      </w:r>
      <w:r>
        <w:rPr>
          <w:bCs/>
          <w:sz w:val="22"/>
          <w:szCs w:val="22"/>
        </w:rPr>
        <w:t>.</w:t>
      </w:r>
      <w:r w:rsidRPr="00F63898">
        <w:rPr>
          <w:bCs/>
          <w:sz w:val="22"/>
          <w:szCs w:val="22"/>
        </w:rPr>
        <w:t>00</w:t>
      </w:r>
      <w:r>
        <w:rPr>
          <w:bCs/>
          <w:sz w:val="22"/>
          <w:szCs w:val="22"/>
        </w:rPr>
        <w:t>0 εκατ</w:t>
      </w:r>
      <w:r w:rsidRPr="00F63898">
        <w:rPr>
          <w:bCs/>
          <w:sz w:val="22"/>
          <w:szCs w:val="22"/>
        </w:rPr>
        <w:t>. ευρώ εκτιμάται ότι θα δαπανηθεί για την υλοποίηση των έργων που χρηματοδοτούνται από αμιγώς εθνικούς πόρους. Με τα έργα αυτά ενισχύονται πολιτικές και δράσεις των Υπουργείων και των Περιφερειών και αντιμετωπίζονται έκτακτες ανάγκες.</w:t>
      </w:r>
    </w:p>
    <w:p w:rsidR="008F0AD4" w:rsidRPr="00764E1A" w:rsidRDefault="008F0AD4" w:rsidP="008F0AD4">
      <w:pPr>
        <w:jc w:val="both"/>
        <w:rPr>
          <w:bCs/>
          <w:iCs/>
          <w:sz w:val="22"/>
          <w:szCs w:val="22"/>
          <w:lang w:bidi="en-US"/>
        </w:rPr>
      </w:pPr>
    </w:p>
    <w:p w:rsidR="00612DF2" w:rsidRPr="0090589B" w:rsidRDefault="00612DF2" w:rsidP="00612DF2">
      <w:pPr>
        <w:jc w:val="both"/>
        <w:rPr>
          <w:rFonts w:ascii="Arial Narrow" w:hAnsi="Arial Narrow"/>
          <w:b/>
          <w:sz w:val="22"/>
          <w:szCs w:val="22"/>
        </w:rPr>
      </w:pPr>
      <w:r>
        <w:rPr>
          <w:rFonts w:ascii="Arial Narrow" w:hAnsi="Arial Narrow"/>
          <w:b/>
          <w:sz w:val="22"/>
          <w:szCs w:val="22"/>
        </w:rPr>
        <w:t>Δαπάνες</w:t>
      </w:r>
      <w:r w:rsidRPr="0090589B">
        <w:rPr>
          <w:rFonts w:ascii="Arial Narrow" w:hAnsi="Arial Narrow"/>
          <w:b/>
          <w:sz w:val="22"/>
          <w:szCs w:val="22"/>
        </w:rPr>
        <w:t xml:space="preserve"> χρηματοοικονομικών συναλλαγών</w:t>
      </w:r>
    </w:p>
    <w:p w:rsidR="008F0AD4" w:rsidRDefault="008F0AD4" w:rsidP="008F0AD4">
      <w:pPr>
        <w:jc w:val="both"/>
        <w:rPr>
          <w:bCs/>
          <w:sz w:val="22"/>
          <w:szCs w:val="22"/>
        </w:rPr>
      </w:pPr>
    </w:p>
    <w:p w:rsidR="008F0AD4" w:rsidRDefault="008F0AD4" w:rsidP="008F0AD4">
      <w:pPr>
        <w:jc w:val="both"/>
        <w:rPr>
          <w:bCs/>
          <w:iCs/>
          <w:sz w:val="22"/>
          <w:szCs w:val="22"/>
        </w:rPr>
      </w:pPr>
      <w:r w:rsidRPr="008F0AD4">
        <w:rPr>
          <w:bCs/>
          <w:iCs/>
          <w:sz w:val="22"/>
          <w:szCs w:val="22"/>
        </w:rPr>
        <w:t xml:space="preserve">Οι </w:t>
      </w:r>
      <w:r w:rsidR="00957872">
        <w:rPr>
          <w:bCs/>
          <w:iCs/>
          <w:sz w:val="22"/>
          <w:szCs w:val="22"/>
        </w:rPr>
        <w:t xml:space="preserve">σημαντικού μεγέθους </w:t>
      </w:r>
      <w:r w:rsidRPr="008F0AD4">
        <w:rPr>
          <w:bCs/>
          <w:iCs/>
          <w:sz w:val="22"/>
          <w:szCs w:val="22"/>
        </w:rPr>
        <w:t>χρηματοοικονομικές συναλλαγές ταξινομούνται στις εξής μείζονες κατηγ</w:t>
      </w:r>
      <w:r w:rsidRPr="008F0AD4">
        <w:rPr>
          <w:bCs/>
          <w:iCs/>
          <w:sz w:val="22"/>
          <w:szCs w:val="22"/>
        </w:rPr>
        <w:t>ο</w:t>
      </w:r>
      <w:r w:rsidRPr="008F0AD4">
        <w:rPr>
          <w:bCs/>
          <w:iCs/>
          <w:sz w:val="22"/>
          <w:szCs w:val="22"/>
        </w:rPr>
        <w:t>ρίες:</w:t>
      </w:r>
    </w:p>
    <w:p w:rsidR="008F0AD4" w:rsidRPr="008F0AD4" w:rsidRDefault="008F0AD4" w:rsidP="008F0AD4">
      <w:pPr>
        <w:jc w:val="both"/>
        <w:rPr>
          <w:bCs/>
          <w:iCs/>
          <w:sz w:val="22"/>
          <w:szCs w:val="22"/>
        </w:rPr>
      </w:pPr>
    </w:p>
    <w:p w:rsidR="008F0AD4" w:rsidRPr="008F0AD4" w:rsidRDefault="008F0AD4" w:rsidP="008F0AD4">
      <w:pPr>
        <w:tabs>
          <w:tab w:val="left" w:pos="284"/>
        </w:tabs>
        <w:ind w:left="284" w:hanging="284"/>
        <w:jc w:val="both"/>
        <w:rPr>
          <w:b/>
          <w:bCs/>
          <w:iCs/>
          <w:sz w:val="22"/>
          <w:lang w:bidi="en-US"/>
        </w:rPr>
      </w:pPr>
      <w:r>
        <w:rPr>
          <w:bCs/>
          <w:iCs/>
          <w:sz w:val="22"/>
        </w:rPr>
        <w:lastRenderedPageBreak/>
        <w:t>-</w:t>
      </w:r>
      <w:r>
        <w:rPr>
          <w:bCs/>
          <w:iCs/>
          <w:sz w:val="22"/>
        </w:rPr>
        <w:tab/>
      </w:r>
      <w:r w:rsidRPr="008F0AD4">
        <w:rPr>
          <w:bCs/>
          <w:iCs/>
          <w:sz w:val="22"/>
        </w:rPr>
        <w:t>«Συμμετοχικοί τίτλοι και μερίδια επενδυτικών κεφαλαίων» με εκτίμηση ύψους 112 εκατ. ευρώ, μέσω της οποίας εξυπηρετείται κυρίως η συμμετοχή του Ελληνικού Δημοσίου στις αυξήσεις Μ</w:t>
      </w:r>
      <w:r w:rsidRPr="008F0AD4">
        <w:rPr>
          <w:bCs/>
          <w:iCs/>
          <w:sz w:val="22"/>
        </w:rPr>
        <w:t>ε</w:t>
      </w:r>
      <w:r w:rsidRPr="008F0AD4">
        <w:rPr>
          <w:bCs/>
          <w:iCs/>
          <w:sz w:val="22"/>
        </w:rPr>
        <w:t>τοχικού Κεφαλαίου Εταιριών.</w:t>
      </w:r>
    </w:p>
    <w:p w:rsidR="008F0AD4" w:rsidRPr="008F0AD4" w:rsidRDefault="008F0AD4" w:rsidP="008F0AD4">
      <w:pPr>
        <w:tabs>
          <w:tab w:val="left" w:pos="284"/>
        </w:tabs>
        <w:ind w:left="284" w:hanging="284"/>
        <w:jc w:val="both"/>
        <w:rPr>
          <w:bCs/>
          <w:iCs/>
          <w:sz w:val="22"/>
        </w:rPr>
      </w:pPr>
      <w:r>
        <w:rPr>
          <w:bCs/>
          <w:iCs/>
          <w:sz w:val="22"/>
        </w:rPr>
        <w:t>-</w:t>
      </w:r>
      <w:r>
        <w:rPr>
          <w:bCs/>
          <w:iCs/>
          <w:sz w:val="22"/>
        </w:rPr>
        <w:tab/>
      </w:r>
      <w:r w:rsidRPr="008F0AD4">
        <w:rPr>
          <w:bCs/>
          <w:iCs/>
          <w:sz w:val="22"/>
        </w:rPr>
        <w:t>«Χρεωστικοί τίτλοι», «Δάνεια» και «Χρηματοοικονομικά παράγωγα» μέσω των οποίων εξυπηρ</w:t>
      </w:r>
      <w:r w:rsidRPr="008F0AD4">
        <w:rPr>
          <w:bCs/>
          <w:iCs/>
          <w:sz w:val="22"/>
        </w:rPr>
        <w:t>ε</w:t>
      </w:r>
      <w:r w:rsidRPr="008F0AD4">
        <w:rPr>
          <w:bCs/>
          <w:iCs/>
          <w:sz w:val="22"/>
        </w:rPr>
        <w:t>τείται το δημόσιο χρέος.</w:t>
      </w:r>
    </w:p>
    <w:p w:rsidR="008A60CC" w:rsidRPr="00D16A56" w:rsidRDefault="00060AA3" w:rsidP="008A60CC">
      <w:pPr>
        <w:rPr>
          <w:sz w:val="22"/>
          <w:szCs w:val="22"/>
        </w:rPr>
      </w:pPr>
      <w:r>
        <w:rPr>
          <w:sz w:val="22"/>
          <w:szCs w:val="22"/>
          <w:lang w:eastAsia="en-US"/>
        </w:rPr>
        <w:t xml:space="preserve"> </w:t>
      </w:r>
    </w:p>
    <w:tbl>
      <w:tblPr>
        <w:tblW w:w="9356" w:type="dxa"/>
        <w:tblInd w:w="101" w:type="dxa"/>
        <w:tblLook w:val="04A0"/>
      </w:tblPr>
      <w:tblGrid>
        <w:gridCol w:w="353"/>
        <w:gridCol w:w="750"/>
        <w:gridCol w:w="3644"/>
        <w:gridCol w:w="1041"/>
        <w:gridCol w:w="993"/>
        <w:gridCol w:w="1027"/>
        <w:gridCol w:w="815"/>
        <w:gridCol w:w="733"/>
      </w:tblGrid>
      <w:tr w:rsidR="006848F8" w:rsidRPr="004A51B0" w:rsidTr="0097301E">
        <w:trPr>
          <w:trHeight w:val="870"/>
        </w:trPr>
        <w:tc>
          <w:tcPr>
            <w:tcW w:w="9356" w:type="dxa"/>
            <w:gridSpan w:val="8"/>
            <w:tcBorders>
              <w:top w:val="single" w:sz="4" w:space="0" w:color="auto"/>
              <w:left w:val="single" w:sz="4" w:space="0" w:color="auto"/>
              <w:bottom w:val="single" w:sz="4" w:space="0" w:color="auto"/>
              <w:right w:val="nil"/>
            </w:tcBorders>
            <w:shd w:val="clear" w:color="auto" w:fill="404040" w:themeFill="text1" w:themeFillTint="BF"/>
            <w:tcMar>
              <w:left w:w="28" w:type="dxa"/>
              <w:right w:w="28" w:type="dxa"/>
            </w:tcMar>
            <w:vAlign w:val="center"/>
            <w:hideMark/>
          </w:tcPr>
          <w:p w:rsidR="006848F8" w:rsidRPr="004A51B0" w:rsidRDefault="006848F8" w:rsidP="004A51B0">
            <w:pPr>
              <w:jc w:val="center"/>
              <w:rPr>
                <w:rFonts w:ascii="Arial Narrow" w:hAnsi="Arial Narrow"/>
                <w:color w:val="FFFFFF" w:themeColor="background1"/>
              </w:rPr>
            </w:pPr>
            <w:r w:rsidRPr="004A51B0">
              <w:rPr>
                <w:rFonts w:ascii="Arial Narrow" w:hAnsi="Arial Narrow"/>
                <w:b/>
                <w:bCs/>
                <w:color w:val="FFFFFF" w:themeColor="background1"/>
              </w:rPr>
              <w:t xml:space="preserve">Πίνακας </w:t>
            </w:r>
            <w:r w:rsidR="00D25146">
              <w:rPr>
                <w:rFonts w:ascii="Arial Narrow" w:hAnsi="Arial Narrow"/>
                <w:b/>
                <w:bCs/>
                <w:color w:val="FFFFFF" w:themeColor="background1"/>
              </w:rPr>
              <w:t>3.6</w:t>
            </w:r>
            <w:r w:rsidR="004A51B0" w:rsidRPr="004A51B0">
              <w:rPr>
                <w:rFonts w:ascii="Arial Narrow" w:hAnsi="Arial Narrow"/>
                <w:b/>
                <w:bCs/>
                <w:color w:val="FFFFFF" w:themeColor="background1"/>
              </w:rPr>
              <w:t xml:space="preserve"> </w:t>
            </w:r>
            <w:r w:rsidRPr="004A51B0">
              <w:rPr>
                <w:rFonts w:ascii="Arial Narrow" w:hAnsi="Arial Narrow"/>
                <w:b/>
                <w:bCs/>
                <w:color w:val="FFFFFF" w:themeColor="background1"/>
              </w:rPr>
              <w:t>Δαπάνες Κρατικού Προϋπολογισμού κατά μείζονα κατηγορία</w:t>
            </w:r>
            <w:r w:rsidR="00361E47">
              <w:rPr>
                <w:rFonts w:ascii="Arial Narrow" w:hAnsi="Arial Narrow"/>
                <w:b/>
                <w:bCs/>
                <w:color w:val="FFFFFF" w:themeColor="background1"/>
              </w:rPr>
              <w:t xml:space="preserve"> σε ταμειακή βάση</w:t>
            </w:r>
            <w:r w:rsidRPr="004A51B0">
              <w:rPr>
                <w:rFonts w:ascii="Arial Narrow" w:hAnsi="Arial Narrow"/>
                <w:b/>
                <w:bCs/>
                <w:color w:val="FFFFFF" w:themeColor="background1"/>
              </w:rPr>
              <w:t xml:space="preserve"> </w:t>
            </w:r>
            <w:r w:rsidRPr="004A51B0">
              <w:rPr>
                <w:rFonts w:ascii="Arial Narrow" w:hAnsi="Arial Narrow"/>
                <w:b/>
                <w:bCs/>
                <w:color w:val="FFFFFF" w:themeColor="background1"/>
              </w:rPr>
              <w:br/>
            </w:r>
            <w:r w:rsidRPr="004A51B0">
              <w:rPr>
                <w:rFonts w:ascii="Arial Narrow" w:hAnsi="Arial Narrow"/>
                <w:b/>
                <w:iCs/>
                <w:color w:val="FFFFFF" w:themeColor="background1"/>
                <w:szCs w:val="22"/>
              </w:rPr>
              <w:t>(σε εκατ. ευρώ)</w:t>
            </w:r>
          </w:p>
        </w:tc>
      </w:tr>
      <w:tr w:rsidR="004A51B0" w:rsidRPr="00322D95" w:rsidTr="0097301E">
        <w:trPr>
          <w:trHeight w:val="170"/>
        </w:trPr>
        <w:tc>
          <w:tcPr>
            <w:tcW w:w="9356" w:type="dxa"/>
            <w:gridSpan w:val="8"/>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4A51B0" w:rsidRPr="00322D95" w:rsidRDefault="004A51B0">
            <w:pPr>
              <w:jc w:val="center"/>
              <w:rPr>
                <w:rFonts w:ascii="Arial Narrow" w:hAnsi="Arial Narrow"/>
                <w:b/>
                <w:bCs/>
                <w:sz w:val="16"/>
              </w:rPr>
            </w:pPr>
          </w:p>
        </w:tc>
      </w:tr>
      <w:tr w:rsidR="006848F8" w:rsidTr="0097301E">
        <w:trPr>
          <w:trHeight w:val="276"/>
        </w:trPr>
        <w:tc>
          <w:tcPr>
            <w:tcW w:w="353"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α/α</w:t>
            </w:r>
          </w:p>
        </w:tc>
        <w:tc>
          <w:tcPr>
            <w:tcW w:w="750"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848F8" w:rsidRDefault="0025016C">
            <w:pPr>
              <w:jc w:val="center"/>
              <w:rPr>
                <w:rFonts w:ascii="Arial Narrow" w:hAnsi="Arial Narrow"/>
                <w:b/>
                <w:bCs/>
                <w:sz w:val="16"/>
                <w:szCs w:val="16"/>
              </w:rPr>
            </w:pPr>
            <w:r>
              <w:rPr>
                <w:rFonts w:ascii="Arial Narrow" w:hAnsi="Arial Narrow"/>
                <w:b/>
                <w:bCs/>
                <w:sz w:val="16"/>
                <w:szCs w:val="16"/>
              </w:rPr>
              <w:t>Μείζονες</w:t>
            </w:r>
          </w:p>
          <w:p w:rsidR="0025016C" w:rsidRDefault="0025016C">
            <w:pPr>
              <w:jc w:val="center"/>
              <w:rPr>
                <w:rFonts w:ascii="Arial Narrow" w:hAnsi="Arial Narrow"/>
                <w:b/>
                <w:bCs/>
                <w:sz w:val="16"/>
                <w:szCs w:val="16"/>
              </w:rPr>
            </w:pPr>
            <w:r>
              <w:rPr>
                <w:rFonts w:ascii="Arial Narrow" w:hAnsi="Arial Narrow"/>
                <w:b/>
                <w:bCs/>
                <w:sz w:val="16"/>
                <w:szCs w:val="16"/>
              </w:rPr>
              <w:t>κατηγορίες</w:t>
            </w:r>
          </w:p>
        </w:tc>
        <w:tc>
          <w:tcPr>
            <w:tcW w:w="364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Περιγραφή</w:t>
            </w:r>
          </w:p>
        </w:tc>
        <w:tc>
          <w:tcPr>
            <w:tcW w:w="10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2017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2018</w:t>
            </w:r>
          </w:p>
        </w:tc>
        <w:tc>
          <w:tcPr>
            <w:tcW w:w="10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2019</w:t>
            </w:r>
          </w:p>
        </w:tc>
        <w:tc>
          <w:tcPr>
            <w:tcW w:w="154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Μεταβολή</w:t>
            </w:r>
            <w:r w:rsidR="006772E1">
              <w:rPr>
                <w:rFonts w:ascii="Arial Narrow" w:hAnsi="Arial Narrow"/>
                <w:b/>
                <w:bCs/>
                <w:sz w:val="16"/>
                <w:szCs w:val="16"/>
              </w:rPr>
              <w:t xml:space="preserve"> %</w:t>
            </w:r>
          </w:p>
        </w:tc>
      </w:tr>
      <w:tr w:rsidR="006848F8" w:rsidTr="0097301E">
        <w:trPr>
          <w:trHeight w:val="408"/>
        </w:trPr>
        <w:tc>
          <w:tcPr>
            <w:tcW w:w="35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848F8" w:rsidRDefault="006848F8">
            <w:pPr>
              <w:rPr>
                <w:rFonts w:ascii="Arial Narrow" w:hAnsi="Arial Narrow"/>
                <w:b/>
                <w:bCs/>
                <w:sz w:val="16"/>
                <w:szCs w:val="16"/>
              </w:rPr>
            </w:pPr>
          </w:p>
        </w:tc>
        <w:tc>
          <w:tcPr>
            <w:tcW w:w="7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848F8" w:rsidRDefault="006848F8">
            <w:pPr>
              <w:rPr>
                <w:rFonts w:ascii="Arial Narrow" w:hAnsi="Arial Narrow"/>
                <w:b/>
                <w:bCs/>
                <w:sz w:val="16"/>
                <w:szCs w:val="16"/>
              </w:rPr>
            </w:pPr>
          </w:p>
        </w:tc>
        <w:tc>
          <w:tcPr>
            <w:tcW w:w="364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848F8" w:rsidRDefault="006848F8">
            <w:pPr>
              <w:rPr>
                <w:rFonts w:ascii="Arial Narrow" w:hAnsi="Arial Narrow"/>
                <w:b/>
                <w:bCs/>
                <w:sz w:val="16"/>
                <w:szCs w:val="16"/>
              </w:rPr>
            </w:pPr>
          </w:p>
        </w:tc>
        <w:tc>
          <w:tcPr>
            <w:tcW w:w="10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Πραγματο-</w:t>
            </w:r>
            <w:r>
              <w:rPr>
                <w:rFonts w:ascii="Arial Narrow" w:hAnsi="Arial Narrow"/>
                <w:b/>
                <w:bCs/>
                <w:sz w:val="16"/>
                <w:szCs w:val="16"/>
              </w:rPr>
              <w:br/>
              <w:t>ποιήσεις</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Εκτιμήσεις</w:t>
            </w:r>
          </w:p>
        </w:tc>
        <w:tc>
          <w:tcPr>
            <w:tcW w:w="10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Προβλέψεις</w:t>
            </w:r>
          </w:p>
        </w:tc>
        <w:tc>
          <w:tcPr>
            <w:tcW w:w="8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2018/17</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848F8" w:rsidRDefault="006848F8">
            <w:pPr>
              <w:jc w:val="center"/>
              <w:rPr>
                <w:rFonts w:ascii="Arial Narrow" w:hAnsi="Arial Narrow"/>
                <w:b/>
                <w:bCs/>
                <w:sz w:val="16"/>
                <w:szCs w:val="16"/>
              </w:rPr>
            </w:pPr>
            <w:r>
              <w:rPr>
                <w:rFonts w:ascii="Arial Narrow" w:hAnsi="Arial Narrow"/>
                <w:b/>
                <w:bCs/>
                <w:sz w:val="16"/>
                <w:szCs w:val="16"/>
              </w:rPr>
              <w:t>2019/18</w:t>
            </w:r>
          </w:p>
        </w:tc>
      </w:tr>
      <w:tr w:rsidR="00ED7C14" w:rsidTr="0097301E">
        <w:trPr>
          <w:trHeight w:val="170"/>
        </w:trPr>
        <w:tc>
          <w:tcPr>
            <w:tcW w:w="353" w:type="dxa"/>
            <w:tcBorders>
              <w:top w:val="single" w:sz="4" w:space="0" w:color="auto"/>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1</w:t>
            </w:r>
          </w:p>
        </w:tc>
        <w:tc>
          <w:tcPr>
            <w:tcW w:w="750" w:type="dxa"/>
            <w:tcBorders>
              <w:top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21</w:t>
            </w:r>
          </w:p>
        </w:tc>
        <w:tc>
          <w:tcPr>
            <w:tcW w:w="3644" w:type="dxa"/>
            <w:tcBorders>
              <w:top w:val="single" w:sz="4" w:space="0" w:color="auto"/>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 xml:space="preserve">Παροχές σε εργαζομένους </w:t>
            </w:r>
          </w:p>
        </w:tc>
        <w:tc>
          <w:tcPr>
            <w:tcW w:w="1041" w:type="dxa"/>
            <w:tcBorders>
              <w:top w:val="single" w:sz="4" w:space="0" w:color="auto"/>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12.018</w:t>
            </w:r>
          </w:p>
        </w:tc>
        <w:tc>
          <w:tcPr>
            <w:tcW w:w="993" w:type="dxa"/>
            <w:tcBorders>
              <w:top w:val="single" w:sz="4" w:space="0" w:color="auto"/>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13.527</w:t>
            </w:r>
          </w:p>
        </w:tc>
        <w:tc>
          <w:tcPr>
            <w:tcW w:w="1027" w:type="dxa"/>
            <w:tcBorders>
              <w:top w:val="single" w:sz="4" w:space="0" w:color="auto"/>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13.016</w:t>
            </w:r>
          </w:p>
        </w:tc>
        <w:tc>
          <w:tcPr>
            <w:tcW w:w="815" w:type="dxa"/>
            <w:tcBorders>
              <w:top w:val="single" w:sz="4" w:space="0" w:color="auto"/>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12,6</w:t>
            </w:r>
          </w:p>
        </w:tc>
        <w:tc>
          <w:tcPr>
            <w:tcW w:w="733" w:type="dxa"/>
            <w:tcBorders>
              <w:top w:val="single" w:sz="4" w:space="0" w:color="auto"/>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-3,8</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22</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Κοινωνικές παροχές</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2.305</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1.190</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246</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-48,4</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-79,3</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3</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23</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Μεταβιβάσεις</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28.713</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26.470</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26.104</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-7,8</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-1,4</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4</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24</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Αγορές αγαθών και υπηρεσιών</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1.267</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1.539</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1.324</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21,5</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-14,0</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5</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25</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Επιδοτήσεις</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134</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151</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150</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12,5</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-0,4</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6</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26</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Τόκοι</w:t>
            </w:r>
            <w:r>
              <w:rPr>
                <w:rFonts w:ascii="Arial Narrow" w:hAnsi="Arial Narrow"/>
                <w:sz w:val="16"/>
                <w:szCs w:val="16"/>
                <w:vertAlign w:val="superscript"/>
              </w:rPr>
              <w:t xml:space="preserve"> 1 &amp; </w:t>
            </w:r>
            <w:r w:rsidR="00C33EBC">
              <w:rPr>
                <w:rFonts w:ascii="Arial Narrow" w:hAnsi="Arial Narrow"/>
                <w:sz w:val="16"/>
                <w:szCs w:val="16"/>
                <w:vertAlign w:val="superscript"/>
              </w:rPr>
              <w:t>3</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5.696</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4.670</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5.600</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-18,0</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19,9</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7</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27</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Λοιπές δαπάνες</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137</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78</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51</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-42,8</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-34,3</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8</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29</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Πιστώσεις υπό κατανομή</w:t>
            </w:r>
            <w:r>
              <w:rPr>
                <w:rFonts w:ascii="Arial Narrow" w:hAnsi="Arial Narrow"/>
                <w:sz w:val="16"/>
                <w:szCs w:val="16"/>
                <w:vertAlign w:val="superscript"/>
              </w:rPr>
              <w:t xml:space="preserve"> 2</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6.133</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8.012</w:t>
            </w:r>
          </w:p>
        </w:tc>
        <w:tc>
          <w:tcPr>
            <w:tcW w:w="1027" w:type="dxa"/>
            <w:tcBorders>
              <w:top w:val="nil"/>
              <w:bottom w:val="nil"/>
            </w:tcBorders>
            <w:shd w:val="clear" w:color="auto" w:fill="auto"/>
            <w:tcMar>
              <w:left w:w="28" w:type="dxa"/>
              <w:right w:w="28" w:type="dxa"/>
            </w:tcMar>
            <w:vAlign w:val="bottom"/>
            <w:hideMark/>
          </w:tcPr>
          <w:p w:rsidR="00ED7C14" w:rsidRDefault="00ED7C14" w:rsidP="00C839D9">
            <w:pPr>
              <w:ind w:right="170"/>
              <w:jc w:val="right"/>
              <w:rPr>
                <w:rFonts w:ascii="Arial Narrow" w:hAnsi="Arial Narrow"/>
                <w:sz w:val="16"/>
                <w:szCs w:val="16"/>
              </w:rPr>
            </w:pPr>
            <w:r>
              <w:rPr>
                <w:rFonts w:ascii="Arial Narrow" w:hAnsi="Arial Narrow"/>
                <w:sz w:val="16"/>
                <w:szCs w:val="16"/>
              </w:rPr>
              <w:t>9.</w:t>
            </w:r>
            <w:r w:rsidR="00C839D9">
              <w:rPr>
                <w:rFonts w:ascii="Arial Narrow" w:hAnsi="Arial Narrow"/>
                <w:sz w:val="16"/>
                <w:szCs w:val="16"/>
              </w:rPr>
              <w:t>68</w:t>
            </w:r>
            <w:r>
              <w:rPr>
                <w:rFonts w:ascii="Arial Narrow" w:hAnsi="Arial Narrow"/>
                <w:sz w:val="16"/>
                <w:szCs w:val="16"/>
              </w:rPr>
              <w:t>7</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30,6</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C839D9">
            <w:pPr>
              <w:ind w:right="170"/>
              <w:jc w:val="right"/>
              <w:rPr>
                <w:rFonts w:ascii="Arial Narrow" w:hAnsi="Arial Narrow"/>
                <w:sz w:val="16"/>
                <w:szCs w:val="16"/>
              </w:rPr>
            </w:pPr>
            <w:r>
              <w:rPr>
                <w:rFonts w:ascii="Arial Narrow" w:hAnsi="Arial Narrow"/>
                <w:sz w:val="16"/>
                <w:szCs w:val="16"/>
              </w:rPr>
              <w:t>2</w:t>
            </w:r>
            <w:r w:rsidR="00C839D9">
              <w:rPr>
                <w:rFonts w:ascii="Arial Narrow" w:hAnsi="Arial Narrow"/>
                <w:sz w:val="16"/>
                <w:szCs w:val="16"/>
              </w:rPr>
              <w:t>0,9</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i/>
                <w:iCs/>
                <w:sz w:val="16"/>
                <w:szCs w:val="16"/>
              </w:rPr>
            </w:pP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i/>
                <w:iCs/>
                <w:sz w:val="16"/>
                <w:szCs w:val="16"/>
              </w:rPr>
            </w:pP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i/>
                <w:iCs/>
                <w:sz w:val="16"/>
                <w:szCs w:val="16"/>
              </w:rPr>
            </w:pPr>
            <w:r>
              <w:rPr>
                <w:rFonts w:ascii="Arial Narrow" w:hAnsi="Arial Narrow"/>
                <w:i/>
                <w:iCs/>
                <w:sz w:val="16"/>
                <w:szCs w:val="16"/>
              </w:rPr>
              <w:t>εκ των οποίων ΠΔΕ</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i/>
                <w:iCs/>
                <w:sz w:val="16"/>
                <w:szCs w:val="16"/>
              </w:rPr>
            </w:pPr>
            <w:r>
              <w:rPr>
                <w:rFonts w:ascii="Arial Narrow" w:hAnsi="Arial Narrow"/>
                <w:i/>
                <w:iCs/>
                <w:sz w:val="16"/>
                <w:szCs w:val="16"/>
              </w:rPr>
              <w:t>5.950</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i/>
                <w:iCs/>
                <w:sz w:val="16"/>
                <w:szCs w:val="16"/>
              </w:rPr>
            </w:pPr>
            <w:r>
              <w:rPr>
                <w:rFonts w:ascii="Arial Narrow" w:hAnsi="Arial Narrow"/>
                <w:i/>
                <w:iCs/>
                <w:sz w:val="16"/>
                <w:szCs w:val="16"/>
              </w:rPr>
              <w:t>6.750</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i/>
                <w:iCs/>
                <w:sz w:val="16"/>
                <w:szCs w:val="16"/>
              </w:rPr>
            </w:pPr>
            <w:r>
              <w:rPr>
                <w:rFonts w:ascii="Arial Narrow" w:hAnsi="Arial Narrow"/>
                <w:i/>
                <w:iCs/>
                <w:sz w:val="16"/>
                <w:szCs w:val="16"/>
              </w:rPr>
              <w:t>6.750</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13,4</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0,0</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9</w:t>
            </w:r>
          </w:p>
        </w:tc>
        <w:tc>
          <w:tcPr>
            <w:tcW w:w="750" w:type="dxa"/>
            <w:tcBorders>
              <w:top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31</w:t>
            </w:r>
          </w:p>
        </w:tc>
        <w:tc>
          <w:tcPr>
            <w:tcW w:w="3644" w:type="dxa"/>
            <w:tcBorders>
              <w:top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Αγορές παγίων περιουσιακών στοιχείων</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504</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544</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617</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8,0</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13,4</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10</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33</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Αγορές τιμαλφών</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0</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0</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0</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14,1</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181,0</w:t>
            </w:r>
          </w:p>
        </w:tc>
      </w:tr>
      <w:tr w:rsidR="00ED7C14" w:rsidTr="008870AD">
        <w:trPr>
          <w:trHeight w:val="170"/>
        </w:trPr>
        <w:tc>
          <w:tcPr>
            <w:tcW w:w="353" w:type="dxa"/>
            <w:tcBorders>
              <w:left w:val="single" w:sz="4" w:space="0" w:color="auto"/>
            </w:tcBorders>
            <w:shd w:val="clear" w:color="000000" w:fill="BFBFBF"/>
            <w:tcMar>
              <w:left w:w="28" w:type="dxa"/>
              <w:right w:w="28" w:type="dxa"/>
            </w:tcMar>
            <w:hideMark/>
          </w:tcPr>
          <w:p w:rsidR="00ED7C14" w:rsidRDefault="00ED7C14" w:rsidP="008870AD">
            <w:pPr>
              <w:jc w:val="center"/>
              <w:rPr>
                <w:rFonts w:ascii="Arial Narrow" w:hAnsi="Arial Narrow"/>
                <w:b/>
                <w:bCs/>
                <w:sz w:val="16"/>
                <w:szCs w:val="16"/>
              </w:rPr>
            </w:pPr>
            <w:r>
              <w:rPr>
                <w:rFonts w:ascii="Arial Narrow" w:hAnsi="Arial Narrow"/>
                <w:b/>
                <w:bCs/>
                <w:sz w:val="16"/>
                <w:szCs w:val="16"/>
              </w:rPr>
              <w:t>Α</w:t>
            </w:r>
          </w:p>
        </w:tc>
        <w:tc>
          <w:tcPr>
            <w:tcW w:w="4394" w:type="dxa"/>
            <w:gridSpan w:val="2"/>
            <w:shd w:val="clear" w:color="000000" w:fill="BFBFBF"/>
            <w:tcMar>
              <w:left w:w="28" w:type="dxa"/>
              <w:right w:w="28" w:type="dxa"/>
            </w:tcMar>
            <w:vAlign w:val="center"/>
            <w:hideMark/>
          </w:tcPr>
          <w:p w:rsidR="00ED7C14" w:rsidRDefault="00ED7C14" w:rsidP="0097301E">
            <w:pPr>
              <w:rPr>
                <w:rFonts w:ascii="Arial Narrow" w:hAnsi="Arial Narrow"/>
                <w:b/>
                <w:bCs/>
                <w:sz w:val="16"/>
                <w:szCs w:val="16"/>
              </w:rPr>
            </w:pPr>
            <w:r>
              <w:rPr>
                <w:rFonts w:ascii="Arial Narrow" w:hAnsi="Arial Narrow"/>
                <w:b/>
                <w:bCs/>
                <w:sz w:val="16"/>
                <w:szCs w:val="16"/>
              </w:rPr>
              <w:t>Δαπάνες μη χρηματοοικονομικών συναλλαγών (1+2+3+4+5+6+7+8+9+10)</w:t>
            </w:r>
          </w:p>
        </w:tc>
        <w:tc>
          <w:tcPr>
            <w:tcW w:w="1041" w:type="dxa"/>
            <w:shd w:val="clear" w:color="000000" w:fill="BFBFBF"/>
            <w:tcMar>
              <w:left w:w="28" w:type="dxa"/>
              <w:right w:w="28" w:type="dxa"/>
            </w:tcMar>
            <w:vAlign w:val="center"/>
            <w:hideMark/>
          </w:tcPr>
          <w:p w:rsidR="00ED7C14" w:rsidRDefault="00ED7C14" w:rsidP="00494AFC">
            <w:pPr>
              <w:ind w:right="170"/>
              <w:jc w:val="right"/>
              <w:rPr>
                <w:rFonts w:ascii="Arial Narrow" w:hAnsi="Arial Narrow"/>
                <w:b/>
                <w:bCs/>
                <w:sz w:val="16"/>
                <w:szCs w:val="16"/>
              </w:rPr>
            </w:pPr>
            <w:r>
              <w:rPr>
                <w:rFonts w:ascii="Arial Narrow" w:hAnsi="Arial Narrow"/>
                <w:b/>
                <w:bCs/>
                <w:sz w:val="16"/>
                <w:szCs w:val="16"/>
              </w:rPr>
              <w:t>56.907</w:t>
            </w:r>
          </w:p>
        </w:tc>
        <w:tc>
          <w:tcPr>
            <w:tcW w:w="993" w:type="dxa"/>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56.182</w:t>
            </w:r>
          </w:p>
        </w:tc>
        <w:tc>
          <w:tcPr>
            <w:tcW w:w="1027" w:type="dxa"/>
            <w:shd w:val="clear" w:color="000000" w:fill="BFBFBF"/>
            <w:tcMar>
              <w:left w:w="28" w:type="dxa"/>
              <w:right w:w="28" w:type="dxa"/>
            </w:tcMar>
            <w:vAlign w:val="center"/>
            <w:hideMark/>
          </w:tcPr>
          <w:p w:rsidR="00ED7C14" w:rsidRDefault="00C839D9" w:rsidP="00ED7C14">
            <w:pPr>
              <w:ind w:right="170"/>
              <w:jc w:val="right"/>
              <w:rPr>
                <w:rFonts w:ascii="Arial Narrow" w:hAnsi="Arial Narrow"/>
                <w:b/>
                <w:bCs/>
                <w:sz w:val="16"/>
                <w:szCs w:val="16"/>
              </w:rPr>
            </w:pPr>
            <w:r>
              <w:rPr>
                <w:rFonts w:ascii="Arial Narrow" w:hAnsi="Arial Narrow"/>
                <w:b/>
                <w:bCs/>
                <w:sz w:val="16"/>
                <w:szCs w:val="16"/>
              </w:rPr>
              <w:t>56.79</w:t>
            </w:r>
            <w:r w:rsidR="00ED7C14">
              <w:rPr>
                <w:rFonts w:ascii="Arial Narrow" w:hAnsi="Arial Narrow"/>
                <w:b/>
                <w:bCs/>
                <w:sz w:val="16"/>
                <w:szCs w:val="16"/>
              </w:rPr>
              <w:t>6</w:t>
            </w:r>
          </w:p>
        </w:tc>
        <w:tc>
          <w:tcPr>
            <w:tcW w:w="815" w:type="dxa"/>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-1,3</w:t>
            </w:r>
          </w:p>
        </w:tc>
        <w:tc>
          <w:tcPr>
            <w:tcW w:w="733" w:type="dxa"/>
            <w:tcBorders>
              <w:right w:val="single" w:sz="4" w:space="0" w:color="auto"/>
            </w:tcBorders>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1,</w:t>
            </w:r>
            <w:r w:rsidR="00C839D9">
              <w:rPr>
                <w:rFonts w:ascii="Arial Narrow" w:hAnsi="Arial Narrow"/>
                <w:b/>
                <w:bCs/>
                <w:sz w:val="16"/>
                <w:szCs w:val="16"/>
              </w:rPr>
              <w:t>1</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C33EBC" w:rsidP="006772E1">
            <w:pPr>
              <w:jc w:val="center"/>
              <w:rPr>
                <w:rFonts w:ascii="Arial Narrow" w:hAnsi="Arial Narrow"/>
                <w:sz w:val="16"/>
                <w:szCs w:val="16"/>
              </w:rPr>
            </w:pPr>
            <w:r>
              <w:rPr>
                <w:rFonts w:ascii="Arial Narrow" w:hAnsi="Arial Narrow"/>
                <w:sz w:val="16"/>
                <w:szCs w:val="16"/>
              </w:rPr>
              <w:t>11</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45</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 xml:space="preserve">Συμμετοχικοί τίτλοι και μερίδια επενδυτικών κεφαλαίων </w:t>
            </w:r>
          </w:p>
        </w:tc>
        <w:tc>
          <w:tcPr>
            <w:tcW w:w="1041" w:type="dxa"/>
            <w:tcBorders>
              <w:top w:val="nil"/>
              <w:bottom w:val="nil"/>
            </w:tcBorders>
            <w:shd w:val="clear" w:color="auto" w:fill="auto"/>
            <w:tcMar>
              <w:left w:w="28" w:type="dxa"/>
              <w:right w:w="28" w:type="dxa"/>
            </w:tcMar>
            <w:vAlign w:val="bottom"/>
            <w:hideMark/>
          </w:tcPr>
          <w:p w:rsidR="00ED7C14" w:rsidRDefault="000178C5" w:rsidP="00494AFC">
            <w:pPr>
              <w:ind w:right="170"/>
              <w:jc w:val="right"/>
              <w:rPr>
                <w:rFonts w:ascii="Arial Narrow" w:hAnsi="Arial Narrow"/>
                <w:sz w:val="16"/>
                <w:szCs w:val="16"/>
              </w:rPr>
            </w:pPr>
            <w:r>
              <w:rPr>
                <w:rFonts w:ascii="Arial Narrow" w:hAnsi="Arial Narrow"/>
                <w:sz w:val="16"/>
                <w:szCs w:val="16"/>
              </w:rPr>
              <w:t>36</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112</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332</w:t>
            </w:r>
          </w:p>
        </w:tc>
        <w:tc>
          <w:tcPr>
            <w:tcW w:w="815" w:type="dxa"/>
            <w:tcBorders>
              <w:top w:val="nil"/>
              <w:bottom w:val="nil"/>
            </w:tcBorders>
            <w:shd w:val="clear" w:color="auto" w:fill="auto"/>
            <w:tcMar>
              <w:left w:w="28" w:type="dxa"/>
              <w:right w:w="28" w:type="dxa"/>
            </w:tcMar>
            <w:vAlign w:val="bottom"/>
            <w:hideMark/>
          </w:tcPr>
          <w:p w:rsidR="00ED7C14" w:rsidRDefault="006D1BDF" w:rsidP="00ED7C14">
            <w:pPr>
              <w:ind w:right="170"/>
              <w:jc w:val="right"/>
              <w:rPr>
                <w:rFonts w:ascii="Arial Narrow" w:hAnsi="Arial Narrow"/>
                <w:sz w:val="16"/>
                <w:szCs w:val="16"/>
              </w:rPr>
            </w:pPr>
            <w:r>
              <w:rPr>
                <w:rFonts w:ascii="Arial Narrow" w:hAnsi="Arial Narrow"/>
                <w:sz w:val="16"/>
                <w:szCs w:val="16"/>
              </w:rPr>
              <w:t>208,5</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196,1</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C33EBC" w:rsidP="006772E1">
            <w:pPr>
              <w:jc w:val="center"/>
              <w:rPr>
                <w:rFonts w:ascii="Arial Narrow" w:hAnsi="Arial Narrow"/>
                <w:sz w:val="16"/>
                <w:szCs w:val="16"/>
              </w:rPr>
            </w:pPr>
            <w:r>
              <w:rPr>
                <w:rFonts w:ascii="Arial Narrow" w:hAnsi="Arial Narrow"/>
                <w:sz w:val="16"/>
                <w:szCs w:val="16"/>
              </w:rPr>
              <w:t>12</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49</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Προκαταβολές και λοιπές απαιτήσεις</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18</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41</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0</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129,5</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-100,0</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C33EBC" w:rsidP="006772E1">
            <w:pPr>
              <w:jc w:val="center"/>
              <w:rPr>
                <w:rFonts w:ascii="Arial Narrow" w:hAnsi="Arial Narrow"/>
                <w:sz w:val="16"/>
                <w:szCs w:val="16"/>
              </w:rPr>
            </w:pPr>
            <w:r>
              <w:rPr>
                <w:rFonts w:ascii="Arial Narrow" w:hAnsi="Arial Narrow"/>
                <w:sz w:val="16"/>
                <w:szCs w:val="16"/>
              </w:rPr>
              <w:t>13</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52</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 xml:space="preserve">Υποχρεώσεις από νόμισμα και καταθέσεις </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8</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7</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8</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-14,4</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17,7</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C33EBC" w:rsidP="006772E1">
            <w:pPr>
              <w:jc w:val="center"/>
              <w:rPr>
                <w:rFonts w:ascii="Arial Narrow" w:hAnsi="Arial Narrow"/>
                <w:sz w:val="16"/>
                <w:szCs w:val="16"/>
              </w:rPr>
            </w:pPr>
            <w:r>
              <w:rPr>
                <w:rFonts w:ascii="Arial Narrow" w:hAnsi="Arial Narrow"/>
                <w:sz w:val="16"/>
                <w:szCs w:val="16"/>
              </w:rPr>
              <w:t>14</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53</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Χρεωστικοί τίτλοι (υποχρεώσεις)</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76.157</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36.604</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43.749</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-51,9</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19,5</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C33EBC" w:rsidP="006772E1">
            <w:pPr>
              <w:jc w:val="center"/>
              <w:rPr>
                <w:rFonts w:ascii="Arial Narrow" w:hAnsi="Arial Narrow"/>
                <w:sz w:val="16"/>
                <w:szCs w:val="16"/>
              </w:rPr>
            </w:pPr>
            <w:r>
              <w:rPr>
                <w:rFonts w:ascii="Arial Narrow" w:hAnsi="Arial Narrow"/>
                <w:sz w:val="16"/>
                <w:szCs w:val="16"/>
              </w:rPr>
              <w:t>15</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54</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 xml:space="preserve">Δάνεια </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586.220</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755.652</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602.991</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28,9</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-20,2</w:t>
            </w:r>
          </w:p>
        </w:tc>
      </w:tr>
      <w:tr w:rsidR="00ED7C14" w:rsidTr="0097301E">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ED7C14" w:rsidRDefault="00C33EBC" w:rsidP="006772E1">
            <w:pPr>
              <w:jc w:val="center"/>
              <w:rPr>
                <w:rFonts w:ascii="Arial Narrow" w:hAnsi="Arial Narrow"/>
                <w:sz w:val="16"/>
                <w:szCs w:val="16"/>
              </w:rPr>
            </w:pPr>
            <w:r>
              <w:rPr>
                <w:rFonts w:ascii="Arial Narrow" w:hAnsi="Arial Narrow"/>
                <w:sz w:val="16"/>
                <w:szCs w:val="16"/>
              </w:rPr>
              <w:t>16</w:t>
            </w:r>
          </w:p>
        </w:tc>
        <w:tc>
          <w:tcPr>
            <w:tcW w:w="750" w:type="dxa"/>
            <w:tcBorders>
              <w:top w:val="nil"/>
              <w:bottom w:val="nil"/>
            </w:tcBorders>
            <w:shd w:val="clear" w:color="auto" w:fill="auto"/>
            <w:noWrap/>
            <w:tcMar>
              <w:left w:w="28" w:type="dxa"/>
              <w:right w:w="28" w:type="dxa"/>
            </w:tcMar>
            <w:vAlign w:val="bottom"/>
            <w:hideMark/>
          </w:tcPr>
          <w:p w:rsidR="00ED7C14" w:rsidRDefault="00ED7C14" w:rsidP="006772E1">
            <w:pPr>
              <w:jc w:val="center"/>
              <w:rPr>
                <w:rFonts w:ascii="Arial Narrow" w:hAnsi="Arial Narrow"/>
                <w:sz w:val="16"/>
                <w:szCs w:val="16"/>
              </w:rPr>
            </w:pPr>
            <w:r>
              <w:rPr>
                <w:rFonts w:ascii="Arial Narrow" w:hAnsi="Arial Narrow"/>
                <w:sz w:val="16"/>
                <w:szCs w:val="16"/>
              </w:rPr>
              <w:t>57</w:t>
            </w:r>
          </w:p>
        </w:tc>
        <w:tc>
          <w:tcPr>
            <w:tcW w:w="3644" w:type="dxa"/>
            <w:tcBorders>
              <w:top w:val="nil"/>
              <w:bottom w:val="nil"/>
            </w:tcBorders>
            <w:shd w:val="clear" w:color="auto" w:fill="auto"/>
            <w:tcMar>
              <w:left w:w="28" w:type="dxa"/>
              <w:right w:w="28" w:type="dxa"/>
            </w:tcMar>
            <w:vAlign w:val="bottom"/>
            <w:hideMark/>
          </w:tcPr>
          <w:p w:rsidR="00ED7C14" w:rsidRDefault="00ED7C14" w:rsidP="006772E1">
            <w:pPr>
              <w:rPr>
                <w:rFonts w:ascii="Arial Narrow" w:hAnsi="Arial Narrow"/>
                <w:sz w:val="16"/>
                <w:szCs w:val="16"/>
              </w:rPr>
            </w:pPr>
            <w:r>
              <w:rPr>
                <w:rFonts w:ascii="Arial Narrow" w:hAnsi="Arial Narrow"/>
                <w:sz w:val="16"/>
                <w:szCs w:val="16"/>
              </w:rPr>
              <w:t>Χρηματοοικονομικά παράγωγα</w:t>
            </w:r>
            <w:r w:rsidR="00C33EBC">
              <w:rPr>
                <w:rFonts w:ascii="Arial Narrow" w:hAnsi="Arial Narrow"/>
                <w:sz w:val="16"/>
                <w:szCs w:val="16"/>
                <w:vertAlign w:val="superscript"/>
              </w:rPr>
              <w:t>3</w:t>
            </w:r>
          </w:p>
        </w:tc>
        <w:tc>
          <w:tcPr>
            <w:tcW w:w="1041" w:type="dxa"/>
            <w:tcBorders>
              <w:top w:val="nil"/>
              <w:bottom w:val="nil"/>
            </w:tcBorders>
            <w:shd w:val="clear" w:color="auto" w:fill="auto"/>
            <w:tcMar>
              <w:left w:w="28" w:type="dxa"/>
              <w:right w:w="28" w:type="dxa"/>
            </w:tcMar>
            <w:vAlign w:val="bottom"/>
            <w:hideMark/>
          </w:tcPr>
          <w:p w:rsidR="00ED7C14" w:rsidRDefault="00ED7C14" w:rsidP="00494AFC">
            <w:pPr>
              <w:ind w:right="170"/>
              <w:jc w:val="right"/>
              <w:rPr>
                <w:rFonts w:ascii="Arial Narrow" w:hAnsi="Arial Narrow"/>
                <w:sz w:val="16"/>
                <w:szCs w:val="16"/>
              </w:rPr>
            </w:pPr>
            <w:r>
              <w:rPr>
                <w:rFonts w:ascii="Arial Narrow" w:hAnsi="Arial Narrow"/>
                <w:sz w:val="16"/>
                <w:szCs w:val="16"/>
              </w:rPr>
              <w:t>1.471</w:t>
            </w:r>
          </w:p>
        </w:tc>
        <w:tc>
          <w:tcPr>
            <w:tcW w:w="993"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850</w:t>
            </w:r>
          </w:p>
        </w:tc>
        <w:tc>
          <w:tcPr>
            <w:tcW w:w="1027"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1.000</w:t>
            </w:r>
          </w:p>
        </w:tc>
        <w:tc>
          <w:tcPr>
            <w:tcW w:w="815" w:type="dxa"/>
            <w:tcBorders>
              <w:top w:val="nil"/>
              <w:bottom w:val="nil"/>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-42,2</w:t>
            </w:r>
          </w:p>
        </w:tc>
        <w:tc>
          <w:tcPr>
            <w:tcW w:w="733" w:type="dxa"/>
            <w:tcBorders>
              <w:top w:val="nil"/>
              <w:bottom w:val="nil"/>
              <w:right w:val="single" w:sz="4" w:space="0" w:color="auto"/>
            </w:tcBorders>
            <w:shd w:val="clear" w:color="auto" w:fill="auto"/>
            <w:tcMar>
              <w:left w:w="28" w:type="dxa"/>
              <w:right w:w="28" w:type="dxa"/>
            </w:tcMar>
            <w:vAlign w:val="bottom"/>
            <w:hideMark/>
          </w:tcPr>
          <w:p w:rsidR="00ED7C14" w:rsidRDefault="00ED7C14" w:rsidP="00ED7C14">
            <w:pPr>
              <w:ind w:right="170"/>
              <w:jc w:val="right"/>
              <w:rPr>
                <w:rFonts w:ascii="Arial Narrow" w:hAnsi="Arial Narrow"/>
                <w:sz w:val="16"/>
                <w:szCs w:val="16"/>
              </w:rPr>
            </w:pPr>
            <w:r>
              <w:rPr>
                <w:rFonts w:ascii="Arial Narrow" w:hAnsi="Arial Narrow"/>
                <w:sz w:val="16"/>
                <w:szCs w:val="16"/>
              </w:rPr>
              <w:t>17,6</w:t>
            </w:r>
          </w:p>
        </w:tc>
      </w:tr>
      <w:tr w:rsidR="00ED7C14" w:rsidTr="008870AD">
        <w:trPr>
          <w:trHeight w:val="170"/>
        </w:trPr>
        <w:tc>
          <w:tcPr>
            <w:tcW w:w="353" w:type="dxa"/>
            <w:tcBorders>
              <w:left w:val="single" w:sz="4" w:space="0" w:color="auto"/>
            </w:tcBorders>
            <w:shd w:val="clear" w:color="000000" w:fill="BFBFBF"/>
            <w:tcMar>
              <w:left w:w="28" w:type="dxa"/>
              <w:right w:w="28" w:type="dxa"/>
            </w:tcMar>
            <w:hideMark/>
          </w:tcPr>
          <w:p w:rsidR="00ED7C14" w:rsidRDefault="00ED7C14" w:rsidP="008870AD">
            <w:pPr>
              <w:jc w:val="center"/>
              <w:rPr>
                <w:rFonts w:ascii="Arial Narrow" w:hAnsi="Arial Narrow"/>
                <w:b/>
                <w:bCs/>
                <w:sz w:val="16"/>
                <w:szCs w:val="16"/>
              </w:rPr>
            </w:pPr>
            <w:r>
              <w:rPr>
                <w:rFonts w:ascii="Arial Narrow" w:hAnsi="Arial Narrow"/>
                <w:b/>
                <w:bCs/>
                <w:sz w:val="16"/>
                <w:szCs w:val="16"/>
              </w:rPr>
              <w:t>Β</w:t>
            </w:r>
          </w:p>
        </w:tc>
        <w:tc>
          <w:tcPr>
            <w:tcW w:w="4394" w:type="dxa"/>
            <w:gridSpan w:val="2"/>
            <w:shd w:val="clear" w:color="000000" w:fill="BFBFBF"/>
            <w:tcMar>
              <w:left w:w="28" w:type="dxa"/>
              <w:right w:w="28" w:type="dxa"/>
            </w:tcMar>
            <w:vAlign w:val="center"/>
            <w:hideMark/>
          </w:tcPr>
          <w:p w:rsidR="00ED7C14" w:rsidRDefault="00ED7C14" w:rsidP="00C33EBC">
            <w:pPr>
              <w:rPr>
                <w:rFonts w:ascii="Arial Narrow" w:hAnsi="Arial Narrow"/>
                <w:b/>
                <w:bCs/>
                <w:sz w:val="16"/>
                <w:szCs w:val="16"/>
              </w:rPr>
            </w:pPr>
            <w:r>
              <w:rPr>
                <w:rFonts w:ascii="Arial Narrow" w:hAnsi="Arial Narrow"/>
                <w:b/>
                <w:bCs/>
                <w:sz w:val="16"/>
                <w:szCs w:val="16"/>
              </w:rPr>
              <w:t>Δαπάνες χρηματοοικονομικών συναλλαγών (11+12+13+14+15+16)</w:t>
            </w:r>
          </w:p>
        </w:tc>
        <w:tc>
          <w:tcPr>
            <w:tcW w:w="1041" w:type="dxa"/>
            <w:shd w:val="clear" w:color="000000" w:fill="BFBFBF"/>
            <w:tcMar>
              <w:left w:w="28" w:type="dxa"/>
              <w:right w:w="28" w:type="dxa"/>
            </w:tcMar>
            <w:vAlign w:val="center"/>
            <w:hideMark/>
          </w:tcPr>
          <w:p w:rsidR="00ED7C14" w:rsidRDefault="00ED7C14" w:rsidP="000178C5">
            <w:pPr>
              <w:ind w:right="170"/>
              <w:jc w:val="right"/>
              <w:rPr>
                <w:rFonts w:ascii="Arial Narrow" w:hAnsi="Arial Narrow"/>
                <w:b/>
                <w:bCs/>
                <w:sz w:val="16"/>
                <w:szCs w:val="16"/>
              </w:rPr>
            </w:pPr>
            <w:r>
              <w:rPr>
                <w:rFonts w:ascii="Arial Narrow" w:hAnsi="Arial Narrow"/>
                <w:b/>
                <w:bCs/>
                <w:sz w:val="16"/>
                <w:szCs w:val="16"/>
              </w:rPr>
              <w:t>66</w:t>
            </w:r>
            <w:r w:rsidR="000178C5">
              <w:rPr>
                <w:rFonts w:ascii="Arial Narrow" w:hAnsi="Arial Narrow"/>
                <w:b/>
                <w:bCs/>
                <w:sz w:val="16"/>
                <w:szCs w:val="16"/>
              </w:rPr>
              <w:t>3.9</w:t>
            </w:r>
            <w:r w:rsidR="006D1BDF">
              <w:rPr>
                <w:rFonts w:ascii="Arial Narrow" w:hAnsi="Arial Narrow"/>
                <w:b/>
                <w:bCs/>
                <w:sz w:val="16"/>
                <w:szCs w:val="16"/>
              </w:rPr>
              <w:t>10</w:t>
            </w:r>
          </w:p>
        </w:tc>
        <w:tc>
          <w:tcPr>
            <w:tcW w:w="993" w:type="dxa"/>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793.266</w:t>
            </w:r>
          </w:p>
        </w:tc>
        <w:tc>
          <w:tcPr>
            <w:tcW w:w="1027" w:type="dxa"/>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648.080</w:t>
            </w:r>
          </w:p>
        </w:tc>
        <w:tc>
          <w:tcPr>
            <w:tcW w:w="815" w:type="dxa"/>
            <w:shd w:val="clear" w:color="000000" w:fill="BFBFBF"/>
            <w:tcMar>
              <w:left w:w="28" w:type="dxa"/>
              <w:right w:w="28" w:type="dxa"/>
            </w:tcMar>
            <w:vAlign w:val="center"/>
            <w:hideMark/>
          </w:tcPr>
          <w:p w:rsidR="00ED7C14" w:rsidRDefault="006D1BDF" w:rsidP="00ED7C14">
            <w:pPr>
              <w:ind w:right="170"/>
              <w:jc w:val="right"/>
              <w:rPr>
                <w:rFonts w:ascii="Arial Narrow" w:hAnsi="Arial Narrow"/>
                <w:b/>
                <w:bCs/>
                <w:sz w:val="16"/>
                <w:szCs w:val="16"/>
              </w:rPr>
            </w:pPr>
            <w:r>
              <w:rPr>
                <w:rFonts w:ascii="Arial Narrow" w:hAnsi="Arial Narrow"/>
                <w:b/>
                <w:bCs/>
                <w:sz w:val="16"/>
                <w:szCs w:val="16"/>
              </w:rPr>
              <w:t>19,5</w:t>
            </w:r>
          </w:p>
        </w:tc>
        <w:tc>
          <w:tcPr>
            <w:tcW w:w="733" w:type="dxa"/>
            <w:tcBorders>
              <w:right w:val="single" w:sz="4" w:space="0" w:color="auto"/>
            </w:tcBorders>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-18,3</w:t>
            </w:r>
          </w:p>
        </w:tc>
      </w:tr>
      <w:tr w:rsidR="003B1EEB" w:rsidTr="0097301E">
        <w:trPr>
          <w:trHeight w:val="170"/>
        </w:trPr>
        <w:tc>
          <w:tcPr>
            <w:tcW w:w="353" w:type="dxa"/>
            <w:tcBorders>
              <w:left w:val="single" w:sz="4" w:space="0" w:color="auto"/>
            </w:tcBorders>
            <w:shd w:val="clear" w:color="auto" w:fill="auto"/>
            <w:tcMar>
              <w:left w:w="28" w:type="dxa"/>
              <w:right w:w="28" w:type="dxa"/>
            </w:tcMar>
            <w:vAlign w:val="center"/>
            <w:hideMark/>
          </w:tcPr>
          <w:p w:rsidR="003B1EEB" w:rsidRDefault="003B1EEB">
            <w:pPr>
              <w:jc w:val="center"/>
              <w:rPr>
                <w:rFonts w:ascii="Arial Narrow" w:hAnsi="Arial Narrow"/>
                <w:b/>
                <w:bCs/>
                <w:sz w:val="16"/>
                <w:szCs w:val="16"/>
              </w:rPr>
            </w:pPr>
          </w:p>
        </w:tc>
        <w:tc>
          <w:tcPr>
            <w:tcW w:w="750" w:type="dxa"/>
            <w:shd w:val="clear" w:color="auto" w:fill="auto"/>
            <w:tcMar>
              <w:left w:w="28" w:type="dxa"/>
              <w:right w:w="28" w:type="dxa"/>
            </w:tcMar>
            <w:vAlign w:val="center"/>
            <w:hideMark/>
          </w:tcPr>
          <w:p w:rsidR="003B1EEB" w:rsidRDefault="003B1EEB" w:rsidP="004A51B0">
            <w:pPr>
              <w:rPr>
                <w:rFonts w:ascii="Arial Narrow" w:hAnsi="Arial Narrow"/>
                <w:b/>
                <w:bCs/>
                <w:sz w:val="16"/>
                <w:szCs w:val="16"/>
              </w:rPr>
            </w:pPr>
          </w:p>
        </w:tc>
        <w:tc>
          <w:tcPr>
            <w:tcW w:w="3644" w:type="dxa"/>
            <w:shd w:val="clear" w:color="auto" w:fill="auto"/>
            <w:tcMar>
              <w:left w:w="28" w:type="dxa"/>
              <w:right w:w="28" w:type="dxa"/>
            </w:tcMar>
            <w:vAlign w:val="center"/>
          </w:tcPr>
          <w:p w:rsidR="003B1EEB" w:rsidRDefault="003B1EEB" w:rsidP="004A51B0">
            <w:pPr>
              <w:rPr>
                <w:rFonts w:ascii="Arial Narrow" w:hAnsi="Arial Narrow"/>
                <w:b/>
                <w:bCs/>
                <w:sz w:val="16"/>
                <w:szCs w:val="16"/>
              </w:rPr>
            </w:pPr>
          </w:p>
        </w:tc>
        <w:tc>
          <w:tcPr>
            <w:tcW w:w="1041" w:type="dxa"/>
            <w:shd w:val="clear" w:color="auto" w:fill="auto"/>
            <w:tcMar>
              <w:left w:w="28" w:type="dxa"/>
              <w:right w:w="28" w:type="dxa"/>
            </w:tcMar>
            <w:vAlign w:val="center"/>
            <w:hideMark/>
          </w:tcPr>
          <w:p w:rsidR="003B1EEB" w:rsidRDefault="003B1EEB" w:rsidP="00494AFC">
            <w:pPr>
              <w:ind w:right="170"/>
              <w:rPr>
                <w:rFonts w:ascii="Arial Narrow" w:hAnsi="Arial Narrow"/>
                <w:b/>
                <w:bCs/>
                <w:sz w:val="16"/>
                <w:szCs w:val="16"/>
              </w:rPr>
            </w:pPr>
            <w:r>
              <w:rPr>
                <w:rFonts w:ascii="Arial Narrow" w:hAnsi="Arial Narrow"/>
                <w:b/>
                <w:bCs/>
                <w:sz w:val="16"/>
                <w:szCs w:val="16"/>
              </w:rPr>
              <w:t> </w:t>
            </w:r>
          </w:p>
        </w:tc>
        <w:tc>
          <w:tcPr>
            <w:tcW w:w="993" w:type="dxa"/>
            <w:shd w:val="clear" w:color="auto" w:fill="auto"/>
            <w:tcMar>
              <w:left w:w="28" w:type="dxa"/>
              <w:right w:w="28" w:type="dxa"/>
            </w:tcMar>
            <w:vAlign w:val="center"/>
            <w:hideMark/>
          </w:tcPr>
          <w:p w:rsidR="003B1EEB" w:rsidRDefault="003B1EEB" w:rsidP="00ED7C14">
            <w:pPr>
              <w:ind w:right="170"/>
              <w:rPr>
                <w:rFonts w:ascii="Arial Narrow" w:hAnsi="Arial Narrow"/>
                <w:b/>
                <w:bCs/>
                <w:sz w:val="16"/>
                <w:szCs w:val="16"/>
              </w:rPr>
            </w:pPr>
            <w:r>
              <w:rPr>
                <w:rFonts w:ascii="Arial Narrow" w:hAnsi="Arial Narrow"/>
                <w:b/>
                <w:bCs/>
                <w:sz w:val="16"/>
                <w:szCs w:val="16"/>
              </w:rPr>
              <w:t> </w:t>
            </w:r>
          </w:p>
        </w:tc>
        <w:tc>
          <w:tcPr>
            <w:tcW w:w="1027" w:type="dxa"/>
            <w:shd w:val="clear" w:color="auto" w:fill="auto"/>
            <w:tcMar>
              <w:left w:w="28" w:type="dxa"/>
              <w:right w:w="28" w:type="dxa"/>
            </w:tcMar>
            <w:vAlign w:val="center"/>
            <w:hideMark/>
          </w:tcPr>
          <w:p w:rsidR="003B1EEB" w:rsidRDefault="003B1EEB" w:rsidP="00ED7C14">
            <w:pPr>
              <w:ind w:right="170"/>
              <w:rPr>
                <w:rFonts w:ascii="Arial Narrow" w:hAnsi="Arial Narrow"/>
                <w:b/>
                <w:bCs/>
                <w:sz w:val="16"/>
                <w:szCs w:val="16"/>
              </w:rPr>
            </w:pPr>
            <w:r>
              <w:rPr>
                <w:rFonts w:ascii="Arial Narrow" w:hAnsi="Arial Narrow"/>
                <w:b/>
                <w:bCs/>
                <w:sz w:val="16"/>
                <w:szCs w:val="16"/>
              </w:rPr>
              <w:t> </w:t>
            </w:r>
          </w:p>
        </w:tc>
        <w:tc>
          <w:tcPr>
            <w:tcW w:w="815" w:type="dxa"/>
            <w:shd w:val="clear" w:color="auto" w:fill="auto"/>
            <w:tcMar>
              <w:left w:w="28" w:type="dxa"/>
              <w:right w:w="28" w:type="dxa"/>
            </w:tcMar>
            <w:vAlign w:val="center"/>
            <w:hideMark/>
          </w:tcPr>
          <w:p w:rsidR="003B1EEB" w:rsidRDefault="003B1EEB" w:rsidP="00ED7C14">
            <w:pPr>
              <w:ind w:right="170"/>
              <w:jc w:val="right"/>
              <w:rPr>
                <w:rFonts w:ascii="Arial Narrow" w:hAnsi="Arial Narrow"/>
                <w:b/>
                <w:bCs/>
                <w:sz w:val="16"/>
                <w:szCs w:val="16"/>
              </w:rPr>
            </w:pPr>
            <w:r>
              <w:rPr>
                <w:rFonts w:ascii="Arial Narrow" w:hAnsi="Arial Narrow"/>
                <w:b/>
                <w:bCs/>
                <w:sz w:val="16"/>
                <w:szCs w:val="16"/>
              </w:rPr>
              <w:t> </w:t>
            </w:r>
          </w:p>
        </w:tc>
        <w:tc>
          <w:tcPr>
            <w:tcW w:w="733" w:type="dxa"/>
            <w:tcBorders>
              <w:right w:val="single" w:sz="4" w:space="0" w:color="auto"/>
            </w:tcBorders>
            <w:shd w:val="clear" w:color="auto" w:fill="auto"/>
            <w:tcMar>
              <w:left w:w="28" w:type="dxa"/>
              <w:right w:w="28" w:type="dxa"/>
            </w:tcMar>
            <w:vAlign w:val="center"/>
            <w:hideMark/>
          </w:tcPr>
          <w:p w:rsidR="003B1EEB" w:rsidRDefault="003B1EEB" w:rsidP="00ED7C14">
            <w:pPr>
              <w:ind w:right="170"/>
              <w:jc w:val="right"/>
              <w:rPr>
                <w:rFonts w:ascii="Arial Narrow" w:hAnsi="Arial Narrow"/>
                <w:b/>
                <w:bCs/>
                <w:sz w:val="16"/>
                <w:szCs w:val="16"/>
              </w:rPr>
            </w:pPr>
            <w:r>
              <w:rPr>
                <w:rFonts w:ascii="Arial Narrow" w:hAnsi="Arial Narrow"/>
                <w:b/>
                <w:bCs/>
                <w:sz w:val="16"/>
                <w:szCs w:val="16"/>
              </w:rPr>
              <w:t> </w:t>
            </w:r>
          </w:p>
        </w:tc>
      </w:tr>
      <w:tr w:rsidR="00ED7C14" w:rsidTr="0097301E">
        <w:trPr>
          <w:trHeight w:val="170"/>
        </w:trPr>
        <w:tc>
          <w:tcPr>
            <w:tcW w:w="353" w:type="dxa"/>
            <w:tcBorders>
              <w:left w:val="single" w:sz="4" w:space="0" w:color="auto"/>
              <w:bottom w:val="single" w:sz="4" w:space="0" w:color="auto"/>
            </w:tcBorders>
            <w:shd w:val="clear" w:color="000000" w:fill="BFBFBF"/>
            <w:tcMar>
              <w:left w:w="28" w:type="dxa"/>
              <w:right w:w="28" w:type="dxa"/>
            </w:tcMar>
            <w:vAlign w:val="center"/>
            <w:hideMark/>
          </w:tcPr>
          <w:p w:rsidR="00ED7C14" w:rsidRDefault="00ED7C14">
            <w:pPr>
              <w:jc w:val="center"/>
              <w:rPr>
                <w:rFonts w:ascii="Arial Narrow" w:hAnsi="Arial Narrow"/>
                <w:b/>
                <w:bCs/>
                <w:sz w:val="16"/>
                <w:szCs w:val="16"/>
              </w:rPr>
            </w:pPr>
            <w:r>
              <w:rPr>
                <w:rFonts w:ascii="Arial Narrow" w:hAnsi="Arial Narrow"/>
                <w:b/>
                <w:bCs/>
                <w:sz w:val="16"/>
                <w:szCs w:val="16"/>
              </w:rPr>
              <w:t>Γ</w:t>
            </w:r>
          </w:p>
        </w:tc>
        <w:tc>
          <w:tcPr>
            <w:tcW w:w="4394" w:type="dxa"/>
            <w:gridSpan w:val="2"/>
            <w:tcBorders>
              <w:bottom w:val="single" w:sz="4" w:space="0" w:color="auto"/>
            </w:tcBorders>
            <w:shd w:val="clear" w:color="000000" w:fill="BFBFBF"/>
            <w:tcMar>
              <w:left w:w="28" w:type="dxa"/>
              <w:right w:w="28" w:type="dxa"/>
            </w:tcMar>
            <w:vAlign w:val="center"/>
            <w:hideMark/>
          </w:tcPr>
          <w:p w:rsidR="00ED7C14" w:rsidRDefault="00ED7C14" w:rsidP="003B1EEB">
            <w:pPr>
              <w:rPr>
                <w:rFonts w:ascii="Arial Narrow" w:hAnsi="Arial Narrow"/>
                <w:b/>
                <w:bCs/>
                <w:sz w:val="16"/>
                <w:szCs w:val="16"/>
              </w:rPr>
            </w:pPr>
            <w:r>
              <w:rPr>
                <w:rFonts w:ascii="Arial Narrow" w:hAnsi="Arial Narrow"/>
                <w:b/>
                <w:bCs/>
                <w:sz w:val="16"/>
                <w:szCs w:val="16"/>
              </w:rPr>
              <w:t>Γενικό σύνολο δαπανών (Α+Β)</w:t>
            </w:r>
          </w:p>
        </w:tc>
        <w:tc>
          <w:tcPr>
            <w:tcW w:w="1041" w:type="dxa"/>
            <w:tcBorders>
              <w:bottom w:val="single" w:sz="4" w:space="0" w:color="auto"/>
            </w:tcBorders>
            <w:shd w:val="clear" w:color="000000" w:fill="BFBFBF"/>
            <w:tcMar>
              <w:left w:w="28" w:type="dxa"/>
              <w:right w:w="28" w:type="dxa"/>
            </w:tcMar>
            <w:vAlign w:val="center"/>
            <w:hideMark/>
          </w:tcPr>
          <w:p w:rsidR="00ED7C14" w:rsidRDefault="00ED7C14" w:rsidP="000178C5">
            <w:pPr>
              <w:ind w:right="170"/>
              <w:jc w:val="right"/>
              <w:rPr>
                <w:rFonts w:ascii="Arial Narrow" w:hAnsi="Arial Narrow"/>
                <w:b/>
                <w:bCs/>
                <w:sz w:val="16"/>
                <w:szCs w:val="16"/>
              </w:rPr>
            </w:pPr>
            <w:r>
              <w:rPr>
                <w:rFonts w:ascii="Arial Narrow" w:hAnsi="Arial Narrow"/>
                <w:b/>
                <w:bCs/>
                <w:sz w:val="16"/>
                <w:szCs w:val="16"/>
              </w:rPr>
              <w:t>72</w:t>
            </w:r>
            <w:r w:rsidR="000178C5">
              <w:rPr>
                <w:rFonts w:ascii="Arial Narrow" w:hAnsi="Arial Narrow"/>
                <w:b/>
                <w:bCs/>
                <w:sz w:val="16"/>
                <w:szCs w:val="16"/>
              </w:rPr>
              <w:t>0.817</w:t>
            </w:r>
          </w:p>
        </w:tc>
        <w:tc>
          <w:tcPr>
            <w:tcW w:w="993" w:type="dxa"/>
            <w:tcBorders>
              <w:bottom w:val="single" w:sz="4" w:space="0" w:color="auto"/>
            </w:tcBorders>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849.448</w:t>
            </w:r>
          </w:p>
        </w:tc>
        <w:tc>
          <w:tcPr>
            <w:tcW w:w="1027" w:type="dxa"/>
            <w:tcBorders>
              <w:bottom w:val="single" w:sz="4" w:space="0" w:color="auto"/>
            </w:tcBorders>
            <w:shd w:val="clear" w:color="000000" w:fill="BFBFBF"/>
            <w:tcMar>
              <w:left w:w="28" w:type="dxa"/>
              <w:right w:w="28" w:type="dxa"/>
            </w:tcMar>
            <w:vAlign w:val="center"/>
            <w:hideMark/>
          </w:tcPr>
          <w:p w:rsidR="00ED7C14" w:rsidRDefault="00C839D9" w:rsidP="00ED7C14">
            <w:pPr>
              <w:ind w:right="170"/>
              <w:jc w:val="right"/>
              <w:rPr>
                <w:rFonts w:ascii="Arial Narrow" w:hAnsi="Arial Narrow"/>
                <w:b/>
                <w:bCs/>
                <w:sz w:val="16"/>
                <w:szCs w:val="16"/>
              </w:rPr>
            </w:pPr>
            <w:r>
              <w:rPr>
                <w:rFonts w:ascii="Arial Narrow" w:hAnsi="Arial Narrow"/>
                <w:b/>
                <w:bCs/>
                <w:sz w:val="16"/>
                <w:szCs w:val="16"/>
              </w:rPr>
              <w:t>704.87</w:t>
            </w:r>
            <w:r w:rsidR="00ED7C14">
              <w:rPr>
                <w:rFonts w:ascii="Arial Narrow" w:hAnsi="Arial Narrow"/>
                <w:b/>
                <w:bCs/>
                <w:sz w:val="16"/>
                <w:szCs w:val="16"/>
              </w:rPr>
              <w:t>6</w:t>
            </w:r>
          </w:p>
        </w:tc>
        <w:tc>
          <w:tcPr>
            <w:tcW w:w="815" w:type="dxa"/>
            <w:tcBorders>
              <w:bottom w:val="single" w:sz="4" w:space="0" w:color="auto"/>
            </w:tcBorders>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17,8</w:t>
            </w:r>
          </w:p>
        </w:tc>
        <w:tc>
          <w:tcPr>
            <w:tcW w:w="733" w:type="dxa"/>
            <w:tcBorders>
              <w:bottom w:val="single" w:sz="4" w:space="0" w:color="auto"/>
              <w:right w:val="single" w:sz="4" w:space="0" w:color="auto"/>
            </w:tcBorders>
            <w:shd w:val="clear" w:color="000000" w:fill="BFBFBF"/>
            <w:tcMar>
              <w:left w:w="28" w:type="dxa"/>
              <w:right w:w="28" w:type="dxa"/>
            </w:tcMar>
            <w:vAlign w:val="center"/>
            <w:hideMark/>
          </w:tcPr>
          <w:p w:rsidR="00ED7C14" w:rsidRDefault="00ED7C14" w:rsidP="00ED7C14">
            <w:pPr>
              <w:ind w:right="170"/>
              <w:jc w:val="right"/>
              <w:rPr>
                <w:rFonts w:ascii="Arial Narrow" w:hAnsi="Arial Narrow"/>
                <w:b/>
                <w:bCs/>
                <w:sz w:val="16"/>
                <w:szCs w:val="16"/>
              </w:rPr>
            </w:pPr>
            <w:r>
              <w:rPr>
                <w:rFonts w:ascii="Arial Narrow" w:hAnsi="Arial Narrow"/>
                <w:b/>
                <w:bCs/>
                <w:sz w:val="16"/>
                <w:szCs w:val="16"/>
              </w:rPr>
              <w:t>-17,0</w:t>
            </w:r>
          </w:p>
        </w:tc>
      </w:tr>
    </w:tbl>
    <w:p w:rsidR="00FA1981" w:rsidRDefault="006848F8" w:rsidP="00322D95">
      <w:pPr>
        <w:tabs>
          <w:tab w:val="left" w:pos="284"/>
          <w:tab w:val="left" w:pos="10096"/>
          <w:tab w:val="left" w:pos="10318"/>
        </w:tabs>
        <w:ind w:right="-710"/>
        <w:rPr>
          <w:rFonts w:ascii="Arial Narrow" w:hAnsi="Arial Narrow"/>
          <w:sz w:val="16"/>
          <w:szCs w:val="16"/>
        </w:rPr>
      </w:pPr>
      <w:r>
        <w:rPr>
          <w:rFonts w:ascii="Arial Narrow" w:hAnsi="Arial Narrow"/>
          <w:sz w:val="16"/>
          <w:szCs w:val="16"/>
          <w:vertAlign w:val="superscript"/>
        </w:rPr>
        <w:t>1</w:t>
      </w:r>
      <w:r w:rsidR="004A51B0">
        <w:rPr>
          <w:rFonts w:ascii="Arial Narrow" w:hAnsi="Arial Narrow"/>
          <w:sz w:val="16"/>
          <w:szCs w:val="16"/>
        </w:rPr>
        <w:tab/>
      </w:r>
      <w:r w:rsidR="00FA1981">
        <w:rPr>
          <w:rFonts w:ascii="Arial Narrow" w:hAnsi="Arial Narrow"/>
          <w:sz w:val="16"/>
          <w:szCs w:val="16"/>
        </w:rPr>
        <w:t>Τόκοι σε ακαθάριστη βάση.</w:t>
      </w:r>
    </w:p>
    <w:p w:rsidR="00FA1981" w:rsidRDefault="006848F8" w:rsidP="00FA1981">
      <w:pPr>
        <w:tabs>
          <w:tab w:val="left" w:pos="284"/>
          <w:tab w:val="left" w:pos="10096"/>
          <w:tab w:val="left" w:pos="10318"/>
        </w:tabs>
        <w:ind w:right="-710"/>
        <w:rPr>
          <w:rFonts w:ascii="Arial Narrow" w:hAnsi="Arial Narrow"/>
          <w:sz w:val="16"/>
          <w:szCs w:val="16"/>
        </w:rPr>
      </w:pPr>
      <w:r>
        <w:rPr>
          <w:rFonts w:ascii="Arial Narrow" w:hAnsi="Arial Narrow"/>
          <w:sz w:val="16"/>
          <w:szCs w:val="16"/>
          <w:vertAlign w:val="superscript"/>
        </w:rPr>
        <w:t>2</w:t>
      </w:r>
      <w:r>
        <w:rPr>
          <w:rFonts w:ascii="Arial Narrow" w:hAnsi="Arial Narrow"/>
          <w:sz w:val="16"/>
          <w:szCs w:val="16"/>
        </w:rPr>
        <w:tab/>
      </w:r>
      <w:r w:rsidR="00FA1981">
        <w:rPr>
          <w:rFonts w:ascii="Arial Narrow" w:hAnsi="Arial Narrow"/>
          <w:sz w:val="16"/>
          <w:szCs w:val="16"/>
        </w:rPr>
        <w:t>Στη μείζονα κατηγορία 29 «Πιστώσεις υπό κατανομή» περιλαμβάνονται οι δαπάνες του Προγράμματος Δημοσίων Επενδύσεων (ΠΔΕ).</w:t>
      </w:r>
    </w:p>
    <w:p w:rsidR="002E2CB0" w:rsidRDefault="00C33EBC" w:rsidP="006772E1">
      <w:pPr>
        <w:tabs>
          <w:tab w:val="left" w:pos="284"/>
          <w:tab w:val="left" w:pos="10318"/>
        </w:tabs>
        <w:ind w:right="-710"/>
        <w:rPr>
          <w:rFonts w:ascii="Arial Narrow" w:hAnsi="Arial Narrow"/>
          <w:sz w:val="16"/>
          <w:szCs w:val="16"/>
        </w:rPr>
      </w:pPr>
      <w:r>
        <w:rPr>
          <w:rFonts w:ascii="Arial Narrow" w:hAnsi="Arial Narrow"/>
          <w:sz w:val="16"/>
          <w:szCs w:val="16"/>
          <w:vertAlign w:val="superscript"/>
        </w:rPr>
        <w:t>3</w:t>
      </w:r>
      <w:r w:rsidR="006848F8">
        <w:rPr>
          <w:rFonts w:ascii="Arial Narrow" w:hAnsi="Arial Narrow"/>
          <w:sz w:val="16"/>
          <w:szCs w:val="16"/>
        </w:rPr>
        <w:tab/>
        <w:t>Μέρος των τό</w:t>
      </w:r>
      <w:r w:rsidR="004A51B0">
        <w:rPr>
          <w:rFonts w:ascii="Arial Narrow" w:hAnsi="Arial Narrow"/>
          <w:sz w:val="16"/>
          <w:szCs w:val="16"/>
        </w:rPr>
        <w:t>κων της κεντρικής διοίκησης κατατά</w:t>
      </w:r>
      <w:r w:rsidR="006848F8">
        <w:rPr>
          <w:rFonts w:ascii="Arial Narrow" w:hAnsi="Arial Narrow"/>
          <w:sz w:val="16"/>
          <w:szCs w:val="16"/>
        </w:rPr>
        <w:t>σσ</w:t>
      </w:r>
      <w:r w:rsidR="00494AFC">
        <w:rPr>
          <w:rFonts w:ascii="Arial Narrow" w:hAnsi="Arial Narrow"/>
          <w:sz w:val="16"/>
          <w:szCs w:val="16"/>
        </w:rPr>
        <w:t>ε</w:t>
      </w:r>
      <w:r w:rsidR="006848F8">
        <w:rPr>
          <w:rFonts w:ascii="Arial Narrow" w:hAnsi="Arial Narrow"/>
          <w:sz w:val="16"/>
          <w:szCs w:val="16"/>
        </w:rPr>
        <w:t>ται στη μείζονα κα</w:t>
      </w:r>
      <w:r w:rsidR="004A51B0">
        <w:rPr>
          <w:rFonts w:ascii="Arial Narrow" w:hAnsi="Arial Narrow"/>
          <w:sz w:val="16"/>
          <w:szCs w:val="16"/>
        </w:rPr>
        <w:t>τηγορία «Χρηματοοικονομικά παράγωγα» σύμφωνα με τη</w:t>
      </w:r>
      <w:r w:rsidR="006848F8">
        <w:rPr>
          <w:rFonts w:ascii="Arial Narrow" w:hAnsi="Arial Narrow"/>
          <w:sz w:val="16"/>
          <w:szCs w:val="16"/>
        </w:rPr>
        <w:t xml:space="preserve"> νέα οικονομική ταξινόμηση.</w:t>
      </w:r>
    </w:p>
    <w:p w:rsidR="0064589E" w:rsidRDefault="0064589E">
      <w:pPr>
        <w:rPr>
          <w:bCs/>
          <w:sz w:val="22"/>
          <w:szCs w:val="22"/>
        </w:rPr>
      </w:pPr>
    </w:p>
    <w:p w:rsidR="00855B2B" w:rsidRDefault="00855B2B">
      <w:pPr>
        <w:rPr>
          <w:sz w:val="22"/>
        </w:rPr>
      </w:pPr>
    </w:p>
    <w:p w:rsidR="0074222A" w:rsidRPr="0074222A" w:rsidRDefault="0074222A" w:rsidP="0074222A">
      <w:pPr>
        <w:shd w:val="clear" w:color="auto" w:fill="595959" w:themeFill="text1" w:themeFillTint="A6"/>
        <w:rPr>
          <w:rFonts w:ascii="Arial Narrow" w:hAnsi="Arial Narrow"/>
          <w:b/>
          <w:color w:val="FFFFFF" w:themeColor="background1"/>
          <w:szCs w:val="26"/>
        </w:rPr>
      </w:pPr>
      <w:r w:rsidRPr="00D421AD">
        <w:rPr>
          <w:rFonts w:ascii="Arial Narrow" w:hAnsi="Arial Narrow"/>
          <w:b/>
          <w:color w:val="FFFFFF"/>
          <w:sz w:val="26"/>
          <w:szCs w:val="26"/>
        </w:rPr>
        <w:t>3.</w:t>
      </w:r>
      <w:r w:rsidRPr="00CE4228">
        <w:rPr>
          <w:rFonts w:ascii="Arial Narrow" w:hAnsi="Arial Narrow"/>
          <w:b/>
          <w:szCs w:val="26"/>
        </w:rPr>
        <w:tab/>
      </w:r>
      <w:r w:rsidRPr="0074222A">
        <w:rPr>
          <w:rFonts w:ascii="Arial Narrow" w:hAnsi="Arial Narrow"/>
          <w:b/>
          <w:color w:val="FFFFFF" w:themeColor="background1"/>
          <w:szCs w:val="26"/>
        </w:rPr>
        <w:t>Βασικά μεγέθη Προϋπολογισμού</w:t>
      </w:r>
      <w:r>
        <w:rPr>
          <w:rFonts w:ascii="Arial Narrow" w:hAnsi="Arial Narrow"/>
          <w:b/>
          <w:color w:val="FFFFFF" w:themeColor="background1"/>
          <w:szCs w:val="26"/>
        </w:rPr>
        <w:t xml:space="preserve"> Γενικής Κυβέρνησης 2019</w:t>
      </w:r>
    </w:p>
    <w:p w:rsidR="0074222A" w:rsidRPr="00727A31" w:rsidRDefault="0074222A" w:rsidP="0074222A">
      <w:pPr>
        <w:autoSpaceDE w:val="0"/>
        <w:autoSpaceDN w:val="0"/>
        <w:adjustRightInd w:val="0"/>
        <w:jc w:val="both"/>
        <w:rPr>
          <w:bCs/>
          <w:sz w:val="22"/>
        </w:rPr>
      </w:pPr>
    </w:p>
    <w:p w:rsidR="0074222A" w:rsidRPr="00C839D9" w:rsidRDefault="0074222A" w:rsidP="0074222A">
      <w:pPr>
        <w:autoSpaceDE w:val="0"/>
        <w:autoSpaceDN w:val="0"/>
        <w:adjustRightInd w:val="0"/>
        <w:jc w:val="both"/>
        <w:rPr>
          <w:bCs/>
          <w:sz w:val="22"/>
          <w:szCs w:val="22"/>
        </w:rPr>
      </w:pPr>
      <w:r w:rsidRPr="003770B6">
        <w:rPr>
          <w:bCs/>
          <w:sz w:val="22"/>
          <w:szCs w:val="22"/>
        </w:rPr>
        <w:t>Για το έτος 2019, το πρωτογενές αποτέλεσμα της Γενικής Κυβέρνησης σε όρους Ενισχυμένης Επο</w:t>
      </w:r>
      <w:r w:rsidRPr="003770B6">
        <w:rPr>
          <w:bCs/>
          <w:sz w:val="22"/>
          <w:szCs w:val="22"/>
        </w:rPr>
        <w:t>π</w:t>
      </w:r>
      <w:r w:rsidRPr="003770B6">
        <w:rPr>
          <w:bCs/>
          <w:sz w:val="22"/>
          <w:szCs w:val="22"/>
        </w:rPr>
        <w:t xml:space="preserve">τείας προβλέπεται να διαμορφωθεί σε </w:t>
      </w:r>
      <w:r w:rsidR="00C839D9">
        <w:rPr>
          <w:bCs/>
          <w:sz w:val="22"/>
          <w:szCs w:val="22"/>
        </w:rPr>
        <w:t>6.94</w:t>
      </w:r>
      <w:r w:rsidR="0088706F">
        <w:rPr>
          <w:bCs/>
          <w:sz w:val="22"/>
          <w:szCs w:val="22"/>
        </w:rPr>
        <w:t>5</w:t>
      </w:r>
      <w:r w:rsidRPr="003770B6">
        <w:rPr>
          <w:bCs/>
          <w:sz w:val="22"/>
          <w:szCs w:val="22"/>
        </w:rPr>
        <w:t xml:space="preserve"> εκατ. ευρώ ή </w:t>
      </w:r>
      <w:r w:rsidR="0088706F">
        <w:rPr>
          <w:bCs/>
          <w:sz w:val="22"/>
          <w:szCs w:val="22"/>
        </w:rPr>
        <w:t>3,</w:t>
      </w:r>
      <w:r w:rsidR="00C839D9">
        <w:rPr>
          <w:bCs/>
          <w:sz w:val="22"/>
          <w:szCs w:val="22"/>
        </w:rPr>
        <w:t>60</w:t>
      </w:r>
      <w:r w:rsidRPr="003770B6">
        <w:rPr>
          <w:bCs/>
          <w:sz w:val="22"/>
          <w:szCs w:val="22"/>
        </w:rPr>
        <w:t>% του ΑΕΠ, αυξημένο έναντι του στ</w:t>
      </w:r>
      <w:r w:rsidRPr="003770B6">
        <w:rPr>
          <w:bCs/>
          <w:sz w:val="22"/>
          <w:szCs w:val="22"/>
        </w:rPr>
        <w:t>ό</w:t>
      </w:r>
      <w:r w:rsidRPr="003770B6">
        <w:rPr>
          <w:bCs/>
          <w:sz w:val="22"/>
          <w:szCs w:val="22"/>
        </w:rPr>
        <w:t xml:space="preserve">χου της Ενισχυμένης Εποπτείας κατά </w:t>
      </w:r>
      <w:r w:rsidR="00C839D9">
        <w:rPr>
          <w:bCs/>
          <w:sz w:val="22"/>
          <w:szCs w:val="22"/>
        </w:rPr>
        <w:t>19</w:t>
      </w:r>
      <w:r w:rsidR="00C33EBC">
        <w:rPr>
          <w:bCs/>
          <w:sz w:val="22"/>
          <w:szCs w:val="22"/>
        </w:rPr>
        <w:t>9</w:t>
      </w:r>
      <w:r w:rsidRPr="003770B6">
        <w:rPr>
          <w:bCs/>
          <w:sz w:val="22"/>
          <w:szCs w:val="22"/>
        </w:rPr>
        <w:t xml:space="preserve"> εκατ. ευρώ και </w:t>
      </w:r>
      <w:r w:rsidR="0088706F">
        <w:rPr>
          <w:bCs/>
          <w:sz w:val="22"/>
          <w:szCs w:val="22"/>
        </w:rPr>
        <w:t xml:space="preserve">μειωμένο </w:t>
      </w:r>
      <w:r w:rsidRPr="003770B6">
        <w:rPr>
          <w:bCs/>
          <w:sz w:val="22"/>
          <w:szCs w:val="22"/>
        </w:rPr>
        <w:t xml:space="preserve">κατά </w:t>
      </w:r>
      <w:r w:rsidR="00C839D9">
        <w:rPr>
          <w:bCs/>
          <w:sz w:val="22"/>
          <w:szCs w:val="22"/>
        </w:rPr>
        <w:t>57</w:t>
      </w:r>
      <w:r w:rsidR="0088706F">
        <w:rPr>
          <w:bCs/>
          <w:sz w:val="22"/>
          <w:szCs w:val="22"/>
        </w:rPr>
        <w:t>2</w:t>
      </w:r>
      <w:r w:rsidRPr="003770B6">
        <w:rPr>
          <w:bCs/>
          <w:sz w:val="22"/>
          <w:szCs w:val="22"/>
        </w:rPr>
        <w:t xml:space="preserve"> εκατ. ευρώ σε σχέση με τ</w:t>
      </w:r>
      <w:r w:rsidR="00ED7553">
        <w:rPr>
          <w:bCs/>
          <w:sz w:val="22"/>
          <w:szCs w:val="22"/>
        </w:rPr>
        <w:t>ην πρόβλεψη τ</w:t>
      </w:r>
      <w:r w:rsidRPr="003770B6">
        <w:rPr>
          <w:bCs/>
          <w:sz w:val="22"/>
          <w:szCs w:val="22"/>
        </w:rPr>
        <w:t>ο</w:t>
      </w:r>
      <w:r w:rsidR="00ED7553">
        <w:rPr>
          <w:bCs/>
          <w:sz w:val="22"/>
          <w:szCs w:val="22"/>
        </w:rPr>
        <w:t>υ</w:t>
      </w:r>
      <w:r w:rsidRPr="003770B6">
        <w:rPr>
          <w:bCs/>
          <w:sz w:val="22"/>
          <w:szCs w:val="22"/>
        </w:rPr>
        <w:t xml:space="preserve"> ΜΠΔΣ 2019-2022</w:t>
      </w:r>
      <w:r w:rsidR="00361E47">
        <w:rPr>
          <w:bCs/>
          <w:sz w:val="22"/>
          <w:szCs w:val="22"/>
        </w:rPr>
        <w:t xml:space="preserve"> (πίνακας </w:t>
      </w:r>
      <w:r w:rsidR="00361E47" w:rsidRPr="00C839D9">
        <w:rPr>
          <w:bCs/>
          <w:sz w:val="22"/>
          <w:szCs w:val="22"/>
        </w:rPr>
        <w:t>3.3)</w:t>
      </w:r>
      <w:r w:rsidRPr="00C839D9">
        <w:rPr>
          <w:bCs/>
          <w:sz w:val="22"/>
          <w:szCs w:val="22"/>
        </w:rPr>
        <w:t>.</w:t>
      </w:r>
    </w:p>
    <w:p w:rsidR="0074222A" w:rsidRPr="003770B6" w:rsidRDefault="0074222A" w:rsidP="0074222A">
      <w:pPr>
        <w:autoSpaceDE w:val="0"/>
        <w:autoSpaceDN w:val="0"/>
        <w:adjustRightInd w:val="0"/>
        <w:jc w:val="both"/>
        <w:rPr>
          <w:bCs/>
          <w:sz w:val="22"/>
          <w:szCs w:val="22"/>
        </w:rPr>
      </w:pPr>
    </w:p>
    <w:p w:rsidR="0074222A" w:rsidRPr="00AD0E77" w:rsidRDefault="0074222A" w:rsidP="0074222A">
      <w:pPr>
        <w:autoSpaceDE w:val="0"/>
        <w:autoSpaceDN w:val="0"/>
        <w:adjustRightInd w:val="0"/>
        <w:jc w:val="both"/>
        <w:rPr>
          <w:bCs/>
          <w:sz w:val="22"/>
          <w:szCs w:val="22"/>
        </w:rPr>
      </w:pPr>
      <w:r w:rsidRPr="003770B6">
        <w:rPr>
          <w:bCs/>
          <w:sz w:val="22"/>
          <w:szCs w:val="22"/>
        </w:rPr>
        <w:t>Αντίστοιχα, σε δημοσιονομική βάση το πρωτογενές αποτέλεσμα της Γενικής Κυβέρνησης προβλέπ</w:t>
      </w:r>
      <w:r w:rsidRPr="003770B6">
        <w:rPr>
          <w:bCs/>
          <w:sz w:val="22"/>
          <w:szCs w:val="22"/>
        </w:rPr>
        <w:t>ε</w:t>
      </w:r>
      <w:r w:rsidRPr="003770B6">
        <w:rPr>
          <w:bCs/>
          <w:sz w:val="22"/>
          <w:szCs w:val="22"/>
        </w:rPr>
        <w:t xml:space="preserve">ται να διαμορφωθεί σε </w:t>
      </w:r>
      <w:r w:rsidR="00C839D9">
        <w:rPr>
          <w:bCs/>
          <w:sz w:val="22"/>
          <w:szCs w:val="22"/>
        </w:rPr>
        <w:t>7.</w:t>
      </w:r>
      <w:r w:rsidR="0088706F">
        <w:rPr>
          <w:bCs/>
          <w:sz w:val="22"/>
          <w:szCs w:val="22"/>
        </w:rPr>
        <w:t>4</w:t>
      </w:r>
      <w:r w:rsidR="00C839D9">
        <w:rPr>
          <w:bCs/>
          <w:sz w:val="22"/>
          <w:szCs w:val="22"/>
        </w:rPr>
        <w:t>34</w:t>
      </w:r>
      <w:r w:rsidRPr="003770B6">
        <w:rPr>
          <w:bCs/>
          <w:sz w:val="22"/>
          <w:szCs w:val="22"/>
        </w:rPr>
        <w:t xml:space="preserve"> εκατ. ευρώ ή </w:t>
      </w:r>
      <w:r w:rsidR="00C839D9">
        <w:rPr>
          <w:bCs/>
          <w:sz w:val="22"/>
          <w:szCs w:val="22"/>
        </w:rPr>
        <w:t>3,9</w:t>
      </w:r>
      <w:r w:rsidRPr="003770B6">
        <w:rPr>
          <w:bCs/>
          <w:sz w:val="22"/>
          <w:szCs w:val="22"/>
        </w:rPr>
        <w:t xml:space="preserve">% του ΑΕΠ, </w:t>
      </w:r>
      <w:r w:rsidR="0088706F">
        <w:rPr>
          <w:bCs/>
          <w:sz w:val="22"/>
          <w:szCs w:val="22"/>
        </w:rPr>
        <w:t>μειωμένο</w:t>
      </w:r>
      <w:r w:rsidRPr="003770B6">
        <w:rPr>
          <w:bCs/>
          <w:sz w:val="22"/>
          <w:szCs w:val="22"/>
        </w:rPr>
        <w:t xml:space="preserve"> κατά </w:t>
      </w:r>
      <w:r w:rsidR="00C839D9">
        <w:rPr>
          <w:bCs/>
          <w:sz w:val="22"/>
          <w:szCs w:val="22"/>
        </w:rPr>
        <w:t>36</w:t>
      </w:r>
      <w:r w:rsidR="00ED7553">
        <w:rPr>
          <w:bCs/>
          <w:sz w:val="22"/>
          <w:szCs w:val="22"/>
        </w:rPr>
        <w:t>3 εκατ. ευρώ σε σχέση με την πρόβλεψη του</w:t>
      </w:r>
      <w:r w:rsidRPr="003770B6">
        <w:rPr>
          <w:bCs/>
          <w:sz w:val="22"/>
          <w:szCs w:val="22"/>
        </w:rPr>
        <w:t xml:space="preserve"> ΜΠΔΣ</w:t>
      </w:r>
      <w:r>
        <w:rPr>
          <w:bCs/>
          <w:sz w:val="22"/>
          <w:szCs w:val="22"/>
        </w:rPr>
        <w:t xml:space="preserve"> 2019-2022</w:t>
      </w:r>
      <w:r w:rsidR="00361E47">
        <w:rPr>
          <w:bCs/>
          <w:sz w:val="22"/>
          <w:szCs w:val="22"/>
        </w:rPr>
        <w:t xml:space="preserve"> (πίνακας 3.2)</w:t>
      </w:r>
      <w:r w:rsidRPr="003770B6">
        <w:rPr>
          <w:bCs/>
          <w:sz w:val="22"/>
          <w:szCs w:val="22"/>
        </w:rPr>
        <w:t>.</w:t>
      </w:r>
    </w:p>
    <w:p w:rsidR="00BD1EB5" w:rsidRPr="00AD0E77" w:rsidRDefault="00BD1EB5" w:rsidP="0074222A">
      <w:pPr>
        <w:autoSpaceDE w:val="0"/>
        <w:autoSpaceDN w:val="0"/>
        <w:adjustRightInd w:val="0"/>
        <w:jc w:val="both"/>
        <w:rPr>
          <w:bCs/>
          <w:sz w:val="22"/>
          <w:szCs w:val="22"/>
        </w:rPr>
      </w:pPr>
    </w:p>
    <w:p w:rsidR="00957872" w:rsidRPr="00957872" w:rsidRDefault="00BD1EB5" w:rsidP="00957872">
      <w:pPr>
        <w:autoSpaceDE w:val="0"/>
        <w:autoSpaceDN w:val="0"/>
        <w:adjustRightInd w:val="0"/>
        <w:jc w:val="both"/>
        <w:rPr>
          <w:bCs/>
          <w:sz w:val="22"/>
          <w:szCs w:val="22"/>
        </w:rPr>
      </w:pPr>
      <w:r w:rsidRPr="000E5CC2">
        <w:rPr>
          <w:bCs/>
          <w:sz w:val="22"/>
          <w:szCs w:val="22"/>
        </w:rPr>
        <w:t xml:space="preserve">Για το 2019 το διαρθρωτικό ισοζύγιο </w:t>
      </w:r>
      <w:r>
        <w:rPr>
          <w:bCs/>
          <w:sz w:val="22"/>
          <w:szCs w:val="22"/>
        </w:rPr>
        <w:t>προβλέπεται στο 2</w:t>
      </w:r>
      <w:r w:rsidRPr="000E5CC2">
        <w:rPr>
          <w:bCs/>
          <w:sz w:val="22"/>
          <w:szCs w:val="22"/>
        </w:rPr>
        <w:t>,</w:t>
      </w:r>
      <w:r>
        <w:rPr>
          <w:bCs/>
          <w:sz w:val="22"/>
          <w:szCs w:val="22"/>
        </w:rPr>
        <w:t>2</w:t>
      </w:r>
      <w:r w:rsidRPr="000E5CC2">
        <w:rPr>
          <w:bCs/>
          <w:sz w:val="22"/>
          <w:szCs w:val="22"/>
        </w:rPr>
        <w:t>% του ΑΕΠ.</w:t>
      </w:r>
      <w:r w:rsidR="00957872">
        <w:rPr>
          <w:bCs/>
          <w:sz w:val="22"/>
          <w:szCs w:val="22"/>
        </w:rPr>
        <w:t xml:space="preserve"> </w:t>
      </w:r>
      <w:r w:rsidR="00957872" w:rsidRPr="00957872">
        <w:rPr>
          <w:bCs/>
          <w:sz w:val="22"/>
          <w:szCs w:val="22"/>
        </w:rPr>
        <w:t>Η βελτίωση σε σχέση με</w:t>
      </w:r>
      <w:r w:rsidR="004B1061">
        <w:rPr>
          <w:bCs/>
          <w:sz w:val="22"/>
          <w:szCs w:val="22"/>
        </w:rPr>
        <w:t xml:space="preserve"> το αντίστοιχο μέγεθος που είχε</w:t>
      </w:r>
      <w:r w:rsidR="00957872" w:rsidRPr="00957872">
        <w:rPr>
          <w:bCs/>
          <w:sz w:val="22"/>
          <w:szCs w:val="22"/>
        </w:rPr>
        <w:t xml:space="preserve"> αποτυπωθεί στο προσχέδιο του προϋπολογισμού του 2019 οφείλεται κ</w:t>
      </w:r>
      <w:r w:rsidR="00957872" w:rsidRPr="00957872">
        <w:rPr>
          <w:bCs/>
          <w:sz w:val="22"/>
          <w:szCs w:val="22"/>
        </w:rPr>
        <w:t>υ</w:t>
      </w:r>
      <w:r w:rsidR="00957872" w:rsidRPr="00957872">
        <w:rPr>
          <w:bCs/>
          <w:sz w:val="22"/>
          <w:szCs w:val="22"/>
        </w:rPr>
        <w:t>ρίως στην αναθεώρηση του παραγωγικού κενού (Output Gap) από την ΕΕ (</w:t>
      </w:r>
      <w:r w:rsidR="00957872" w:rsidRPr="00957872">
        <w:rPr>
          <w:bCs/>
          <w:sz w:val="22"/>
          <w:szCs w:val="22"/>
          <w:lang w:val="en-GB"/>
        </w:rPr>
        <w:t>European</w:t>
      </w:r>
      <w:r w:rsidR="00957872" w:rsidRPr="00957872">
        <w:rPr>
          <w:bCs/>
          <w:sz w:val="22"/>
          <w:szCs w:val="22"/>
        </w:rPr>
        <w:t xml:space="preserve"> Economic Forecast - </w:t>
      </w:r>
      <w:r w:rsidR="00957872" w:rsidRPr="00957872">
        <w:rPr>
          <w:bCs/>
          <w:sz w:val="22"/>
          <w:szCs w:val="22"/>
          <w:lang w:val="en-GB"/>
        </w:rPr>
        <w:t>Autumn</w:t>
      </w:r>
      <w:r w:rsidR="00957872" w:rsidRPr="00957872">
        <w:rPr>
          <w:bCs/>
          <w:sz w:val="22"/>
          <w:szCs w:val="22"/>
        </w:rPr>
        <w:t xml:space="preserve"> 2018).</w:t>
      </w:r>
    </w:p>
    <w:p w:rsidR="00BD1EB5" w:rsidRPr="000E5CC2" w:rsidRDefault="00BD1EB5" w:rsidP="00BD1EB5">
      <w:pPr>
        <w:autoSpaceDE w:val="0"/>
        <w:autoSpaceDN w:val="0"/>
        <w:adjustRightInd w:val="0"/>
        <w:jc w:val="both"/>
        <w:rPr>
          <w:bCs/>
          <w:sz w:val="22"/>
          <w:szCs w:val="22"/>
        </w:rPr>
      </w:pPr>
    </w:p>
    <w:p w:rsidR="005D0BB1" w:rsidRDefault="005D0BB1" w:rsidP="005D0BB1">
      <w:pPr>
        <w:jc w:val="both"/>
        <w:rPr>
          <w:sz w:val="22"/>
        </w:rPr>
      </w:pPr>
    </w:p>
    <w:p w:rsidR="005D0BB1" w:rsidRPr="00D421AD" w:rsidRDefault="0074222A" w:rsidP="00AB2586">
      <w:pPr>
        <w:shd w:val="clear" w:color="auto" w:fill="404040" w:themeFill="text1" w:themeFillTint="BF"/>
        <w:jc w:val="both"/>
        <w:rPr>
          <w:rFonts w:ascii="Arial Narrow" w:hAnsi="Arial Narrow"/>
          <w:b/>
          <w:color w:val="FFFFFF"/>
          <w:sz w:val="26"/>
          <w:szCs w:val="26"/>
        </w:rPr>
      </w:pPr>
      <w:r>
        <w:rPr>
          <w:rFonts w:ascii="Arial Narrow" w:hAnsi="Arial Narrow"/>
          <w:b/>
          <w:color w:val="FFFFFF"/>
          <w:sz w:val="26"/>
          <w:szCs w:val="26"/>
        </w:rPr>
        <w:t>4</w:t>
      </w:r>
      <w:r w:rsidR="005D0BB1" w:rsidRPr="00D421AD">
        <w:rPr>
          <w:rFonts w:ascii="Arial Narrow" w:hAnsi="Arial Narrow"/>
          <w:b/>
          <w:color w:val="FFFFFF"/>
          <w:sz w:val="26"/>
          <w:szCs w:val="26"/>
        </w:rPr>
        <w:t>.</w:t>
      </w:r>
      <w:r w:rsidR="005D0BB1" w:rsidRPr="00D421AD">
        <w:rPr>
          <w:rFonts w:ascii="Arial Narrow" w:hAnsi="Arial Narrow"/>
          <w:b/>
          <w:color w:val="FFFFFF"/>
          <w:sz w:val="26"/>
          <w:szCs w:val="26"/>
        </w:rPr>
        <w:tab/>
      </w:r>
      <w:r w:rsidR="00CE2618">
        <w:rPr>
          <w:rFonts w:ascii="Arial Narrow" w:hAnsi="Arial Narrow"/>
          <w:b/>
          <w:color w:val="FFFFFF"/>
          <w:sz w:val="26"/>
          <w:szCs w:val="26"/>
        </w:rPr>
        <w:t>Κρατικός Προϋπολογισμός</w:t>
      </w:r>
      <w:r w:rsidR="005011A2">
        <w:rPr>
          <w:rFonts w:ascii="Arial Narrow" w:hAnsi="Arial Narrow"/>
          <w:b/>
          <w:color w:val="FFFFFF"/>
          <w:sz w:val="26"/>
          <w:szCs w:val="26"/>
        </w:rPr>
        <w:t xml:space="preserve"> 2019</w:t>
      </w:r>
    </w:p>
    <w:p w:rsidR="005D0BB1" w:rsidRPr="000574DA" w:rsidRDefault="005D0BB1" w:rsidP="005D0BB1">
      <w:pPr>
        <w:tabs>
          <w:tab w:val="left" w:pos="180"/>
        </w:tabs>
        <w:spacing w:line="235" w:lineRule="auto"/>
        <w:jc w:val="both"/>
        <w:rPr>
          <w:sz w:val="22"/>
          <w:highlight w:val="lightGray"/>
        </w:rPr>
      </w:pPr>
    </w:p>
    <w:p w:rsidR="00CF1BE0" w:rsidRDefault="00CF1BE0" w:rsidP="00CF1BE0">
      <w:pPr>
        <w:autoSpaceDE w:val="0"/>
        <w:autoSpaceDN w:val="0"/>
        <w:adjustRightInd w:val="0"/>
        <w:jc w:val="both"/>
        <w:rPr>
          <w:bCs/>
          <w:sz w:val="22"/>
        </w:rPr>
      </w:pPr>
      <w:r>
        <w:rPr>
          <w:bCs/>
          <w:sz w:val="22"/>
        </w:rPr>
        <w:t xml:space="preserve">Το νέο λογιστικό πλαίσιο το οποίο θα εφαρμοσθεί για την Κεντρική Διοίκηση </w:t>
      </w:r>
      <w:r w:rsidR="00ED7553">
        <w:rPr>
          <w:bCs/>
          <w:sz w:val="22"/>
        </w:rPr>
        <w:t xml:space="preserve">από </w:t>
      </w:r>
      <w:r>
        <w:rPr>
          <w:bCs/>
          <w:sz w:val="22"/>
        </w:rPr>
        <w:t>το 2019</w:t>
      </w:r>
      <w:r w:rsidR="00957872">
        <w:rPr>
          <w:bCs/>
          <w:sz w:val="22"/>
        </w:rPr>
        <w:t xml:space="preserve"> </w:t>
      </w:r>
      <w:r>
        <w:rPr>
          <w:bCs/>
          <w:sz w:val="22"/>
        </w:rPr>
        <w:t>εισάγει νέα οικονομική ταξινόμηση κοινή για τη λογιστική και την παρακολούθηση του Κρατικού Προϋπ</w:t>
      </w:r>
      <w:r>
        <w:rPr>
          <w:bCs/>
          <w:sz w:val="22"/>
        </w:rPr>
        <w:t>ο</w:t>
      </w:r>
      <w:r>
        <w:rPr>
          <w:bCs/>
          <w:sz w:val="22"/>
        </w:rPr>
        <w:lastRenderedPageBreak/>
        <w:t xml:space="preserve">λογισμού, καθώς και νέα διοικητική ταξινόμηση για </w:t>
      </w:r>
      <w:r w:rsidR="00957872">
        <w:rPr>
          <w:bCs/>
          <w:sz w:val="22"/>
        </w:rPr>
        <w:t xml:space="preserve">τα </w:t>
      </w:r>
      <w:r>
        <w:rPr>
          <w:bCs/>
          <w:sz w:val="22"/>
        </w:rPr>
        <w:t xml:space="preserve">Υπουργεία και </w:t>
      </w:r>
      <w:r w:rsidR="00957872">
        <w:rPr>
          <w:bCs/>
          <w:sz w:val="22"/>
        </w:rPr>
        <w:t xml:space="preserve">τις </w:t>
      </w:r>
      <w:r>
        <w:rPr>
          <w:bCs/>
          <w:sz w:val="22"/>
        </w:rPr>
        <w:t>Αποκεντρωμένες Διοικήσ</w:t>
      </w:r>
      <w:r>
        <w:rPr>
          <w:bCs/>
          <w:sz w:val="22"/>
        </w:rPr>
        <w:t>ε</w:t>
      </w:r>
      <w:r>
        <w:rPr>
          <w:bCs/>
          <w:sz w:val="22"/>
        </w:rPr>
        <w:t>ις. Ο κρατικός προϋπολογισμός οικονομικού έτους 2019 αποτυπώνεται με τη νέα οικονομική και διο</w:t>
      </w:r>
      <w:r>
        <w:rPr>
          <w:bCs/>
          <w:sz w:val="22"/>
        </w:rPr>
        <w:t>ι</w:t>
      </w:r>
      <w:r>
        <w:rPr>
          <w:bCs/>
          <w:sz w:val="22"/>
        </w:rPr>
        <w:t>κητική ταξινόμηση (τόμος προϋπολογισμού)</w:t>
      </w:r>
      <w:r w:rsidR="00361E47">
        <w:rPr>
          <w:bCs/>
          <w:sz w:val="22"/>
        </w:rPr>
        <w:t>.</w:t>
      </w:r>
      <w:r>
        <w:rPr>
          <w:bCs/>
          <w:sz w:val="22"/>
        </w:rPr>
        <w:t xml:space="preserve"> </w:t>
      </w:r>
      <w:r w:rsidR="00361E47">
        <w:rPr>
          <w:bCs/>
          <w:sz w:val="22"/>
        </w:rPr>
        <w:t xml:space="preserve">Στους </w:t>
      </w:r>
      <w:r>
        <w:rPr>
          <w:bCs/>
          <w:sz w:val="22"/>
        </w:rPr>
        <w:t>σχετικούς πί</w:t>
      </w:r>
      <w:r w:rsidR="005F2F1E">
        <w:rPr>
          <w:bCs/>
          <w:sz w:val="22"/>
        </w:rPr>
        <w:t>νακες της εισηγητικής έκθεσης</w:t>
      </w:r>
      <w:r>
        <w:rPr>
          <w:bCs/>
          <w:sz w:val="22"/>
        </w:rPr>
        <w:t xml:space="preserve"> ε</w:t>
      </w:r>
      <w:r>
        <w:rPr>
          <w:bCs/>
          <w:sz w:val="22"/>
        </w:rPr>
        <w:t>ν</w:t>
      </w:r>
      <w:r>
        <w:rPr>
          <w:bCs/>
          <w:sz w:val="22"/>
        </w:rPr>
        <w:t>σωματώ</w:t>
      </w:r>
      <w:r w:rsidR="00361E47">
        <w:rPr>
          <w:bCs/>
          <w:sz w:val="22"/>
        </w:rPr>
        <w:t>νονται</w:t>
      </w:r>
      <w:r>
        <w:rPr>
          <w:bCs/>
          <w:sz w:val="22"/>
        </w:rPr>
        <w:t xml:space="preserve"> οι λογαριασμοί της νέας οικονομικής ταξινόμησης με σχετική αντιστοί</w:t>
      </w:r>
      <w:r w:rsidR="0019537B">
        <w:rPr>
          <w:bCs/>
          <w:sz w:val="22"/>
        </w:rPr>
        <w:t>χιση των οικ</w:t>
      </w:r>
      <w:r w:rsidR="0019537B">
        <w:rPr>
          <w:bCs/>
          <w:sz w:val="22"/>
        </w:rPr>
        <w:t>ο</w:t>
      </w:r>
      <w:r w:rsidR="0019537B">
        <w:rPr>
          <w:bCs/>
          <w:sz w:val="22"/>
        </w:rPr>
        <w:t>νομικών ετών 2017 και</w:t>
      </w:r>
      <w:r w:rsidR="00361E47">
        <w:rPr>
          <w:bCs/>
          <w:sz w:val="22"/>
        </w:rPr>
        <w:t xml:space="preserve"> 2018</w:t>
      </w:r>
      <w:r>
        <w:rPr>
          <w:bCs/>
          <w:sz w:val="22"/>
        </w:rPr>
        <w:t>.</w:t>
      </w:r>
    </w:p>
    <w:p w:rsidR="00CF1BE0" w:rsidRDefault="00CF1BE0" w:rsidP="004756ED">
      <w:pPr>
        <w:tabs>
          <w:tab w:val="left" w:pos="0"/>
        </w:tabs>
        <w:contextualSpacing/>
        <w:jc w:val="both"/>
        <w:rPr>
          <w:sz w:val="22"/>
          <w:szCs w:val="22"/>
        </w:rPr>
      </w:pPr>
    </w:p>
    <w:p w:rsidR="004756ED" w:rsidRDefault="004756ED" w:rsidP="004756ED">
      <w:pPr>
        <w:tabs>
          <w:tab w:val="left" w:pos="0"/>
        </w:tabs>
        <w:contextualSpacing/>
        <w:jc w:val="both"/>
        <w:rPr>
          <w:sz w:val="22"/>
          <w:szCs w:val="22"/>
        </w:rPr>
      </w:pPr>
      <w:r w:rsidRPr="004756ED">
        <w:rPr>
          <w:sz w:val="22"/>
          <w:szCs w:val="22"/>
        </w:rPr>
        <w:t xml:space="preserve">Βασική προτεραιότητα της δημοσιονομικής στρατηγικής παραμένει για </w:t>
      </w:r>
      <w:r w:rsidR="008E4A0A">
        <w:rPr>
          <w:sz w:val="22"/>
          <w:szCs w:val="22"/>
        </w:rPr>
        <w:t xml:space="preserve">τέταρτο συνεχές </w:t>
      </w:r>
      <w:r w:rsidRPr="004756ED">
        <w:rPr>
          <w:sz w:val="22"/>
          <w:szCs w:val="22"/>
        </w:rPr>
        <w:t>έτος η επίτ</w:t>
      </w:r>
      <w:r w:rsidRPr="004756ED">
        <w:rPr>
          <w:sz w:val="22"/>
          <w:szCs w:val="22"/>
        </w:rPr>
        <w:t>ε</w:t>
      </w:r>
      <w:r w:rsidRPr="004756ED">
        <w:rPr>
          <w:sz w:val="22"/>
          <w:szCs w:val="22"/>
        </w:rPr>
        <w:t>υξη των δημοσιονομικών στόχων</w:t>
      </w:r>
      <w:r w:rsidR="0019537B">
        <w:rPr>
          <w:sz w:val="22"/>
          <w:szCs w:val="22"/>
        </w:rPr>
        <w:t>,</w:t>
      </w:r>
      <w:r w:rsidR="008E4A0A">
        <w:rPr>
          <w:sz w:val="22"/>
          <w:szCs w:val="22"/>
        </w:rPr>
        <w:t xml:space="preserve"> ώστε να προστατευθεί η με κόπο κατακτηθείσα αξιοπιστία των δ</w:t>
      </w:r>
      <w:r w:rsidR="008E4A0A">
        <w:rPr>
          <w:sz w:val="22"/>
          <w:szCs w:val="22"/>
        </w:rPr>
        <w:t>η</w:t>
      </w:r>
      <w:r w:rsidR="008E4A0A">
        <w:rPr>
          <w:sz w:val="22"/>
          <w:szCs w:val="22"/>
        </w:rPr>
        <w:t>μοσίων οικονομικών της χώρας, και, ταυτόχρονα, η αξιοποίηση του διαθέσιμου δημοσιονομικού π</w:t>
      </w:r>
      <w:r w:rsidR="008E4A0A">
        <w:rPr>
          <w:sz w:val="22"/>
          <w:szCs w:val="22"/>
        </w:rPr>
        <w:t>ε</w:t>
      </w:r>
      <w:r w:rsidR="008E4A0A">
        <w:rPr>
          <w:sz w:val="22"/>
          <w:szCs w:val="22"/>
        </w:rPr>
        <w:t>ριθωρίου της τάξης του 0,5% του ΑΕΠ, ώστε το μίγμα πολιτικής να καταστεί πιο φιλικό στην οικον</w:t>
      </w:r>
      <w:r w:rsidR="008E4A0A">
        <w:rPr>
          <w:sz w:val="22"/>
          <w:szCs w:val="22"/>
        </w:rPr>
        <w:t>ο</w:t>
      </w:r>
      <w:r w:rsidR="008E4A0A">
        <w:rPr>
          <w:sz w:val="22"/>
          <w:szCs w:val="22"/>
        </w:rPr>
        <w:t xml:space="preserve">μική μεγέθυνση και πιο αποτελεσματικό στην κοινωνική προστασία. </w:t>
      </w:r>
    </w:p>
    <w:p w:rsidR="008E4A0A" w:rsidRPr="004756ED" w:rsidRDefault="008E4A0A" w:rsidP="004756ED">
      <w:pPr>
        <w:tabs>
          <w:tab w:val="left" w:pos="0"/>
        </w:tabs>
        <w:contextualSpacing/>
        <w:jc w:val="both"/>
        <w:rPr>
          <w:sz w:val="22"/>
          <w:szCs w:val="22"/>
        </w:rPr>
      </w:pPr>
    </w:p>
    <w:p w:rsidR="004756ED" w:rsidRDefault="004756ED" w:rsidP="004756ED">
      <w:pPr>
        <w:tabs>
          <w:tab w:val="left" w:pos="0"/>
        </w:tabs>
        <w:contextualSpacing/>
        <w:jc w:val="both"/>
        <w:rPr>
          <w:sz w:val="22"/>
          <w:szCs w:val="22"/>
        </w:rPr>
      </w:pPr>
      <w:r w:rsidRPr="004756ED">
        <w:rPr>
          <w:sz w:val="22"/>
          <w:szCs w:val="22"/>
        </w:rPr>
        <w:t>Η επίτευξη των ανωτέρω προτεραιοτήτων επιχειρείται με τη συνέχιση της υλοποίησης δράσεων, αλλά και την έναρξη νέων</w:t>
      </w:r>
      <w:r w:rsidR="00361E47">
        <w:rPr>
          <w:sz w:val="22"/>
          <w:szCs w:val="22"/>
        </w:rPr>
        <w:t>,</w:t>
      </w:r>
      <w:r w:rsidRPr="004756ED">
        <w:rPr>
          <w:sz w:val="22"/>
          <w:szCs w:val="22"/>
        </w:rPr>
        <w:t xml:space="preserve"> όπως:</w:t>
      </w:r>
    </w:p>
    <w:p w:rsidR="004756ED" w:rsidRPr="004756ED" w:rsidRDefault="004756ED" w:rsidP="004756ED">
      <w:pPr>
        <w:tabs>
          <w:tab w:val="left" w:pos="0"/>
        </w:tabs>
        <w:contextualSpacing/>
        <w:jc w:val="both"/>
        <w:rPr>
          <w:sz w:val="22"/>
          <w:szCs w:val="22"/>
        </w:rPr>
      </w:pPr>
    </w:p>
    <w:p w:rsidR="004756ED" w:rsidRPr="004756ED" w:rsidRDefault="004756ED" w:rsidP="006556BD">
      <w:pPr>
        <w:numPr>
          <w:ilvl w:val="0"/>
          <w:numId w:val="13"/>
        </w:numPr>
        <w:ind w:left="284" w:hanging="284"/>
        <w:contextualSpacing/>
        <w:jc w:val="both"/>
        <w:rPr>
          <w:sz w:val="22"/>
          <w:szCs w:val="22"/>
        </w:rPr>
      </w:pPr>
      <w:r w:rsidRPr="004756ED">
        <w:rPr>
          <w:sz w:val="22"/>
          <w:szCs w:val="22"/>
        </w:rPr>
        <w:t>η</w:t>
      </w:r>
      <w:r w:rsidR="00172566">
        <w:rPr>
          <w:sz w:val="22"/>
          <w:szCs w:val="22"/>
        </w:rPr>
        <w:t xml:space="preserve"> ενίσχυσης της διαφάνειας στη δημοσιονομική διαχείριση με την</w:t>
      </w:r>
      <w:r w:rsidRPr="004756ED">
        <w:rPr>
          <w:sz w:val="22"/>
          <w:szCs w:val="22"/>
        </w:rPr>
        <w:t xml:space="preserve"> εφαρμογή του νέου </w:t>
      </w:r>
      <w:r w:rsidR="000271BF">
        <w:rPr>
          <w:sz w:val="22"/>
          <w:szCs w:val="22"/>
        </w:rPr>
        <w:t xml:space="preserve">πλαισίου </w:t>
      </w:r>
      <w:r w:rsidR="00CF1BE0">
        <w:rPr>
          <w:sz w:val="22"/>
          <w:szCs w:val="22"/>
        </w:rPr>
        <w:t xml:space="preserve">κανόνων </w:t>
      </w:r>
      <w:r w:rsidR="000271BF">
        <w:rPr>
          <w:sz w:val="22"/>
          <w:szCs w:val="22"/>
        </w:rPr>
        <w:t xml:space="preserve">λογιστικής </w:t>
      </w:r>
      <w:r w:rsidR="0075752F">
        <w:rPr>
          <w:sz w:val="22"/>
          <w:szCs w:val="22"/>
        </w:rPr>
        <w:t xml:space="preserve">από </w:t>
      </w:r>
      <w:r w:rsidR="009835FE">
        <w:rPr>
          <w:sz w:val="22"/>
          <w:szCs w:val="22"/>
        </w:rPr>
        <w:t>το 2019</w:t>
      </w:r>
      <w:r w:rsidR="000271BF">
        <w:rPr>
          <w:sz w:val="22"/>
          <w:szCs w:val="22"/>
        </w:rPr>
        <w:t xml:space="preserve"> </w:t>
      </w:r>
      <w:r w:rsidRPr="004756ED">
        <w:rPr>
          <w:sz w:val="22"/>
          <w:szCs w:val="22"/>
        </w:rPr>
        <w:t xml:space="preserve">για την Κεντρική Διοίκηση </w:t>
      </w:r>
      <w:r w:rsidR="00CF1BE0">
        <w:rPr>
          <w:sz w:val="22"/>
          <w:szCs w:val="22"/>
        </w:rPr>
        <w:t>με τη νέα</w:t>
      </w:r>
      <w:r w:rsidR="009835FE">
        <w:rPr>
          <w:sz w:val="22"/>
          <w:szCs w:val="22"/>
        </w:rPr>
        <w:t xml:space="preserve"> οικονομική και διοικητική ταξινόμηση</w:t>
      </w:r>
      <w:r w:rsidR="009835FE" w:rsidRPr="004756ED">
        <w:rPr>
          <w:sz w:val="22"/>
          <w:szCs w:val="22"/>
        </w:rPr>
        <w:t xml:space="preserve"> </w:t>
      </w:r>
      <w:r w:rsidRPr="004756ED">
        <w:rPr>
          <w:sz w:val="22"/>
          <w:szCs w:val="22"/>
        </w:rPr>
        <w:t>και ο σχεδιασμός για την επέκτασή του στο σύνολο της Γενικής Κυβέρνησης,</w:t>
      </w:r>
    </w:p>
    <w:p w:rsidR="004756ED" w:rsidRPr="004756ED" w:rsidRDefault="004756ED" w:rsidP="006556BD">
      <w:pPr>
        <w:numPr>
          <w:ilvl w:val="0"/>
          <w:numId w:val="13"/>
        </w:numPr>
        <w:ind w:left="284" w:hanging="284"/>
        <w:contextualSpacing/>
        <w:jc w:val="both"/>
        <w:rPr>
          <w:sz w:val="22"/>
          <w:szCs w:val="22"/>
        </w:rPr>
      </w:pPr>
      <w:r w:rsidRPr="004756ED">
        <w:rPr>
          <w:sz w:val="22"/>
          <w:szCs w:val="22"/>
        </w:rPr>
        <w:t>η συγκέντρωση των πλεοναζόντων διαθεσίμων των φορέων της Γενικής Κυβέρνησης στον Ενιαίο Λογαριασμό Θησαυροφυλακίου</w:t>
      </w:r>
      <w:r w:rsidR="000271BF">
        <w:rPr>
          <w:sz w:val="22"/>
          <w:szCs w:val="22"/>
        </w:rPr>
        <w:t>,</w:t>
      </w:r>
      <w:r w:rsidRPr="004756ED">
        <w:rPr>
          <w:sz w:val="22"/>
          <w:szCs w:val="22"/>
        </w:rPr>
        <w:t xml:space="preserve"> με σκοπό την άσκηση αποτελεσματικότερων πολιτικών διαχείρ</w:t>
      </w:r>
      <w:r w:rsidRPr="004756ED">
        <w:rPr>
          <w:sz w:val="22"/>
          <w:szCs w:val="22"/>
        </w:rPr>
        <w:t>ι</w:t>
      </w:r>
      <w:r w:rsidRPr="004756ED">
        <w:rPr>
          <w:sz w:val="22"/>
          <w:szCs w:val="22"/>
        </w:rPr>
        <w:t>σης ρευστότητας,</w:t>
      </w:r>
    </w:p>
    <w:p w:rsidR="004756ED" w:rsidRPr="004756ED" w:rsidRDefault="004756ED" w:rsidP="006556BD">
      <w:pPr>
        <w:numPr>
          <w:ilvl w:val="0"/>
          <w:numId w:val="13"/>
        </w:numPr>
        <w:ind w:left="284" w:hanging="284"/>
        <w:contextualSpacing/>
        <w:jc w:val="both"/>
        <w:rPr>
          <w:sz w:val="22"/>
          <w:szCs w:val="22"/>
        </w:rPr>
      </w:pPr>
      <w:r w:rsidRPr="004756ED">
        <w:rPr>
          <w:sz w:val="22"/>
          <w:szCs w:val="22"/>
        </w:rPr>
        <w:t>η εφαρμογή κανόνα προσλήψεων-αποχωρήσεων 1:1 στο σύνολο της Γενικής Κυβέρνησης, η οποία θα επιταχύνει την κάλυψη των κενών που παρατηρούνται σε διάφορους κρίσιμους τομείς για τη λειτουργία του κράτους, όπως π.χ. η παιδεία και η υγεία,</w:t>
      </w:r>
    </w:p>
    <w:p w:rsidR="004756ED" w:rsidRPr="004756ED" w:rsidRDefault="004756ED" w:rsidP="006556BD">
      <w:pPr>
        <w:numPr>
          <w:ilvl w:val="0"/>
          <w:numId w:val="13"/>
        </w:numPr>
        <w:ind w:left="284" w:hanging="284"/>
        <w:contextualSpacing/>
        <w:jc w:val="both"/>
        <w:rPr>
          <w:sz w:val="22"/>
          <w:szCs w:val="22"/>
        </w:rPr>
      </w:pPr>
      <w:r w:rsidRPr="004756ED">
        <w:rPr>
          <w:sz w:val="22"/>
          <w:szCs w:val="22"/>
        </w:rPr>
        <w:t xml:space="preserve">η προστασία των ευάλωτων κοινωνικών ομάδων με την εφαρμογή </w:t>
      </w:r>
      <w:r w:rsidRPr="00C13260">
        <w:rPr>
          <w:sz w:val="22"/>
          <w:szCs w:val="22"/>
        </w:rPr>
        <w:t xml:space="preserve">δράσεων όπως η χορήγηση </w:t>
      </w:r>
      <w:r w:rsidR="00C13260" w:rsidRPr="00C13260">
        <w:rPr>
          <w:sz w:val="22"/>
          <w:szCs w:val="22"/>
        </w:rPr>
        <w:t>του</w:t>
      </w:r>
      <w:r w:rsidR="00C13260">
        <w:rPr>
          <w:sz w:val="22"/>
          <w:szCs w:val="22"/>
        </w:rPr>
        <w:t xml:space="preserve"> ΚΕΑ, του επιδόματος παιδιού κ.λπ.</w:t>
      </w:r>
      <w:r w:rsidRPr="004756ED">
        <w:rPr>
          <w:sz w:val="22"/>
          <w:szCs w:val="22"/>
        </w:rPr>
        <w:t>,</w:t>
      </w:r>
    </w:p>
    <w:p w:rsidR="004756ED" w:rsidRPr="004756ED" w:rsidRDefault="004756ED" w:rsidP="006556BD">
      <w:pPr>
        <w:numPr>
          <w:ilvl w:val="0"/>
          <w:numId w:val="13"/>
        </w:numPr>
        <w:ind w:left="284" w:hanging="284"/>
        <w:contextualSpacing/>
        <w:jc w:val="both"/>
        <w:rPr>
          <w:sz w:val="22"/>
          <w:szCs w:val="22"/>
        </w:rPr>
      </w:pPr>
      <w:r w:rsidRPr="004756ED">
        <w:rPr>
          <w:sz w:val="22"/>
          <w:szCs w:val="22"/>
        </w:rPr>
        <w:t>η πλήρης εφαρμογή του μεταφορικού ισοδυνάμου για την ενίσχυση της ανάπτυξης στη νησιωτική Ελλάδα,</w:t>
      </w:r>
    </w:p>
    <w:p w:rsidR="004756ED" w:rsidRPr="004756ED" w:rsidRDefault="004756ED" w:rsidP="006556BD">
      <w:pPr>
        <w:numPr>
          <w:ilvl w:val="0"/>
          <w:numId w:val="13"/>
        </w:numPr>
        <w:ind w:left="284" w:hanging="284"/>
        <w:contextualSpacing/>
        <w:jc w:val="both"/>
        <w:rPr>
          <w:sz w:val="22"/>
          <w:szCs w:val="22"/>
        </w:rPr>
      </w:pPr>
      <w:r w:rsidRPr="004756ED">
        <w:rPr>
          <w:sz w:val="22"/>
          <w:szCs w:val="22"/>
        </w:rPr>
        <w:t>η περαιτέρω ενίσχυση της φορολογικής συμμόρφωσης, μέσω της εντατικοποίησης των φορολογ</w:t>
      </w:r>
      <w:r w:rsidRPr="004756ED">
        <w:rPr>
          <w:sz w:val="22"/>
          <w:szCs w:val="22"/>
        </w:rPr>
        <w:t>ι</w:t>
      </w:r>
      <w:r w:rsidRPr="004756ED">
        <w:rPr>
          <w:sz w:val="22"/>
          <w:szCs w:val="22"/>
        </w:rPr>
        <w:t>κών ελέγχων και της παροχής κινήτρων στους φορολογούμενους για ηλεκτρονικές πληρωμές (συμμετοχή σε κληρώσεις με χρηματικά έπαθλα, διαμόρφωση αφορολογήτου με βάση το ύψος των ετήσιων ηλεκτρονικών πληρωμών) και</w:t>
      </w:r>
    </w:p>
    <w:p w:rsidR="004756ED" w:rsidRDefault="004756ED" w:rsidP="006556BD">
      <w:pPr>
        <w:numPr>
          <w:ilvl w:val="0"/>
          <w:numId w:val="13"/>
        </w:numPr>
        <w:ind w:left="284" w:hanging="284"/>
        <w:contextualSpacing/>
        <w:jc w:val="both"/>
        <w:rPr>
          <w:sz w:val="22"/>
          <w:szCs w:val="22"/>
        </w:rPr>
      </w:pPr>
      <w:r w:rsidRPr="004756ED">
        <w:rPr>
          <w:sz w:val="22"/>
          <w:szCs w:val="22"/>
        </w:rPr>
        <w:t>η συνέχιση του προγράμματος αποκρατικοποιήσεων.</w:t>
      </w:r>
    </w:p>
    <w:p w:rsidR="005D763D" w:rsidRPr="004756ED" w:rsidRDefault="005D763D" w:rsidP="005D763D">
      <w:pPr>
        <w:ind w:left="284"/>
        <w:contextualSpacing/>
        <w:jc w:val="both"/>
        <w:rPr>
          <w:sz w:val="22"/>
          <w:szCs w:val="22"/>
        </w:rPr>
      </w:pPr>
    </w:p>
    <w:p w:rsidR="00AB2586" w:rsidRPr="00B97F63" w:rsidRDefault="00AB2586" w:rsidP="00AB2586">
      <w:pPr>
        <w:jc w:val="both"/>
        <w:rPr>
          <w:sz w:val="22"/>
          <w:szCs w:val="22"/>
        </w:rPr>
      </w:pPr>
      <w:r w:rsidRPr="00B97F63">
        <w:rPr>
          <w:sz w:val="22"/>
          <w:szCs w:val="22"/>
        </w:rPr>
        <w:t xml:space="preserve">Οι δημοσιονομικές παρεμβάσεις που αποτυπώνονται στον πίνακα </w:t>
      </w:r>
      <w:r w:rsidR="00603648" w:rsidRPr="00603648">
        <w:rPr>
          <w:sz w:val="22"/>
          <w:szCs w:val="22"/>
        </w:rPr>
        <w:t>3.7</w:t>
      </w:r>
      <w:r w:rsidRPr="00B97F63">
        <w:rPr>
          <w:sz w:val="22"/>
          <w:szCs w:val="22"/>
        </w:rPr>
        <w:t xml:space="preserve"> </w:t>
      </w:r>
      <w:r w:rsidR="0075752F">
        <w:rPr>
          <w:sz w:val="22"/>
          <w:szCs w:val="22"/>
        </w:rPr>
        <w:t xml:space="preserve">και είναι ενσωματωμένες στον προϋπολογισμό του 2019 </w:t>
      </w:r>
      <w:r w:rsidRPr="00B97F63">
        <w:rPr>
          <w:sz w:val="22"/>
          <w:szCs w:val="22"/>
        </w:rPr>
        <w:t>περιλαμβάνουν τη μη εφαρμογή των παρεμβάσεων και των εξισορροπητ</w:t>
      </w:r>
      <w:r w:rsidRPr="00B97F63">
        <w:rPr>
          <w:sz w:val="22"/>
          <w:szCs w:val="22"/>
        </w:rPr>
        <w:t>ι</w:t>
      </w:r>
      <w:r w:rsidRPr="00B97F63">
        <w:rPr>
          <w:sz w:val="22"/>
          <w:szCs w:val="22"/>
        </w:rPr>
        <w:t>κών παρεμβάσεων</w:t>
      </w:r>
      <w:r w:rsidR="0019537B">
        <w:rPr>
          <w:sz w:val="22"/>
          <w:szCs w:val="22"/>
        </w:rPr>
        <w:t>,</w:t>
      </w:r>
      <w:r w:rsidRPr="00B97F63">
        <w:rPr>
          <w:sz w:val="22"/>
          <w:szCs w:val="22"/>
        </w:rPr>
        <w:t xml:space="preserve"> που είχαν συμπεριληφθεί στο ΜΠΔΣ 2019-2022 για το 2019, καθώς και νέες π</w:t>
      </w:r>
      <w:r w:rsidRPr="00B97F63">
        <w:rPr>
          <w:sz w:val="22"/>
          <w:szCs w:val="22"/>
        </w:rPr>
        <w:t>α</w:t>
      </w:r>
      <w:r w:rsidRPr="00B97F63">
        <w:rPr>
          <w:sz w:val="22"/>
          <w:szCs w:val="22"/>
        </w:rPr>
        <w:t>ρεμβάσεις στους τομείς των ασφαλιστικών εισφορών, των φορολογικών εσόδων και των δαπανών κ</w:t>
      </w:r>
      <w:r w:rsidRPr="00B97F63">
        <w:rPr>
          <w:sz w:val="22"/>
          <w:szCs w:val="22"/>
        </w:rPr>
        <w:t>ο</w:t>
      </w:r>
      <w:r w:rsidRPr="00B97F63">
        <w:rPr>
          <w:sz w:val="22"/>
          <w:szCs w:val="22"/>
        </w:rPr>
        <w:t xml:space="preserve">ινωνικής προστασίας. </w:t>
      </w:r>
    </w:p>
    <w:p w:rsidR="00AB2586" w:rsidRPr="00B97F63" w:rsidRDefault="00AB2586" w:rsidP="00AB2586">
      <w:pPr>
        <w:jc w:val="both"/>
        <w:rPr>
          <w:sz w:val="22"/>
          <w:szCs w:val="22"/>
        </w:rPr>
      </w:pPr>
    </w:p>
    <w:p w:rsidR="00AB2586" w:rsidRPr="00B97F63" w:rsidRDefault="00AB2586" w:rsidP="00AB2586">
      <w:pPr>
        <w:jc w:val="both"/>
        <w:rPr>
          <w:sz w:val="22"/>
          <w:szCs w:val="22"/>
        </w:rPr>
      </w:pPr>
      <w:r w:rsidRPr="00B97F63">
        <w:rPr>
          <w:sz w:val="22"/>
          <w:szCs w:val="22"/>
        </w:rPr>
        <w:t>Συγκεκριμένα, στις νέες παρεμβάσεις περιλαμβάνονται τα εξής:</w:t>
      </w:r>
    </w:p>
    <w:p w:rsidR="00AB2586" w:rsidRPr="00B97F63" w:rsidRDefault="00AB2586" w:rsidP="00AB2586">
      <w:pPr>
        <w:jc w:val="both"/>
        <w:rPr>
          <w:sz w:val="22"/>
          <w:szCs w:val="22"/>
        </w:rPr>
      </w:pPr>
    </w:p>
    <w:p w:rsidR="00AB2586" w:rsidRPr="00B97F63" w:rsidRDefault="00AB2586" w:rsidP="00AB2586">
      <w:pPr>
        <w:ind w:left="284" w:hanging="284"/>
        <w:jc w:val="both"/>
        <w:rPr>
          <w:sz w:val="22"/>
          <w:szCs w:val="22"/>
        </w:rPr>
      </w:pPr>
      <w:r w:rsidRPr="00B97F63">
        <w:rPr>
          <w:b/>
          <w:sz w:val="22"/>
          <w:szCs w:val="22"/>
        </w:rPr>
        <w:t>-</w:t>
      </w:r>
      <w:r w:rsidRPr="00B97F63">
        <w:rPr>
          <w:b/>
          <w:sz w:val="22"/>
          <w:szCs w:val="22"/>
        </w:rPr>
        <w:tab/>
        <w:t>Βοήθεια στο σπίτι:</w:t>
      </w:r>
      <w:r w:rsidRPr="00B97F63">
        <w:rPr>
          <w:sz w:val="22"/>
          <w:szCs w:val="22"/>
        </w:rPr>
        <w:t xml:space="preserve"> Μετατρέπεται το τρέχον εργασιακό καθεστώς 3.000 εργαζομένων ορισμένου σε αορίστου</w:t>
      </w:r>
      <w:r w:rsidR="0019537B">
        <w:rPr>
          <w:sz w:val="22"/>
          <w:szCs w:val="22"/>
        </w:rPr>
        <w:t xml:space="preserve"> </w:t>
      </w:r>
      <w:r w:rsidR="0019537B" w:rsidRPr="00B97F63">
        <w:rPr>
          <w:sz w:val="22"/>
          <w:szCs w:val="22"/>
        </w:rPr>
        <w:t>χρόνου</w:t>
      </w:r>
      <w:r w:rsidRPr="00B97F63">
        <w:rPr>
          <w:sz w:val="22"/>
          <w:szCs w:val="22"/>
        </w:rPr>
        <w:t>.</w:t>
      </w:r>
    </w:p>
    <w:p w:rsidR="00AB2586" w:rsidRPr="00B97F63" w:rsidRDefault="00AB2586" w:rsidP="00AB2586">
      <w:pPr>
        <w:ind w:left="284" w:hanging="284"/>
        <w:jc w:val="both"/>
        <w:rPr>
          <w:sz w:val="22"/>
          <w:szCs w:val="22"/>
        </w:rPr>
      </w:pPr>
    </w:p>
    <w:p w:rsidR="00AB2586" w:rsidRPr="00B97F63" w:rsidRDefault="00AB2586" w:rsidP="00AB2586">
      <w:pPr>
        <w:ind w:left="284" w:hanging="284"/>
        <w:jc w:val="both"/>
        <w:rPr>
          <w:sz w:val="22"/>
          <w:szCs w:val="22"/>
        </w:rPr>
      </w:pPr>
      <w:r w:rsidRPr="00B97F63">
        <w:rPr>
          <w:b/>
          <w:sz w:val="22"/>
          <w:szCs w:val="22"/>
        </w:rPr>
        <w:t>-</w:t>
      </w:r>
      <w:r w:rsidRPr="00B97F63">
        <w:rPr>
          <w:b/>
          <w:sz w:val="22"/>
          <w:szCs w:val="22"/>
        </w:rPr>
        <w:tab/>
        <w:t>Ειδική αγωγή:</w:t>
      </w:r>
      <w:r w:rsidRPr="00B97F63">
        <w:rPr>
          <w:sz w:val="22"/>
          <w:szCs w:val="22"/>
        </w:rPr>
        <w:t xml:space="preserve"> Πρόσληψη 4.500 εκπαιδευτικών και εξειδικευμένου προσωπικού σε θέσεις πρ</w:t>
      </w:r>
      <w:r w:rsidRPr="00B97F63">
        <w:rPr>
          <w:sz w:val="22"/>
          <w:szCs w:val="22"/>
        </w:rPr>
        <w:t>ο</w:t>
      </w:r>
      <w:r w:rsidRPr="00B97F63">
        <w:rPr>
          <w:sz w:val="22"/>
          <w:szCs w:val="22"/>
        </w:rPr>
        <w:t xml:space="preserve">σωπικού που τώρα </w:t>
      </w:r>
      <w:r w:rsidR="00172566">
        <w:rPr>
          <w:sz w:val="22"/>
          <w:szCs w:val="22"/>
        </w:rPr>
        <w:t>απασχολείται με</w:t>
      </w:r>
      <w:r w:rsidRPr="00B97F63">
        <w:rPr>
          <w:sz w:val="22"/>
          <w:szCs w:val="22"/>
        </w:rPr>
        <w:t xml:space="preserve"> συμβάσεις</w:t>
      </w:r>
      <w:r w:rsidR="00172566" w:rsidRPr="00B97F63">
        <w:rPr>
          <w:sz w:val="22"/>
          <w:szCs w:val="22"/>
        </w:rPr>
        <w:t xml:space="preserve"> ορισμένου χρόνου</w:t>
      </w:r>
      <w:r w:rsidRPr="00B97F63">
        <w:rPr>
          <w:sz w:val="22"/>
          <w:szCs w:val="22"/>
        </w:rPr>
        <w:t>. Η δαπάνη σήμερα καλύπτεται από πόρους του ΠΔΕ. Οι νέες προσλήψεις θα χρηματοδοτηθούν από τον τακτικό προϋπολογισμό χωρίς να μεταβληθεί το τρέχον όριο δαπανών του ΠΔΕ. Παράλληλα</w:t>
      </w:r>
      <w:r w:rsidR="008D295F">
        <w:rPr>
          <w:sz w:val="22"/>
          <w:szCs w:val="22"/>
        </w:rPr>
        <w:t>,</w:t>
      </w:r>
      <w:r w:rsidRPr="00B97F63">
        <w:rPr>
          <w:sz w:val="22"/>
          <w:szCs w:val="22"/>
        </w:rPr>
        <w:t xml:space="preserve"> θα μειωθεί ισόποσα το όριο για το προσωπικό ορισμένου χρόνου προκειμένου να μην μεταβληθεί ο αριθμός των δημοσίων </w:t>
      </w:r>
      <w:r w:rsidRPr="00B97F63">
        <w:rPr>
          <w:sz w:val="22"/>
          <w:szCs w:val="22"/>
        </w:rPr>
        <w:t>υ</w:t>
      </w:r>
      <w:r w:rsidRPr="00B97F63">
        <w:rPr>
          <w:sz w:val="22"/>
          <w:szCs w:val="22"/>
        </w:rPr>
        <w:t xml:space="preserve">παλλήλων συνολικά. </w:t>
      </w:r>
    </w:p>
    <w:p w:rsidR="00AB2586" w:rsidRPr="00B97F63" w:rsidRDefault="00AB2586" w:rsidP="00AB2586">
      <w:pPr>
        <w:ind w:left="284" w:hanging="284"/>
        <w:jc w:val="both"/>
        <w:rPr>
          <w:b/>
          <w:sz w:val="22"/>
          <w:szCs w:val="22"/>
          <w:highlight w:val="yellow"/>
        </w:rPr>
      </w:pPr>
    </w:p>
    <w:p w:rsidR="00AB2586" w:rsidRPr="00AB2586" w:rsidRDefault="00AB2586" w:rsidP="00AB2586">
      <w:pPr>
        <w:ind w:left="284" w:hanging="284"/>
        <w:jc w:val="both"/>
        <w:rPr>
          <w:sz w:val="22"/>
          <w:szCs w:val="22"/>
        </w:rPr>
      </w:pPr>
      <w:r>
        <w:rPr>
          <w:b/>
          <w:sz w:val="22"/>
          <w:szCs w:val="22"/>
        </w:rPr>
        <w:t>-</w:t>
      </w:r>
      <w:r>
        <w:rPr>
          <w:b/>
          <w:sz w:val="22"/>
          <w:szCs w:val="22"/>
        </w:rPr>
        <w:tab/>
      </w:r>
      <w:r w:rsidRPr="00B97F63">
        <w:rPr>
          <w:b/>
          <w:sz w:val="22"/>
          <w:szCs w:val="22"/>
        </w:rPr>
        <w:t xml:space="preserve">Επίδομα στέγασης: </w:t>
      </w:r>
      <w:r w:rsidRPr="00AB2586">
        <w:rPr>
          <w:sz w:val="22"/>
          <w:szCs w:val="22"/>
        </w:rPr>
        <w:t>Το στεγαστικό επίδομα απευθύνεται σε νοικοκυριά που διαμένουν σε ενο</w:t>
      </w:r>
      <w:r w:rsidRPr="00AB2586">
        <w:rPr>
          <w:sz w:val="22"/>
          <w:szCs w:val="22"/>
        </w:rPr>
        <w:t>ι</w:t>
      </w:r>
      <w:r w:rsidRPr="00AB2586">
        <w:rPr>
          <w:sz w:val="22"/>
          <w:szCs w:val="22"/>
        </w:rPr>
        <w:t>κιαζόμενη κατοικία και δανειολήπτες. Τα κριτήρια ένταξης είναι εισοδηματικά, περιουσιακά (ακ</w:t>
      </w:r>
      <w:r w:rsidRPr="00AB2586">
        <w:rPr>
          <w:sz w:val="22"/>
          <w:szCs w:val="22"/>
        </w:rPr>
        <w:t>ί</w:t>
      </w:r>
      <w:r w:rsidRPr="00AB2586">
        <w:rPr>
          <w:sz w:val="22"/>
          <w:szCs w:val="22"/>
        </w:rPr>
        <w:lastRenderedPageBreak/>
        <w:t>νητη περιουσία και καταθέσεις), διαμονής</w:t>
      </w:r>
      <w:r w:rsidR="00BD3586" w:rsidRPr="00BD3586">
        <w:rPr>
          <w:sz w:val="22"/>
          <w:szCs w:val="22"/>
        </w:rPr>
        <w:t xml:space="preserve"> </w:t>
      </w:r>
      <w:r w:rsidR="00BD3586">
        <w:rPr>
          <w:sz w:val="22"/>
          <w:szCs w:val="22"/>
        </w:rPr>
        <w:t>στην επικράτεια</w:t>
      </w:r>
      <w:r w:rsidRPr="00AB2586">
        <w:rPr>
          <w:sz w:val="22"/>
          <w:szCs w:val="22"/>
        </w:rPr>
        <w:t xml:space="preserve">, πολυτελούς διαβίωσης, ασφαλιστικής κάλυψης και οικογενειακής κατάστασης. </w:t>
      </w:r>
    </w:p>
    <w:p w:rsidR="00AB2586" w:rsidRPr="00AB2586" w:rsidRDefault="00AB2586" w:rsidP="00AB2586">
      <w:pPr>
        <w:ind w:left="284" w:hanging="284"/>
        <w:jc w:val="both"/>
        <w:rPr>
          <w:b/>
          <w:sz w:val="22"/>
          <w:szCs w:val="22"/>
        </w:rPr>
      </w:pPr>
    </w:p>
    <w:p w:rsidR="00AB2586" w:rsidRDefault="00AB2586" w:rsidP="00AB2586">
      <w:pPr>
        <w:ind w:left="284" w:hanging="284"/>
        <w:jc w:val="both"/>
        <w:rPr>
          <w:sz w:val="22"/>
          <w:szCs w:val="22"/>
        </w:rPr>
      </w:pPr>
      <w:r w:rsidRPr="00B97F63">
        <w:rPr>
          <w:b/>
          <w:sz w:val="22"/>
          <w:szCs w:val="22"/>
        </w:rPr>
        <w:t>-</w:t>
      </w:r>
      <w:r w:rsidRPr="00B97F63">
        <w:rPr>
          <w:b/>
          <w:sz w:val="22"/>
          <w:szCs w:val="22"/>
        </w:rPr>
        <w:tab/>
        <w:t xml:space="preserve">Μείωση ασφαλιστικών εισφορών: </w:t>
      </w:r>
      <w:r w:rsidRPr="00B97F63">
        <w:rPr>
          <w:sz w:val="22"/>
          <w:szCs w:val="22"/>
        </w:rPr>
        <w:t xml:space="preserve">Το μέτρο αφορά στη μείωση των ασφαλιστικών εισφορών </w:t>
      </w:r>
      <w:r w:rsidRPr="00B97F63">
        <w:rPr>
          <w:sz w:val="22"/>
          <w:szCs w:val="22"/>
        </w:rPr>
        <w:t>ε</w:t>
      </w:r>
      <w:r w:rsidR="008D295F">
        <w:rPr>
          <w:sz w:val="22"/>
          <w:szCs w:val="22"/>
        </w:rPr>
        <w:t>λευθέ</w:t>
      </w:r>
      <w:r w:rsidRPr="00B97F63">
        <w:rPr>
          <w:sz w:val="22"/>
          <w:szCs w:val="22"/>
        </w:rPr>
        <w:t>ρων επαγγελματιών, αυτοαπασχολούμενων και αγροτών και ειδικότερα στη μείωση του συ</w:t>
      </w:r>
      <w:r w:rsidRPr="00B97F63">
        <w:rPr>
          <w:sz w:val="22"/>
          <w:szCs w:val="22"/>
        </w:rPr>
        <w:t>ν</w:t>
      </w:r>
      <w:r w:rsidRPr="00B97F63">
        <w:rPr>
          <w:sz w:val="22"/>
          <w:szCs w:val="22"/>
        </w:rPr>
        <w:t xml:space="preserve">τελεστή κύριας ασφάλισης κατά 1/3 και στην εφαρμογή της ελάχιστης εισοδηματικής βάσης για την επικουρική ασφάλιση και την εφάπαξ παροχή. </w:t>
      </w:r>
    </w:p>
    <w:p w:rsidR="00124A78" w:rsidRPr="00B97F63" w:rsidRDefault="00124A78" w:rsidP="00AB2586">
      <w:pPr>
        <w:ind w:left="284" w:hanging="284"/>
        <w:jc w:val="both"/>
        <w:rPr>
          <w:sz w:val="22"/>
          <w:szCs w:val="22"/>
        </w:rPr>
      </w:pPr>
    </w:p>
    <w:p w:rsidR="00AB2586" w:rsidRPr="00B97F63" w:rsidRDefault="00AB2586" w:rsidP="00AB2586">
      <w:pPr>
        <w:ind w:left="284" w:hanging="284"/>
        <w:jc w:val="both"/>
        <w:rPr>
          <w:sz w:val="22"/>
          <w:szCs w:val="22"/>
        </w:rPr>
      </w:pPr>
      <w:r w:rsidRPr="00B97F63">
        <w:rPr>
          <w:b/>
          <w:sz w:val="22"/>
          <w:szCs w:val="22"/>
        </w:rPr>
        <w:t>-</w:t>
      </w:r>
      <w:r w:rsidRPr="00B97F63">
        <w:rPr>
          <w:b/>
          <w:sz w:val="22"/>
          <w:szCs w:val="22"/>
        </w:rPr>
        <w:tab/>
        <w:t xml:space="preserve">Επιδότηση ασφαλιστικών εισφορών νέων: </w:t>
      </w:r>
      <w:r w:rsidRPr="00B97F63">
        <w:rPr>
          <w:sz w:val="22"/>
          <w:szCs w:val="22"/>
        </w:rPr>
        <w:t>Η συγκεκριμένη δράση αποσκοπεί στη βελτίωση της πρόσβασης στην αγορά εργασίας των νέων και αναμένεται να οδηγήσει στη δημιουργία νέων θ</w:t>
      </w:r>
      <w:r w:rsidRPr="00B97F63">
        <w:rPr>
          <w:sz w:val="22"/>
          <w:szCs w:val="22"/>
        </w:rPr>
        <w:t>έ</w:t>
      </w:r>
      <w:r w:rsidRPr="00B97F63">
        <w:rPr>
          <w:sz w:val="22"/>
          <w:szCs w:val="22"/>
        </w:rPr>
        <w:t>σεων εργασίας, συμβάλλοντας στη μείωση της ανεργίας των νέων, που είναι η υψηλότερη στην ΕΕ, αλλά και μειώνοντας το ποσοστό των νέων που βρίσκονται σε κίνδυνο φτώχειας. Το μέτρο αφορά νέους ηλικίας έως 24 ετών και συνίσταται στην επιδότηση του 50% των εργοδοτικών ει</w:t>
      </w:r>
      <w:r w:rsidRPr="00B97F63">
        <w:rPr>
          <w:sz w:val="22"/>
          <w:szCs w:val="22"/>
        </w:rPr>
        <w:t>σ</w:t>
      </w:r>
      <w:r w:rsidRPr="00B97F63">
        <w:rPr>
          <w:sz w:val="22"/>
          <w:szCs w:val="22"/>
        </w:rPr>
        <w:t>φορών.</w:t>
      </w:r>
    </w:p>
    <w:p w:rsidR="00AB2586" w:rsidRPr="00B97F63" w:rsidRDefault="00AB2586" w:rsidP="00AB2586">
      <w:pPr>
        <w:ind w:left="284" w:hanging="284"/>
        <w:jc w:val="both"/>
        <w:rPr>
          <w:sz w:val="22"/>
          <w:szCs w:val="22"/>
        </w:rPr>
      </w:pPr>
    </w:p>
    <w:p w:rsidR="00AB2586" w:rsidRPr="00B97F63" w:rsidRDefault="00AB2586" w:rsidP="00AB2586">
      <w:pPr>
        <w:ind w:left="284" w:hanging="284"/>
        <w:jc w:val="both"/>
        <w:rPr>
          <w:sz w:val="22"/>
          <w:szCs w:val="22"/>
        </w:rPr>
      </w:pPr>
      <w:r w:rsidRPr="00B97F63">
        <w:rPr>
          <w:b/>
          <w:sz w:val="22"/>
          <w:szCs w:val="22"/>
        </w:rPr>
        <w:t>-</w:t>
      </w:r>
      <w:r w:rsidRPr="00B97F63">
        <w:rPr>
          <w:b/>
          <w:sz w:val="22"/>
          <w:szCs w:val="22"/>
        </w:rPr>
        <w:tab/>
        <w:t xml:space="preserve">Μείωση ΕΝΦΙΑ: </w:t>
      </w:r>
      <w:r w:rsidRPr="00B97F63">
        <w:rPr>
          <w:sz w:val="22"/>
          <w:szCs w:val="22"/>
        </w:rPr>
        <w:t>Το μέτρο συνίσταται στη μείωση του ΕΝΦΙΑ κατά 10% μεσοσταθμικά.</w:t>
      </w:r>
    </w:p>
    <w:p w:rsidR="00AB2586" w:rsidRPr="00B97F63" w:rsidRDefault="00AB2586" w:rsidP="00AB2586">
      <w:pPr>
        <w:ind w:left="284" w:hanging="284"/>
        <w:jc w:val="both"/>
        <w:rPr>
          <w:sz w:val="22"/>
          <w:szCs w:val="22"/>
        </w:rPr>
      </w:pPr>
    </w:p>
    <w:p w:rsidR="00AB2586" w:rsidRPr="00B97F63" w:rsidRDefault="00AB2586" w:rsidP="00AB2586">
      <w:pPr>
        <w:ind w:left="284" w:hanging="284"/>
        <w:jc w:val="both"/>
        <w:rPr>
          <w:sz w:val="22"/>
          <w:szCs w:val="22"/>
        </w:rPr>
      </w:pPr>
      <w:r w:rsidRPr="00B97F63">
        <w:rPr>
          <w:b/>
          <w:sz w:val="22"/>
          <w:szCs w:val="22"/>
        </w:rPr>
        <w:t>-</w:t>
      </w:r>
      <w:r w:rsidRPr="00B97F63">
        <w:rPr>
          <w:b/>
          <w:sz w:val="22"/>
          <w:szCs w:val="22"/>
        </w:rPr>
        <w:tab/>
        <w:t xml:space="preserve">Μείωση φόρου εισοδήματος νομικών προσώπων: </w:t>
      </w:r>
      <w:r w:rsidRPr="00B97F63">
        <w:rPr>
          <w:sz w:val="22"/>
          <w:szCs w:val="22"/>
        </w:rPr>
        <w:t xml:space="preserve">Το μέτρο συνίσταται στη σταδιακή μείωση του συντελεστή φορολόγησης από 29% σε 25% σε ορίζοντα τετραετίας και θα έχει δημοσιονομική επίπτωση από το 2020 και </w:t>
      </w:r>
      <w:r w:rsidR="00503D90">
        <w:rPr>
          <w:sz w:val="22"/>
          <w:szCs w:val="22"/>
        </w:rPr>
        <w:t>εφ</w:t>
      </w:r>
      <w:r w:rsidRPr="00B97F63">
        <w:rPr>
          <w:sz w:val="22"/>
          <w:szCs w:val="22"/>
        </w:rPr>
        <w:t>εξής.</w:t>
      </w:r>
    </w:p>
    <w:p w:rsidR="00AB2586" w:rsidRPr="00B97F63" w:rsidRDefault="00AB2586" w:rsidP="00AB2586">
      <w:pPr>
        <w:jc w:val="both"/>
        <w:rPr>
          <w:sz w:val="22"/>
          <w:szCs w:val="22"/>
        </w:rPr>
      </w:pPr>
    </w:p>
    <w:p w:rsidR="00AB2586" w:rsidRPr="00B97F63" w:rsidRDefault="00AB2586" w:rsidP="00AB2586">
      <w:pPr>
        <w:ind w:left="284" w:hanging="284"/>
        <w:jc w:val="both"/>
        <w:rPr>
          <w:sz w:val="22"/>
          <w:szCs w:val="22"/>
        </w:rPr>
      </w:pPr>
      <w:r w:rsidRPr="00B97F63">
        <w:rPr>
          <w:b/>
          <w:sz w:val="22"/>
          <w:szCs w:val="22"/>
        </w:rPr>
        <w:t>-</w:t>
      </w:r>
      <w:r w:rsidRPr="00B97F63">
        <w:rPr>
          <w:b/>
          <w:sz w:val="22"/>
          <w:szCs w:val="22"/>
        </w:rPr>
        <w:tab/>
        <w:t xml:space="preserve">Μείωση φορολογίας διανεμόμενων κερδών: </w:t>
      </w:r>
      <w:r w:rsidRPr="00B97F63">
        <w:rPr>
          <w:sz w:val="22"/>
          <w:szCs w:val="22"/>
        </w:rPr>
        <w:t xml:space="preserve">Το μέτρο αναφέρεται στη μείωση του φορολογικού συντελεστή επί των διανεμόμενων κερδών κατά 5 ποσοστιαίες μονάδες και θα έχει δημοσιονομική επίπτωση από το 2020 και </w:t>
      </w:r>
      <w:r w:rsidR="008D295F">
        <w:rPr>
          <w:sz w:val="22"/>
          <w:szCs w:val="22"/>
        </w:rPr>
        <w:t>εφ</w:t>
      </w:r>
      <w:r w:rsidRPr="00B97F63">
        <w:rPr>
          <w:sz w:val="22"/>
          <w:szCs w:val="22"/>
        </w:rPr>
        <w:t>εξής.</w:t>
      </w:r>
    </w:p>
    <w:p w:rsidR="00D12ADB" w:rsidRDefault="00D12ADB" w:rsidP="00D12ADB">
      <w:pPr>
        <w:rPr>
          <w:szCs w:val="22"/>
        </w:rPr>
      </w:pPr>
    </w:p>
    <w:p w:rsidR="005427F9" w:rsidRDefault="005427F9" w:rsidP="00D12ADB">
      <w:pPr>
        <w:rPr>
          <w:szCs w:val="22"/>
        </w:rPr>
      </w:pPr>
    </w:p>
    <w:p w:rsidR="008C1B55" w:rsidRDefault="008C1B55" w:rsidP="00D12ADB">
      <w:pPr>
        <w:rPr>
          <w:szCs w:val="22"/>
        </w:rPr>
      </w:pPr>
    </w:p>
    <w:tbl>
      <w:tblPr>
        <w:tblW w:w="4985" w:type="pct"/>
        <w:tblLook w:val="04A0"/>
      </w:tblPr>
      <w:tblGrid>
        <w:gridCol w:w="311"/>
        <w:gridCol w:w="4113"/>
        <w:gridCol w:w="710"/>
        <w:gridCol w:w="3966"/>
      </w:tblGrid>
      <w:tr w:rsidR="00D12ADB" w:rsidRPr="00AB2586" w:rsidTr="002B7722">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595959" w:themeFill="text1" w:themeFillTint="A6"/>
            <w:tcMar>
              <w:left w:w="28" w:type="dxa"/>
              <w:right w:w="28" w:type="dxa"/>
            </w:tcMar>
            <w:vAlign w:val="center"/>
            <w:hideMark/>
          </w:tcPr>
          <w:p w:rsidR="00D12ADB" w:rsidRPr="00AB2586" w:rsidRDefault="00D12ADB" w:rsidP="002B7722">
            <w:pPr>
              <w:jc w:val="center"/>
              <w:rPr>
                <w:rFonts w:ascii="Arial Narrow" w:hAnsi="Arial Narrow"/>
                <w:b/>
                <w:color w:val="FFFFFF" w:themeColor="background1"/>
                <w:sz w:val="16"/>
                <w:szCs w:val="16"/>
              </w:rPr>
            </w:pPr>
            <w:r>
              <w:rPr>
                <w:rFonts w:ascii="Arial Narrow" w:hAnsi="Arial Narrow"/>
                <w:b/>
                <w:color w:val="FFFFFF" w:themeColor="background1"/>
                <w:szCs w:val="16"/>
              </w:rPr>
              <w:t>Πίνακας 3</w:t>
            </w:r>
            <w:r w:rsidR="00603648">
              <w:rPr>
                <w:rFonts w:ascii="Arial Narrow" w:hAnsi="Arial Narrow"/>
                <w:b/>
                <w:color w:val="FFFFFF" w:themeColor="background1"/>
                <w:szCs w:val="16"/>
              </w:rPr>
              <w:t>.7</w:t>
            </w:r>
            <w:r w:rsidRPr="00AB2586">
              <w:rPr>
                <w:rFonts w:ascii="Arial Narrow" w:hAnsi="Arial Narrow"/>
                <w:b/>
                <w:color w:val="FFFFFF" w:themeColor="background1"/>
                <w:szCs w:val="16"/>
              </w:rPr>
              <w:t xml:space="preserve">  Δημοσιονομικές παρεμβάσεις 2019 (σε καθαρή βάση)</w:t>
            </w:r>
            <w:r w:rsidRPr="00AB2586">
              <w:rPr>
                <w:rFonts w:ascii="Arial Narrow" w:hAnsi="Arial Narrow"/>
                <w:b/>
                <w:color w:val="FFFFFF" w:themeColor="background1"/>
                <w:szCs w:val="16"/>
              </w:rPr>
              <w:br/>
              <w:t>(σε εκατ. ευρώ)</w:t>
            </w:r>
          </w:p>
        </w:tc>
      </w:tr>
      <w:tr w:rsidR="005427F9" w:rsidRPr="00AB2586" w:rsidTr="005427F9">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5427F9" w:rsidRPr="00AB2586" w:rsidRDefault="005427F9" w:rsidP="002B7722">
            <w:pPr>
              <w:jc w:val="center"/>
              <w:rPr>
                <w:rFonts w:ascii="Arial Narrow" w:hAnsi="Arial Narrow"/>
                <w:b/>
                <w:bCs/>
                <w:color w:val="000000"/>
                <w:sz w:val="16"/>
                <w:szCs w:val="16"/>
              </w:rPr>
            </w:pPr>
          </w:p>
        </w:tc>
      </w:tr>
      <w:tr w:rsidR="00D12ADB" w:rsidRPr="00AB2586" w:rsidTr="005427F9">
        <w:trPr>
          <w:trHeight w:val="227"/>
        </w:trPr>
        <w:tc>
          <w:tcPr>
            <w:tcW w:w="2431" w:type="pct"/>
            <w:gridSpan w:val="2"/>
            <w:tcBorders>
              <w:top w:val="single" w:sz="4" w:space="0" w:color="auto"/>
              <w:left w:val="single" w:sz="4" w:space="0" w:color="auto"/>
              <w:bottom w:val="single" w:sz="4" w:space="0" w:color="auto"/>
              <w:right w:val="single" w:sz="4" w:space="0" w:color="000000"/>
            </w:tcBorders>
            <w:shd w:val="clear" w:color="000000" w:fill="FFFFFF"/>
            <w:tcMar>
              <w:left w:w="28" w:type="dxa"/>
              <w:right w:w="28" w:type="dxa"/>
            </w:tcMar>
            <w:vAlign w:val="bottom"/>
            <w:hideMark/>
          </w:tcPr>
          <w:p w:rsidR="00D12ADB" w:rsidRPr="00AB2586" w:rsidRDefault="00D12ADB" w:rsidP="005427F9">
            <w:pPr>
              <w:spacing w:before="60" w:after="60"/>
              <w:jc w:val="center"/>
              <w:rPr>
                <w:rFonts w:ascii="Arial Narrow" w:hAnsi="Arial Narrow"/>
                <w:b/>
                <w:bCs/>
                <w:color w:val="000000"/>
                <w:sz w:val="16"/>
                <w:szCs w:val="16"/>
              </w:rPr>
            </w:pPr>
            <w:r w:rsidRPr="00AB2586">
              <w:rPr>
                <w:rFonts w:ascii="Arial Narrow" w:hAnsi="Arial Narrow"/>
                <w:b/>
                <w:bCs/>
                <w:color w:val="000000"/>
                <w:sz w:val="16"/>
                <w:szCs w:val="16"/>
              </w:rPr>
              <w:t>Παρεμβάσεις</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D12ADB" w:rsidRPr="00AB2586" w:rsidRDefault="00D12ADB" w:rsidP="005427F9">
            <w:pPr>
              <w:spacing w:before="60" w:after="60"/>
              <w:jc w:val="center"/>
              <w:rPr>
                <w:rFonts w:ascii="Arial Narrow" w:hAnsi="Arial Narrow"/>
                <w:b/>
                <w:bCs/>
                <w:color w:val="000000"/>
                <w:sz w:val="16"/>
                <w:szCs w:val="16"/>
              </w:rPr>
            </w:pPr>
            <w:r w:rsidRPr="00AB2586">
              <w:rPr>
                <w:rFonts w:ascii="Arial Narrow" w:hAnsi="Arial Narrow"/>
                <w:b/>
                <w:bCs/>
                <w:color w:val="000000"/>
                <w:sz w:val="16"/>
                <w:szCs w:val="16"/>
              </w:rPr>
              <w:t>Ποσό</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5427F9">
            <w:pPr>
              <w:spacing w:before="60" w:after="60"/>
              <w:jc w:val="center"/>
              <w:rPr>
                <w:rFonts w:ascii="Arial Narrow" w:hAnsi="Arial Narrow"/>
                <w:b/>
                <w:bCs/>
                <w:color w:val="000000"/>
                <w:sz w:val="16"/>
                <w:szCs w:val="16"/>
              </w:rPr>
            </w:pPr>
            <w:r w:rsidRPr="00AB2586">
              <w:rPr>
                <w:rFonts w:ascii="Arial Narrow" w:hAnsi="Arial Narrow"/>
                <w:b/>
                <w:bCs/>
                <w:color w:val="000000"/>
                <w:sz w:val="16"/>
                <w:szCs w:val="16"/>
              </w:rPr>
              <w:t xml:space="preserve">Παρατηρήσεις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D8D8D8"/>
            <w:noWrap/>
            <w:tcMar>
              <w:left w:w="28" w:type="dxa"/>
              <w:right w:w="28" w:type="dxa"/>
            </w:tcMar>
            <w:vAlign w:val="center"/>
            <w:hideMark/>
          </w:tcPr>
          <w:p w:rsidR="00D12ADB" w:rsidRPr="00AB2586" w:rsidRDefault="00D12ADB" w:rsidP="005427F9">
            <w:pPr>
              <w:spacing w:before="60" w:after="60"/>
              <w:jc w:val="center"/>
              <w:rPr>
                <w:rFonts w:ascii="Arial Narrow" w:hAnsi="Arial Narrow"/>
                <w:b/>
                <w:bCs/>
                <w:color w:val="000000"/>
                <w:sz w:val="16"/>
                <w:szCs w:val="16"/>
              </w:rPr>
            </w:pPr>
            <w:r w:rsidRPr="00AB2586">
              <w:rPr>
                <w:rFonts w:ascii="Arial Narrow" w:hAnsi="Arial Narrow"/>
                <w:b/>
                <w:bCs/>
                <w:color w:val="000000"/>
                <w:sz w:val="16"/>
                <w:szCs w:val="16"/>
              </w:rPr>
              <w:t>Α</w:t>
            </w:r>
          </w:p>
        </w:tc>
        <w:tc>
          <w:tcPr>
            <w:tcW w:w="2260" w:type="pct"/>
            <w:tcBorders>
              <w:top w:val="nil"/>
              <w:left w:val="nil"/>
              <w:bottom w:val="single" w:sz="4" w:space="0" w:color="auto"/>
              <w:right w:val="single" w:sz="4" w:space="0" w:color="auto"/>
            </w:tcBorders>
            <w:shd w:val="clear" w:color="000000" w:fill="D8D8D8"/>
            <w:tcMar>
              <w:left w:w="28" w:type="dxa"/>
              <w:right w:w="28" w:type="dxa"/>
            </w:tcMar>
            <w:vAlign w:val="center"/>
            <w:hideMark/>
          </w:tcPr>
          <w:p w:rsidR="00D12ADB" w:rsidRPr="00AB2586" w:rsidRDefault="00D12ADB" w:rsidP="005427F9">
            <w:pPr>
              <w:spacing w:before="60" w:after="60"/>
              <w:rPr>
                <w:rFonts w:ascii="Arial Narrow" w:hAnsi="Arial Narrow"/>
                <w:b/>
                <w:bCs/>
                <w:color w:val="000000"/>
                <w:sz w:val="16"/>
                <w:szCs w:val="16"/>
              </w:rPr>
            </w:pPr>
            <w:r w:rsidRPr="00AB2586">
              <w:rPr>
                <w:rFonts w:ascii="Arial Narrow" w:hAnsi="Arial Narrow"/>
                <w:b/>
                <w:bCs/>
                <w:color w:val="000000"/>
                <w:sz w:val="16"/>
                <w:szCs w:val="16"/>
              </w:rPr>
              <w:t>Μεταβολές σε σχέση με ΜΠΔΣ 2019-2022</w:t>
            </w:r>
          </w:p>
        </w:tc>
        <w:tc>
          <w:tcPr>
            <w:tcW w:w="390" w:type="pct"/>
            <w:tcBorders>
              <w:top w:val="nil"/>
              <w:left w:val="nil"/>
              <w:bottom w:val="single" w:sz="4" w:space="0" w:color="auto"/>
              <w:right w:val="single" w:sz="4" w:space="0" w:color="auto"/>
            </w:tcBorders>
            <w:shd w:val="clear" w:color="000000" w:fill="D8D8D8"/>
            <w:noWrap/>
            <w:tcMar>
              <w:left w:w="28" w:type="dxa"/>
              <w:right w:w="28" w:type="dxa"/>
            </w:tcMar>
            <w:vAlign w:val="center"/>
            <w:hideMark/>
          </w:tcPr>
          <w:p w:rsidR="00D12ADB" w:rsidRPr="00AB2586" w:rsidRDefault="00D12ADB" w:rsidP="005427F9">
            <w:pPr>
              <w:spacing w:before="60" w:after="60"/>
              <w:jc w:val="right"/>
              <w:rPr>
                <w:rFonts w:ascii="Arial Narrow" w:hAnsi="Arial Narrow"/>
                <w:b/>
                <w:bCs/>
                <w:color w:val="000000"/>
                <w:sz w:val="16"/>
                <w:szCs w:val="16"/>
              </w:rPr>
            </w:pPr>
            <w:r w:rsidRPr="00AB2586">
              <w:rPr>
                <w:rFonts w:ascii="Arial Narrow" w:hAnsi="Arial Narrow"/>
                <w:b/>
                <w:bCs/>
                <w:color w:val="000000"/>
                <w:sz w:val="16"/>
                <w:szCs w:val="16"/>
              </w:rPr>
              <w:t>-335</w:t>
            </w:r>
          </w:p>
        </w:tc>
        <w:tc>
          <w:tcPr>
            <w:tcW w:w="2179" w:type="pct"/>
            <w:tcBorders>
              <w:top w:val="nil"/>
              <w:left w:val="nil"/>
              <w:bottom w:val="single" w:sz="4" w:space="0" w:color="auto"/>
              <w:right w:val="single" w:sz="4" w:space="0" w:color="auto"/>
            </w:tcBorders>
            <w:shd w:val="clear" w:color="000000" w:fill="D8D8D8"/>
            <w:tcMar>
              <w:left w:w="28" w:type="dxa"/>
              <w:right w:w="28" w:type="dxa"/>
            </w:tcMar>
            <w:vAlign w:val="bottom"/>
            <w:hideMark/>
          </w:tcPr>
          <w:p w:rsidR="00D12ADB" w:rsidRPr="00AB2586" w:rsidRDefault="00D12ADB" w:rsidP="005427F9">
            <w:pPr>
              <w:spacing w:before="60" w:after="60"/>
              <w:rPr>
                <w:rFonts w:ascii="Arial Narrow" w:hAnsi="Arial Narrow"/>
                <w:b/>
                <w:bCs/>
                <w:color w:val="000000"/>
                <w:sz w:val="16"/>
                <w:szCs w:val="16"/>
              </w:rPr>
            </w:pPr>
            <w:r w:rsidRPr="00AB2586">
              <w:rPr>
                <w:rFonts w:ascii="Arial Narrow" w:hAnsi="Arial Narrow"/>
                <w:b/>
                <w:bCs/>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1</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Μη εφαρμογή εξισορροπητικών παρεμβάσεων 2019 πλην οικογενε</w:t>
            </w:r>
            <w:r w:rsidRPr="00AB2586">
              <w:rPr>
                <w:rFonts w:ascii="Arial Narrow" w:hAnsi="Arial Narrow"/>
                <w:color w:val="000000"/>
                <w:sz w:val="16"/>
                <w:szCs w:val="16"/>
              </w:rPr>
              <w:t>ι</w:t>
            </w:r>
            <w:r w:rsidRPr="00AB2586">
              <w:rPr>
                <w:rFonts w:ascii="Arial Narrow" w:hAnsi="Arial Narrow"/>
                <w:color w:val="000000"/>
                <w:sz w:val="16"/>
                <w:szCs w:val="16"/>
              </w:rPr>
              <w:t>ακών επιδομάτων</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1.730</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2</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Συνταξιοδοτικές παρεμβάσεις (διατάξεις ν. 4472/2017)</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-2.065</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D8D8D8"/>
            <w:noWrap/>
            <w:tcMar>
              <w:left w:w="28" w:type="dxa"/>
              <w:right w:w="28" w:type="dxa"/>
            </w:tcMar>
            <w:vAlign w:val="center"/>
            <w:hideMark/>
          </w:tcPr>
          <w:p w:rsidR="00D12ADB" w:rsidRPr="00AB2586" w:rsidRDefault="00D12ADB" w:rsidP="005427F9">
            <w:pPr>
              <w:spacing w:before="60" w:after="60"/>
              <w:jc w:val="center"/>
              <w:rPr>
                <w:rFonts w:ascii="Arial Narrow" w:hAnsi="Arial Narrow"/>
                <w:b/>
                <w:bCs/>
                <w:color w:val="000000"/>
                <w:sz w:val="16"/>
                <w:szCs w:val="16"/>
              </w:rPr>
            </w:pPr>
            <w:r w:rsidRPr="00AB2586">
              <w:rPr>
                <w:rFonts w:ascii="Arial Narrow" w:hAnsi="Arial Narrow"/>
                <w:b/>
                <w:bCs/>
                <w:color w:val="000000"/>
                <w:sz w:val="16"/>
                <w:szCs w:val="16"/>
              </w:rPr>
              <w:t>Β</w:t>
            </w:r>
          </w:p>
        </w:tc>
        <w:tc>
          <w:tcPr>
            <w:tcW w:w="2260" w:type="pct"/>
            <w:tcBorders>
              <w:top w:val="nil"/>
              <w:left w:val="nil"/>
              <w:bottom w:val="single" w:sz="4" w:space="0" w:color="auto"/>
              <w:right w:val="single" w:sz="4" w:space="0" w:color="auto"/>
            </w:tcBorders>
            <w:shd w:val="clear" w:color="000000" w:fill="D8D8D8"/>
            <w:tcMar>
              <w:left w:w="28" w:type="dxa"/>
              <w:right w:w="28" w:type="dxa"/>
            </w:tcMar>
            <w:vAlign w:val="center"/>
            <w:hideMark/>
          </w:tcPr>
          <w:p w:rsidR="00D12ADB" w:rsidRPr="00AB2586" w:rsidRDefault="00D12ADB" w:rsidP="005427F9">
            <w:pPr>
              <w:spacing w:before="60" w:after="60"/>
              <w:rPr>
                <w:rFonts w:ascii="Arial Narrow" w:hAnsi="Arial Narrow"/>
                <w:b/>
                <w:bCs/>
                <w:color w:val="000000"/>
                <w:sz w:val="16"/>
                <w:szCs w:val="16"/>
              </w:rPr>
            </w:pPr>
            <w:r w:rsidRPr="00AB2586">
              <w:rPr>
                <w:rFonts w:ascii="Arial Narrow" w:hAnsi="Arial Narrow"/>
                <w:b/>
                <w:bCs/>
                <w:color w:val="000000"/>
                <w:sz w:val="16"/>
                <w:szCs w:val="16"/>
              </w:rPr>
              <w:t>Νέες δημοσιονομικές παρεμβάσεις (Β1+Β2)</w:t>
            </w:r>
          </w:p>
        </w:tc>
        <w:tc>
          <w:tcPr>
            <w:tcW w:w="390" w:type="pct"/>
            <w:tcBorders>
              <w:top w:val="nil"/>
              <w:left w:val="nil"/>
              <w:bottom w:val="single" w:sz="4" w:space="0" w:color="auto"/>
              <w:right w:val="single" w:sz="4" w:space="0" w:color="auto"/>
            </w:tcBorders>
            <w:shd w:val="clear" w:color="000000" w:fill="D8D8D8"/>
            <w:noWrap/>
            <w:tcMar>
              <w:left w:w="28" w:type="dxa"/>
              <w:right w:w="28" w:type="dxa"/>
            </w:tcMar>
            <w:vAlign w:val="center"/>
            <w:hideMark/>
          </w:tcPr>
          <w:p w:rsidR="00D12ADB" w:rsidRPr="00AB2586" w:rsidRDefault="00D12ADB" w:rsidP="005427F9">
            <w:pPr>
              <w:spacing w:before="60" w:after="60"/>
              <w:jc w:val="right"/>
              <w:rPr>
                <w:rFonts w:ascii="Arial Narrow" w:hAnsi="Arial Narrow"/>
                <w:b/>
                <w:bCs/>
                <w:color w:val="000000"/>
                <w:sz w:val="16"/>
                <w:szCs w:val="16"/>
              </w:rPr>
            </w:pPr>
            <w:r w:rsidRPr="00AB2586">
              <w:rPr>
                <w:rFonts w:ascii="Arial Narrow" w:hAnsi="Arial Narrow"/>
                <w:b/>
                <w:bCs/>
                <w:color w:val="000000"/>
                <w:sz w:val="16"/>
                <w:szCs w:val="16"/>
              </w:rPr>
              <w:t>-910</w:t>
            </w:r>
          </w:p>
        </w:tc>
        <w:tc>
          <w:tcPr>
            <w:tcW w:w="2179" w:type="pct"/>
            <w:tcBorders>
              <w:top w:val="nil"/>
              <w:left w:val="nil"/>
              <w:bottom w:val="single" w:sz="4" w:space="0" w:color="auto"/>
              <w:right w:val="single" w:sz="4" w:space="0" w:color="auto"/>
            </w:tcBorders>
            <w:shd w:val="clear" w:color="000000" w:fill="D8D8D8"/>
            <w:tcMar>
              <w:left w:w="28" w:type="dxa"/>
              <w:right w:w="28" w:type="dxa"/>
            </w:tcMar>
            <w:vAlign w:val="bottom"/>
            <w:hideMark/>
          </w:tcPr>
          <w:p w:rsidR="00D12ADB" w:rsidRPr="00AB2586" w:rsidRDefault="00D12ADB" w:rsidP="005427F9">
            <w:pPr>
              <w:spacing w:before="60" w:after="60"/>
              <w:rPr>
                <w:rFonts w:ascii="Arial Narrow" w:hAnsi="Arial Narrow"/>
                <w:b/>
                <w:bCs/>
                <w:color w:val="000000"/>
                <w:sz w:val="16"/>
                <w:szCs w:val="16"/>
              </w:rPr>
            </w:pPr>
            <w:r w:rsidRPr="00AB2586">
              <w:rPr>
                <w:rFonts w:ascii="Arial Narrow" w:hAnsi="Arial Narrow"/>
                <w:b/>
                <w:bCs/>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2F2F2"/>
            <w:noWrap/>
            <w:tcMar>
              <w:left w:w="28" w:type="dxa"/>
              <w:right w:w="28" w:type="dxa"/>
            </w:tcMar>
            <w:vAlign w:val="center"/>
            <w:hideMark/>
          </w:tcPr>
          <w:p w:rsidR="00D12ADB" w:rsidRPr="00AB2586" w:rsidRDefault="00D12ADB" w:rsidP="005427F9">
            <w:pPr>
              <w:spacing w:before="60" w:after="60"/>
              <w:jc w:val="center"/>
              <w:rPr>
                <w:rFonts w:ascii="Arial Narrow" w:hAnsi="Arial Narrow"/>
                <w:b/>
                <w:bCs/>
                <w:color w:val="000000"/>
                <w:sz w:val="16"/>
                <w:szCs w:val="16"/>
              </w:rPr>
            </w:pPr>
            <w:r w:rsidRPr="00AB2586">
              <w:rPr>
                <w:rFonts w:ascii="Arial Narrow" w:hAnsi="Arial Narrow"/>
                <w:b/>
                <w:bCs/>
                <w:color w:val="000000"/>
                <w:sz w:val="16"/>
                <w:szCs w:val="16"/>
              </w:rPr>
              <w:t>Β1</w:t>
            </w:r>
          </w:p>
        </w:tc>
        <w:tc>
          <w:tcPr>
            <w:tcW w:w="2260" w:type="pct"/>
            <w:tcBorders>
              <w:top w:val="nil"/>
              <w:left w:val="nil"/>
              <w:bottom w:val="single" w:sz="4" w:space="0" w:color="auto"/>
              <w:right w:val="single" w:sz="4" w:space="0" w:color="auto"/>
            </w:tcBorders>
            <w:shd w:val="clear" w:color="000000" w:fill="F2F2F2"/>
            <w:tcMar>
              <w:left w:w="28" w:type="dxa"/>
              <w:right w:w="28" w:type="dxa"/>
            </w:tcMar>
            <w:vAlign w:val="center"/>
            <w:hideMark/>
          </w:tcPr>
          <w:p w:rsidR="00D12ADB" w:rsidRPr="00AB2586" w:rsidRDefault="00D12ADB" w:rsidP="005427F9">
            <w:pPr>
              <w:spacing w:before="60" w:after="60"/>
              <w:rPr>
                <w:rFonts w:ascii="Arial Narrow" w:hAnsi="Arial Narrow"/>
                <w:b/>
                <w:bCs/>
                <w:color w:val="000000"/>
                <w:sz w:val="16"/>
                <w:szCs w:val="16"/>
              </w:rPr>
            </w:pPr>
            <w:r w:rsidRPr="00AB2586">
              <w:rPr>
                <w:rFonts w:ascii="Arial Narrow" w:hAnsi="Arial Narrow"/>
                <w:b/>
                <w:bCs/>
                <w:color w:val="000000"/>
                <w:sz w:val="16"/>
                <w:szCs w:val="16"/>
              </w:rPr>
              <w:t>ΠΑΡΕΜΒΑΣΕΙΣ ΕΣΟΔΩΝ</w:t>
            </w:r>
          </w:p>
        </w:tc>
        <w:tc>
          <w:tcPr>
            <w:tcW w:w="390" w:type="pct"/>
            <w:tcBorders>
              <w:top w:val="nil"/>
              <w:left w:val="nil"/>
              <w:bottom w:val="single" w:sz="4" w:space="0" w:color="auto"/>
              <w:right w:val="single" w:sz="4" w:space="0" w:color="auto"/>
            </w:tcBorders>
            <w:shd w:val="clear" w:color="000000" w:fill="F2F2F2"/>
            <w:noWrap/>
            <w:tcMar>
              <w:left w:w="28" w:type="dxa"/>
              <w:right w:w="28" w:type="dxa"/>
            </w:tcMar>
            <w:vAlign w:val="center"/>
            <w:hideMark/>
          </w:tcPr>
          <w:p w:rsidR="00D12ADB" w:rsidRPr="00AB2586" w:rsidRDefault="00D12ADB" w:rsidP="005427F9">
            <w:pPr>
              <w:spacing w:before="60" w:after="60"/>
              <w:jc w:val="right"/>
              <w:rPr>
                <w:rFonts w:ascii="Arial Narrow" w:hAnsi="Arial Narrow"/>
                <w:b/>
                <w:bCs/>
                <w:color w:val="000000"/>
                <w:sz w:val="16"/>
                <w:szCs w:val="16"/>
              </w:rPr>
            </w:pPr>
            <w:r w:rsidRPr="00AB2586">
              <w:rPr>
                <w:rFonts w:ascii="Arial Narrow" w:hAnsi="Arial Narrow"/>
                <w:b/>
                <w:bCs/>
                <w:color w:val="000000"/>
                <w:sz w:val="16"/>
                <w:szCs w:val="16"/>
              </w:rPr>
              <w:t>-437</w:t>
            </w:r>
          </w:p>
        </w:tc>
        <w:tc>
          <w:tcPr>
            <w:tcW w:w="2179" w:type="pct"/>
            <w:tcBorders>
              <w:top w:val="nil"/>
              <w:left w:val="nil"/>
              <w:bottom w:val="single" w:sz="4" w:space="0" w:color="auto"/>
              <w:right w:val="single" w:sz="4" w:space="0" w:color="auto"/>
            </w:tcBorders>
            <w:shd w:val="clear" w:color="000000" w:fill="F2F2F2"/>
            <w:tcMar>
              <w:left w:w="28" w:type="dxa"/>
              <w:right w:w="28" w:type="dxa"/>
            </w:tcMar>
            <w:vAlign w:val="bottom"/>
            <w:hideMark/>
          </w:tcPr>
          <w:p w:rsidR="00D12ADB" w:rsidRPr="00AB2586" w:rsidRDefault="00D12ADB" w:rsidP="005427F9">
            <w:pPr>
              <w:spacing w:before="60" w:after="60"/>
              <w:rPr>
                <w:rFonts w:ascii="Arial Narrow" w:hAnsi="Arial Narrow"/>
                <w:b/>
                <w:bCs/>
                <w:color w:val="000000"/>
                <w:sz w:val="16"/>
                <w:szCs w:val="16"/>
              </w:rPr>
            </w:pPr>
            <w:r w:rsidRPr="00AB2586">
              <w:rPr>
                <w:rFonts w:ascii="Arial Narrow" w:hAnsi="Arial Narrow"/>
                <w:b/>
                <w:bCs/>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1</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Μείωση ΕΝΦΙΑ</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-260</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Μεσοσταθμική μείωση κατά 10%</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2</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Μείωση ασφαλιστικών εισφορών ελεύθερων επαγγελματιών, αυτο</w:t>
            </w:r>
            <w:r w:rsidRPr="00AB2586">
              <w:rPr>
                <w:rFonts w:ascii="Arial Narrow" w:hAnsi="Arial Narrow"/>
                <w:color w:val="000000"/>
                <w:sz w:val="16"/>
                <w:szCs w:val="16"/>
              </w:rPr>
              <w:t>α</w:t>
            </w:r>
            <w:r w:rsidRPr="00AB2586">
              <w:rPr>
                <w:rFonts w:ascii="Arial Narrow" w:hAnsi="Arial Narrow"/>
                <w:color w:val="000000"/>
                <w:sz w:val="16"/>
                <w:szCs w:val="16"/>
              </w:rPr>
              <w:t xml:space="preserve">πασχολούμενων και αγροτών </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-177</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Μείωση συντελεστή κύριας ασφάλισης κατά 1/3 - Εφαρμογή ελ</w:t>
            </w:r>
            <w:r w:rsidRPr="00AB2586">
              <w:rPr>
                <w:rFonts w:ascii="Arial Narrow" w:hAnsi="Arial Narrow"/>
                <w:color w:val="000000"/>
                <w:sz w:val="16"/>
                <w:szCs w:val="16"/>
              </w:rPr>
              <w:t>ά</w:t>
            </w:r>
            <w:r w:rsidRPr="00AB2586">
              <w:rPr>
                <w:rFonts w:ascii="Arial Narrow" w:hAnsi="Arial Narrow"/>
                <w:color w:val="000000"/>
                <w:sz w:val="16"/>
                <w:szCs w:val="16"/>
              </w:rPr>
              <w:t>χιστης εισοδηματικής βάσης για επικουρική ασφάλιση και εφάπαξ παροχής</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3</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xml:space="preserve">Μείωση φορολογίας διανεμομένων κερδών </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0</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Η παρέμβαση θα έχει δημοσιονομική επίπτωση από το 2020 - Μείωση συντελεστή φορολόγησης από 15% σε 10%</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4</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Σταδιακή μείωση φόρου εισοδήματος νομικών προσώπων από 29% σε 25%</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0</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Η παρέμβαση θα έχει δημοσιονομική επίπτωση από το 2020 - Μείωση 1% κατ' έτος</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2F2F2"/>
            <w:noWrap/>
            <w:tcMar>
              <w:left w:w="28" w:type="dxa"/>
              <w:right w:w="28" w:type="dxa"/>
            </w:tcMar>
            <w:vAlign w:val="center"/>
            <w:hideMark/>
          </w:tcPr>
          <w:p w:rsidR="00D12ADB" w:rsidRPr="00AB2586" w:rsidRDefault="00D12ADB" w:rsidP="005427F9">
            <w:pPr>
              <w:spacing w:before="60" w:after="60"/>
              <w:jc w:val="center"/>
              <w:rPr>
                <w:rFonts w:ascii="Arial Narrow" w:hAnsi="Arial Narrow"/>
                <w:b/>
                <w:bCs/>
                <w:color w:val="000000"/>
                <w:sz w:val="16"/>
                <w:szCs w:val="16"/>
              </w:rPr>
            </w:pPr>
            <w:r w:rsidRPr="00AB2586">
              <w:rPr>
                <w:rFonts w:ascii="Arial Narrow" w:hAnsi="Arial Narrow"/>
                <w:b/>
                <w:bCs/>
                <w:color w:val="000000"/>
                <w:sz w:val="16"/>
                <w:szCs w:val="16"/>
              </w:rPr>
              <w:t>Β2</w:t>
            </w:r>
          </w:p>
        </w:tc>
        <w:tc>
          <w:tcPr>
            <w:tcW w:w="2260" w:type="pct"/>
            <w:tcBorders>
              <w:top w:val="nil"/>
              <w:left w:val="nil"/>
              <w:bottom w:val="single" w:sz="4" w:space="0" w:color="auto"/>
              <w:right w:val="single" w:sz="4" w:space="0" w:color="auto"/>
            </w:tcBorders>
            <w:shd w:val="clear" w:color="000000" w:fill="F2F2F2"/>
            <w:tcMar>
              <w:left w:w="28" w:type="dxa"/>
              <w:right w:w="28" w:type="dxa"/>
            </w:tcMar>
            <w:vAlign w:val="center"/>
            <w:hideMark/>
          </w:tcPr>
          <w:p w:rsidR="00D12ADB" w:rsidRPr="00AB2586" w:rsidRDefault="00D12ADB" w:rsidP="005427F9">
            <w:pPr>
              <w:spacing w:before="60" w:after="60"/>
              <w:rPr>
                <w:rFonts w:ascii="Arial Narrow" w:hAnsi="Arial Narrow"/>
                <w:b/>
                <w:bCs/>
                <w:color w:val="000000"/>
                <w:sz w:val="16"/>
                <w:szCs w:val="16"/>
              </w:rPr>
            </w:pPr>
            <w:r w:rsidRPr="00AB2586">
              <w:rPr>
                <w:rFonts w:ascii="Arial Narrow" w:hAnsi="Arial Narrow"/>
                <w:b/>
                <w:bCs/>
                <w:color w:val="000000"/>
                <w:sz w:val="16"/>
                <w:szCs w:val="16"/>
              </w:rPr>
              <w:t xml:space="preserve">ΠΑΡΕΜΒΑΣΕΙΣ ΔΑΠΑΝΩΝ </w:t>
            </w:r>
          </w:p>
        </w:tc>
        <w:tc>
          <w:tcPr>
            <w:tcW w:w="390" w:type="pct"/>
            <w:tcBorders>
              <w:top w:val="nil"/>
              <w:left w:val="nil"/>
              <w:bottom w:val="single" w:sz="4" w:space="0" w:color="auto"/>
              <w:right w:val="single" w:sz="4" w:space="0" w:color="auto"/>
            </w:tcBorders>
            <w:shd w:val="clear" w:color="000000" w:fill="F2F2F2"/>
            <w:noWrap/>
            <w:tcMar>
              <w:left w:w="28" w:type="dxa"/>
              <w:right w:w="28" w:type="dxa"/>
            </w:tcMar>
            <w:vAlign w:val="center"/>
            <w:hideMark/>
          </w:tcPr>
          <w:p w:rsidR="00D12ADB" w:rsidRPr="00AB2586" w:rsidRDefault="00D12ADB" w:rsidP="005427F9">
            <w:pPr>
              <w:spacing w:before="60" w:after="60"/>
              <w:jc w:val="right"/>
              <w:rPr>
                <w:rFonts w:ascii="Arial Narrow" w:hAnsi="Arial Narrow"/>
                <w:b/>
                <w:bCs/>
                <w:color w:val="000000"/>
                <w:sz w:val="16"/>
                <w:szCs w:val="16"/>
              </w:rPr>
            </w:pPr>
            <w:r w:rsidRPr="00AB2586">
              <w:rPr>
                <w:rFonts w:ascii="Arial Narrow" w:hAnsi="Arial Narrow"/>
                <w:b/>
                <w:bCs/>
                <w:color w:val="000000"/>
                <w:sz w:val="16"/>
                <w:szCs w:val="16"/>
              </w:rPr>
              <w:t>-473</w:t>
            </w:r>
          </w:p>
        </w:tc>
        <w:tc>
          <w:tcPr>
            <w:tcW w:w="2179" w:type="pct"/>
            <w:tcBorders>
              <w:top w:val="nil"/>
              <w:left w:val="nil"/>
              <w:bottom w:val="single" w:sz="4" w:space="0" w:color="auto"/>
              <w:right w:val="single" w:sz="4" w:space="0" w:color="auto"/>
            </w:tcBorders>
            <w:shd w:val="clear" w:color="000000" w:fill="F2F2F2"/>
            <w:tcMar>
              <w:left w:w="28" w:type="dxa"/>
              <w:right w:w="28" w:type="dxa"/>
            </w:tcMar>
            <w:vAlign w:val="bottom"/>
            <w:hideMark/>
          </w:tcPr>
          <w:p w:rsidR="00D12ADB" w:rsidRPr="00AB2586" w:rsidRDefault="00D12ADB" w:rsidP="005427F9">
            <w:pPr>
              <w:spacing w:before="60" w:after="60"/>
              <w:rPr>
                <w:rFonts w:ascii="Arial Narrow" w:hAnsi="Arial Narrow"/>
                <w:b/>
                <w:bCs/>
                <w:color w:val="000000"/>
                <w:sz w:val="16"/>
                <w:szCs w:val="16"/>
              </w:rPr>
            </w:pPr>
            <w:r w:rsidRPr="00AB2586">
              <w:rPr>
                <w:rFonts w:ascii="Arial Narrow" w:hAnsi="Arial Narrow"/>
                <w:b/>
                <w:bCs/>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5</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Επίδομα στέγασης</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-400</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6</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xml:space="preserve">Επιδότηση ασφαλιστικών εισφορών για νέους εργαζόμενους </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-51</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7</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xml:space="preserve">Ενίσχυση ειδικής αγωγής </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-22</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w:t>
            </w:r>
          </w:p>
        </w:tc>
      </w:tr>
      <w:tr w:rsidR="00D12ADB" w:rsidRPr="00AB2586" w:rsidTr="005427F9">
        <w:trPr>
          <w:trHeight w:val="227"/>
        </w:trPr>
        <w:tc>
          <w:tcPr>
            <w:tcW w:w="171" w:type="pct"/>
            <w:tcBorders>
              <w:top w:val="nil"/>
              <w:left w:val="single" w:sz="4" w:space="0" w:color="auto"/>
              <w:bottom w:val="single" w:sz="4" w:space="0" w:color="auto"/>
              <w:right w:val="nil"/>
            </w:tcBorders>
            <w:shd w:val="clear" w:color="000000" w:fill="FFFFFF"/>
            <w:noWrap/>
            <w:tcMar>
              <w:left w:w="28" w:type="dxa"/>
              <w:right w:w="28" w:type="dxa"/>
            </w:tcMar>
            <w:vAlign w:val="center"/>
            <w:hideMark/>
          </w:tcPr>
          <w:p w:rsidR="00D12ADB" w:rsidRPr="00AB2586" w:rsidRDefault="00D12ADB" w:rsidP="002B7722">
            <w:pPr>
              <w:jc w:val="center"/>
              <w:rPr>
                <w:rFonts w:ascii="Arial Narrow" w:hAnsi="Arial Narrow"/>
                <w:color w:val="000000"/>
                <w:sz w:val="16"/>
                <w:szCs w:val="16"/>
              </w:rPr>
            </w:pPr>
            <w:r w:rsidRPr="00AB2586">
              <w:rPr>
                <w:rFonts w:ascii="Arial Narrow" w:hAnsi="Arial Narrow"/>
                <w:color w:val="000000"/>
                <w:sz w:val="16"/>
                <w:szCs w:val="16"/>
              </w:rPr>
              <w:t>8</w:t>
            </w:r>
          </w:p>
        </w:tc>
        <w:tc>
          <w:tcPr>
            <w:tcW w:w="2260"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xml:space="preserve">Ενίσχυση προγράμματος "Bοήθεια στο σπίτι" </w:t>
            </w:r>
          </w:p>
        </w:tc>
        <w:tc>
          <w:tcPr>
            <w:tcW w:w="39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12ADB" w:rsidRPr="00AB2586" w:rsidRDefault="00D12ADB" w:rsidP="002B7722">
            <w:pPr>
              <w:jc w:val="right"/>
              <w:rPr>
                <w:rFonts w:ascii="Arial Narrow" w:hAnsi="Arial Narrow"/>
                <w:color w:val="000000"/>
                <w:sz w:val="16"/>
                <w:szCs w:val="16"/>
              </w:rPr>
            </w:pPr>
            <w:r w:rsidRPr="00AB2586">
              <w:rPr>
                <w:rFonts w:ascii="Arial Narrow" w:hAnsi="Arial Narrow"/>
                <w:color w:val="000000"/>
                <w:sz w:val="16"/>
                <w:szCs w:val="16"/>
              </w:rPr>
              <w:t>0</w:t>
            </w:r>
          </w:p>
        </w:tc>
        <w:tc>
          <w:tcPr>
            <w:tcW w:w="2179" w:type="pct"/>
            <w:tcBorders>
              <w:top w:val="nil"/>
              <w:left w:val="nil"/>
              <w:bottom w:val="single" w:sz="4" w:space="0" w:color="auto"/>
              <w:right w:val="single" w:sz="4" w:space="0" w:color="auto"/>
            </w:tcBorders>
            <w:shd w:val="clear" w:color="000000" w:fill="FFFFFF"/>
            <w:tcMar>
              <w:left w:w="28" w:type="dxa"/>
              <w:right w:w="28" w:type="dxa"/>
            </w:tcMar>
            <w:vAlign w:val="bottom"/>
            <w:hideMark/>
          </w:tcPr>
          <w:p w:rsidR="00D12ADB" w:rsidRPr="00AB2586" w:rsidRDefault="00D12ADB" w:rsidP="002B7722">
            <w:pPr>
              <w:rPr>
                <w:rFonts w:ascii="Arial Narrow" w:hAnsi="Arial Narrow"/>
                <w:color w:val="000000"/>
                <w:sz w:val="16"/>
                <w:szCs w:val="16"/>
              </w:rPr>
            </w:pPr>
            <w:r w:rsidRPr="00AB2586">
              <w:rPr>
                <w:rFonts w:ascii="Arial Narrow" w:hAnsi="Arial Narrow"/>
                <w:color w:val="000000"/>
                <w:sz w:val="16"/>
                <w:szCs w:val="16"/>
              </w:rPr>
              <w:t xml:space="preserve">Η δημοσιονομική επίπτωση έχει αποτυπωθεί στο βασικό σενάριο </w:t>
            </w:r>
          </w:p>
        </w:tc>
      </w:tr>
      <w:tr w:rsidR="00D12ADB" w:rsidRPr="00AB2586" w:rsidTr="005427F9">
        <w:trPr>
          <w:trHeight w:val="227"/>
        </w:trPr>
        <w:tc>
          <w:tcPr>
            <w:tcW w:w="2431" w:type="pct"/>
            <w:gridSpan w:val="2"/>
            <w:tcBorders>
              <w:top w:val="single" w:sz="4" w:space="0" w:color="auto"/>
              <w:left w:val="single" w:sz="4" w:space="0" w:color="auto"/>
              <w:bottom w:val="single" w:sz="4" w:space="0" w:color="auto"/>
              <w:right w:val="single" w:sz="4" w:space="0" w:color="000000"/>
            </w:tcBorders>
            <w:shd w:val="clear" w:color="000000" w:fill="D8D8D8"/>
            <w:tcMar>
              <w:left w:w="28" w:type="dxa"/>
              <w:right w:w="28" w:type="dxa"/>
            </w:tcMar>
            <w:vAlign w:val="bottom"/>
            <w:hideMark/>
          </w:tcPr>
          <w:p w:rsidR="00D12ADB" w:rsidRPr="00AB2586" w:rsidRDefault="00D12ADB" w:rsidP="0075752F">
            <w:pPr>
              <w:jc w:val="center"/>
              <w:rPr>
                <w:rFonts w:ascii="Arial Narrow" w:hAnsi="Arial Narrow"/>
                <w:b/>
                <w:bCs/>
                <w:color w:val="000000"/>
                <w:sz w:val="16"/>
                <w:szCs w:val="16"/>
              </w:rPr>
            </w:pPr>
            <w:r w:rsidRPr="00AB2586">
              <w:rPr>
                <w:rFonts w:ascii="Arial Narrow" w:hAnsi="Arial Narrow"/>
                <w:b/>
                <w:bCs/>
                <w:color w:val="000000"/>
                <w:sz w:val="16"/>
                <w:szCs w:val="16"/>
              </w:rPr>
              <w:t>Σύνολο δημοσιονομικών παρεμβάσεων  (Α + Β)</w:t>
            </w:r>
          </w:p>
        </w:tc>
        <w:tc>
          <w:tcPr>
            <w:tcW w:w="390" w:type="pct"/>
            <w:tcBorders>
              <w:top w:val="nil"/>
              <w:left w:val="nil"/>
              <w:bottom w:val="single" w:sz="4" w:space="0" w:color="auto"/>
              <w:right w:val="single" w:sz="4" w:space="0" w:color="auto"/>
            </w:tcBorders>
            <w:shd w:val="clear" w:color="000000" w:fill="D8D8D8"/>
            <w:noWrap/>
            <w:tcMar>
              <w:left w:w="28" w:type="dxa"/>
              <w:right w:w="28" w:type="dxa"/>
            </w:tcMar>
            <w:vAlign w:val="center"/>
            <w:hideMark/>
          </w:tcPr>
          <w:p w:rsidR="00D12ADB" w:rsidRPr="00AB2586" w:rsidRDefault="00D12ADB" w:rsidP="002B7722">
            <w:pPr>
              <w:jc w:val="right"/>
              <w:rPr>
                <w:rFonts w:ascii="Arial Narrow" w:hAnsi="Arial Narrow"/>
                <w:b/>
                <w:bCs/>
                <w:color w:val="000000"/>
                <w:sz w:val="16"/>
                <w:szCs w:val="16"/>
              </w:rPr>
            </w:pPr>
            <w:r w:rsidRPr="00AB2586">
              <w:rPr>
                <w:rFonts w:ascii="Arial Narrow" w:hAnsi="Arial Narrow"/>
                <w:b/>
                <w:bCs/>
                <w:color w:val="000000"/>
                <w:sz w:val="16"/>
                <w:szCs w:val="16"/>
              </w:rPr>
              <w:t>-1.245</w:t>
            </w:r>
          </w:p>
        </w:tc>
        <w:tc>
          <w:tcPr>
            <w:tcW w:w="2179" w:type="pct"/>
            <w:tcBorders>
              <w:top w:val="nil"/>
              <w:left w:val="nil"/>
              <w:bottom w:val="single" w:sz="4" w:space="0" w:color="auto"/>
              <w:right w:val="single" w:sz="4" w:space="0" w:color="auto"/>
            </w:tcBorders>
            <w:shd w:val="clear" w:color="000000" w:fill="D8D8D8"/>
            <w:tcMar>
              <w:left w:w="28" w:type="dxa"/>
              <w:right w:w="28" w:type="dxa"/>
            </w:tcMar>
            <w:vAlign w:val="bottom"/>
            <w:hideMark/>
          </w:tcPr>
          <w:p w:rsidR="00D12ADB" w:rsidRPr="00AB2586" w:rsidRDefault="00D12ADB" w:rsidP="002B7722">
            <w:pPr>
              <w:rPr>
                <w:rFonts w:ascii="Arial Narrow" w:hAnsi="Arial Narrow"/>
                <w:b/>
                <w:bCs/>
                <w:color w:val="000000"/>
                <w:sz w:val="16"/>
                <w:szCs w:val="16"/>
              </w:rPr>
            </w:pPr>
            <w:r w:rsidRPr="00AB2586">
              <w:rPr>
                <w:rFonts w:ascii="Arial Narrow" w:hAnsi="Arial Narrow"/>
                <w:b/>
                <w:bCs/>
                <w:color w:val="000000"/>
                <w:sz w:val="16"/>
                <w:szCs w:val="16"/>
              </w:rPr>
              <w:t> </w:t>
            </w:r>
          </w:p>
        </w:tc>
      </w:tr>
    </w:tbl>
    <w:p w:rsidR="00D12ADB" w:rsidRDefault="00D12ADB" w:rsidP="000976EF">
      <w:pPr>
        <w:ind w:right="-1"/>
        <w:jc w:val="both"/>
        <w:rPr>
          <w:rFonts w:ascii="Arial Narrow" w:hAnsi="Arial Narrow"/>
          <w:sz w:val="16"/>
          <w:szCs w:val="16"/>
        </w:rPr>
      </w:pPr>
      <w:r>
        <w:rPr>
          <w:rFonts w:ascii="Arial Narrow" w:hAnsi="Arial Narrow"/>
          <w:sz w:val="16"/>
          <w:szCs w:val="16"/>
        </w:rPr>
        <w:t>Σημείωση: Στο σκέλος των δαπανών, το θετικό πρόσημο δηλώνει μείωση δαπάνης (εξοικονόμηση), ενώ το αρνητικό πρόσημο δηλώνει αύξηση δαπάνης. Στο σκέλος των εσόδων, το θετικό πρόσημο σημαίνει αύξηση των εσόδων και το αρνητικό πρόσημο δηλώνει μείωση των εσόδων.</w:t>
      </w:r>
    </w:p>
    <w:p w:rsidR="00AB2586" w:rsidRDefault="00AB2586" w:rsidP="00AB2586"/>
    <w:p w:rsidR="005427F9" w:rsidRDefault="005427F9" w:rsidP="00FE1BF3">
      <w:pPr>
        <w:jc w:val="both"/>
        <w:rPr>
          <w:sz w:val="22"/>
          <w:szCs w:val="22"/>
          <w:lang w:eastAsia="en-US"/>
        </w:rPr>
      </w:pPr>
    </w:p>
    <w:p w:rsidR="005427F9" w:rsidRDefault="005427F9" w:rsidP="00FE1BF3">
      <w:pPr>
        <w:jc w:val="both"/>
        <w:rPr>
          <w:sz w:val="22"/>
          <w:szCs w:val="22"/>
          <w:lang w:eastAsia="en-US"/>
        </w:rPr>
      </w:pPr>
    </w:p>
    <w:p w:rsidR="00FE1BF3" w:rsidRPr="0088706F" w:rsidRDefault="00FE1BF3" w:rsidP="00FE1BF3">
      <w:pPr>
        <w:jc w:val="both"/>
        <w:rPr>
          <w:sz w:val="22"/>
          <w:szCs w:val="22"/>
          <w:lang w:eastAsia="en-US"/>
        </w:rPr>
      </w:pPr>
      <w:r w:rsidRPr="0088706F">
        <w:rPr>
          <w:sz w:val="22"/>
          <w:szCs w:val="22"/>
          <w:lang w:eastAsia="en-US"/>
        </w:rPr>
        <w:lastRenderedPageBreak/>
        <w:t xml:space="preserve">Το </w:t>
      </w:r>
      <w:r w:rsidR="0088706F">
        <w:rPr>
          <w:sz w:val="22"/>
          <w:szCs w:val="22"/>
          <w:lang w:eastAsia="en-US"/>
        </w:rPr>
        <w:t>έλλειμμα</w:t>
      </w:r>
      <w:r w:rsidRPr="0088706F">
        <w:rPr>
          <w:sz w:val="22"/>
          <w:szCs w:val="22"/>
          <w:lang w:eastAsia="en-US"/>
        </w:rPr>
        <w:t xml:space="preserve"> του Κρατικού</w:t>
      </w:r>
      <w:r w:rsidR="0088706F">
        <w:rPr>
          <w:sz w:val="22"/>
          <w:szCs w:val="22"/>
          <w:lang w:eastAsia="en-US"/>
        </w:rPr>
        <w:t xml:space="preserve"> Προϋπολογισμού για το έτος 2019</w:t>
      </w:r>
      <w:r w:rsidRPr="0088706F">
        <w:rPr>
          <w:sz w:val="22"/>
          <w:szCs w:val="22"/>
          <w:lang w:eastAsia="en-US"/>
        </w:rPr>
        <w:t xml:space="preserve"> εκτιμάται σε </w:t>
      </w:r>
      <w:r w:rsidR="0088706F">
        <w:rPr>
          <w:sz w:val="22"/>
          <w:szCs w:val="22"/>
          <w:lang w:eastAsia="en-US"/>
        </w:rPr>
        <w:t>4.</w:t>
      </w:r>
      <w:r w:rsidR="00613BC2">
        <w:rPr>
          <w:sz w:val="22"/>
          <w:szCs w:val="22"/>
          <w:lang w:eastAsia="en-US"/>
        </w:rPr>
        <w:t>774</w:t>
      </w:r>
      <w:r w:rsidRPr="0088706F">
        <w:rPr>
          <w:sz w:val="22"/>
          <w:szCs w:val="22"/>
          <w:lang w:eastAsia="en-US"/>
        </w:rPr>
        <w:t xml:space="preserve"> εκατ. ευρώ σε ταμ</w:t>
      </w:r>
      <w:r w:rsidRPr="0088706F">
        <w:rPr>
          <w:sz w:val="22"/>
          <w:szCs w:val="22"/>
          <w:lang w:eastAsia="en-US"/>
        </w:rPr>
        <w:t>ε</w:t>
      </w:r>
      <w:r w:rsidRPr="0088706F">
        <w:rPr>
          <w:sz w:val="22"/>
          <w:szCs w:val="22"/>
          <w:lang w:eastAsia="en-US"/>
        </w:rPr>
        <w:t xml:space="preserve">ιακή βάση </w:t>
      </w:r>
      <w:r w:rsidR="00613BC2">
        <w:rPr>
          <w:sz w:val="22"/>
          <w:szCs w:val="22"/>
          <w:lang w:eastAsia="en-US"/>
        </w:rPr>
        <w:t>αυξημένο κατά 32</w:t>
      </w:r>
      <w:r w:rsidR="0088706F">
        <w:rPr>
          <w:sz w:val="22"/>
          <w:szCs w:val="22"/>
          <w:lang w:eastAsia="en-US"/>
        </w:rPr>
        <w:t xml:space="preserve">7 εκατ. ευρώ, σε σχέση με το στόχο του ΜΠΔΣ 2019-2022 </w:t>
      </w:r>
      <w:r w:rsidRPr="0088706F">
        <w:rPr>
          <w:sz w:val="22"/>
          <w:szCs w:val="22"/>
          <w:lang w:eastAsia="en-US"/>
        </w:rPr>
        <w:t xml:space="preserve">και σε </w:t>
      </w:r>
      <w:r w:rsidR="00613BC2">
        <w:rPr>
          <w:sz w:val="22"/>
          <w:szCs w:val="22"/>
          <w:lang w:eastAsia="en-US"/>
        </w:rPr>
        <w:t>3.15</w:t>
      </w:r>
      <w:r w:rsidR="0088706F">
        <w:rPr>
          <w:sz w:val="22"/>
          <w:szCs w:val="22"/>
          <w:lang w:eastAsia="en-US"/>
        </w:rPr>
        <w:t>0</w:t>
      </w:r>
      <w:r w:rsidRPr="0088706F">
        <w:rPr>
          <w:sz w:val="22"/>
          <w:szCs w:val="22"/>
          <w:lang w:eastAsia="en-US"/>
        </w:rPr>
        <w:t xml:space="preserve"> εκατ. ευρώ σε δημοσιονομική βάση</w:t>
      </w:r>
      <w:r w:rsidR="0075752F">
        <w:rPr>
          <w:sz w:val="22"/>
          <w:szCs w:val="22"/>
          <w:lang w:eastAsia="en-US"/>
        </w:rPr>
        <w:t>,</w:t>
      </w:r>
      <w:r w:rsidR="00613BC2">
        <w:rPr>
          <w:sz w:val="22"/>
          <w:szCs w:val="22"/>
          <w:lang w:eastAsia="en-US"/>
        </w:rPr>
        <w:t xml:space="preserve"> μειωμένο κατά 96</w:t>
      </w:r>
      <w:r w:rsidR="0088706F">
        <w:rPr>
          <w:sz w:val="22"/>
          <w:szCs w:val="22"/>
          <w:lang w:eastAsia="en-US"/>
        </w:rPr>
        <w:t>5 εκατ. ευρώ σε σχέση με το</w:t>
      </w:r>
      <w:r w:rsidR="0075752F">
        <w:rPr>
          <w:sz w:val="22"/>
          <w:szCs w:val="22"/>
          <w:lang w:eastAsia="en-US"/>
        </w:rPr>
        <w:t>ν</w:t>
      </w:r>
      <w:r w:rsidR="0088706F">
        <w:rPr>
          <w:sz w:val="22"/>
          <w:szCs w:val="22"/>
          <w:lang w:eastAsia="en-US"/>
        </w:rPr>
        <w:t xml:space="preserve"> στόχο</w:t>
      </w:r>
      <w:r w:rsidRPr="0088706F">
        <w:rPr>
          <w:sz w:val="22"/>
          <w:szCs w:val="22"/>
          <w:lang w:eastAsia="en-US"/>
        </w:rPr>
        <w:t xml:space="preserve">. </w:t>
      </w:r>
    </w:p>
    <w:p w:rsidR="00FE1BF3" w:rsidRPr="0088706F" w:rsidRDefault="00FE1BF3" w:rsidP="00FE1BF3">
      <w:pPr>
        <w:jc w:val="both"/>
        <w:rPr>
          <w:sz w:val="22"/>
          <w:szCs w:val="22"/>
          <w:lang w:eastAsia="en-US"/>
        </w:rPr>
      </w:pPr>
    </w:p>
    <w:p w:rsidR="00FE1BF3" w:rsidRPr="00A50FB2" w:rsidRDefault="00FE1BF3" w:rsidP="00FE1BF3">
      <w:pPr>
        <w:jc w:val="both"/>
        <w:rPr>
          <w:sz w:val="22"/>
          <w:szCs w:val="22"/>
          <w:lang w:eastAsia="en-US"/>
        </w:rPr>
      </w:pPr>
      <w:r w:rsidRPr="0088706F">
        <w:rPr>
          <w:sz w:val="22"/>
          <w:szCs w:val="22"/>
          <w:lang w:eastAsia="en-US"/>
        </w:rPr>
        <w:t xml:space="preserve">Επίσης, το πρωτογενές αποτέλεσμα του Κρατικού Προϋπολογισμού εκτιμάται, σε ταμειακή βάση, σε πλεόνασμα ύψους </w:t>
      </w:r>
      <w:r w:rsidR="00613BC2">
        <w:rPr>
          <w:sz w:val="22"/>
          <w:szCs w:val="22"/>
          <w:lang w:eastAsia="en-US"/>
        </w:rPr>
        <w:t>1.</w:t>
      </w:r>
      <w:r w:rsidR="0088706F">
        <w:rPr>
          <w:sz w:val="22"/>
          <w:szCs w:val="22"/>
          <w:lang w:eastAsia="en-US"/>
        </w:rPr>
        <w:t>8</w:t>
      </w:r>
      <w:r w:rsidR="00613BC2">
        <w:rPr>
          <w:sz w:val="22"/>
          <w:szCs w:val="22"/>
          <w:lang w:eastAsia="en-US"/>
        </w:rPr>
        <w:t>2</w:t>
      </w:r>
      <w:r w:rsidR="0088706F">
        <w:rPr>
          <w:sz w:val="22"/>
          <w:szCs w:val="22"/>
          <w:lang w:eastAsia="en-US"/>
        </w:rPr>
        <w:t>6</w:t>
      </w:r>
      <w:r w:rsidRPr="0088706F">
        <w:rPr>
          <w:sz w:val="22"/>
          <w:szCs w:val="22"/>
          <w:lang w:eastAsia="en-US"/>
        </w:rPr>
        <w:t xml:space="preserve"> εκατ. ευρώ</w:t>
      </w:r>
      <w:r w:rsidR="002062CC">
        <w:rPr>
          <w:sz w:val="22"/>
          <w:szCs w:val="22"/>
          <w:lang w:eastAsia="en-US"/>
        </w:rPr>
        <w:t>,</w:t>
      </w:r>
      <w:r w:rsidRPr="0088706F">
        <w:rPr>
          <w:sz w:val="22"/>
          <w:szCs w:val="22"/>
          <w:lang w:eastAsia="en-US"/>
        </w:rPr>
        <w:t xml:space="preserve"> αυξημένο κατά </w:t>
      </w:r>
      <w:r w:rsidR="00613BC2">
        <w:rPr>
          <w:sz w:val="22"/>
          <w:szCs w:val="22"/>
          <w:lang w:eastAsia="en-US"/>
        </w:rPr>
        <w:t>7</w:t>
      </w:r>
      <w:r w:rsidR="0088706F">
        <w:rPr>
          <w:sz w:val="22"/>
          <w:szCs w:val="22"/>
          <w:lang w:eastAsia="en-US"/>
        </w:rPr>
        <w:t>3</w:t>
      </w:r>
      <w:r w:rsidRPr="0088706F">
        <w:rPr>
          <w:sz w:val="22"/>
          <w:szCs w:val="22"/>
          <w:lang w:eastAsia="en-US"/>
        </w:rPr>
        <w:t xml:space="preserve"> εκατ. ευρώ έναντι του στόχου</w:t>
      </w:r>
      <w:r w:rsidR="0075752F">
        <w:rPr>
          <w:sz w:val="22"/>
          <w:szCs w:val="22"/>
          <w:lang w:eastAsia="en-US"/>
        </w:rPr>
        <w:t xml:space="preserve"> του ΜΠΔΣ</w:t>
      </w:r>
      <w:r w:rsidRPr="0088706F">
        <w:rPr>
          <w:sz w:val="22"/>
          <w:szCs w:val="22"/>
          <w:lang w:eastAsia="en-US"/>
        </w:rPr>
        <w:t>. Τέλος, το πρωτογενές αποτέλεσμα του Κρατικού Προϋπολογισμού σε δημοσιονομική βάση, εκτιμάται σε πλεόνα</w:t>
      </w:r>
      <w:r w:rsidR="0088706F">
        <w:rPr>
          <w:sz w:val="22"/>
          <w:szCs w:val="22"/>
          <w:lang w:eastAsia="en-US"/>
        </w:rPr>
        <w:t>σμα ύψους 3</w:t>
      </w:r>
      <w:r w:rsidRPr="0088706F">
        <w:rPr>
          <w:sz w:val="22"/>
          <w:szCs w:val="22"/>
          <w:lang w:eastAsia="en-US"/>
        </w:rPr>
        <w:t>.8</w:t>
      </w:r>
      <w:r w:rsidR="00613BC2">
        <w:rPr>
          <w:sz w:val="22"/>
          <w:szCs w:val="22"/>
          <w:lang w:eastAsia="en-US"/>
        </w:rPr>
        <w:t>5</w:t>
      </w:r>
      <w:r w:rsidR="0088706F">
        <w:rPr>
          <w:sz w:val="22"/>
          <w:szCs w:val="22"/>
          <w:lang w:eastAsia="en-US"/>
        </w:rPr>
        <w:t>0</w:t>
      </w:r>
      <w:r w:rsidRPr="0088706F">
        <w:rPr>
          <w:sz w:val="22"/>
          <w:szCs w:val="22"/>
          <w:lang w:eastAsia="en-US"/>
        </w:rPr>
        <w:t xml:space="preserve"> εκατ. ευρώ</w:t>
      </w:r>
      <w:r w:rsidR="002062CC">
        <w:rPr>
          <w:sz w:val="22"/>
          <w:szCs w:val="22"/>
          <w:lang w:eastAsia="en-US"/>
        </w:rPr>
        <w:t>,</w:t>
      </w:r>
      <w:r w:rsidRPr="0088706F">
        <w:rPr>
          <w:sz w:val="22"/>
          <w:szCs w:val="22"/>
          <w:lang w:eastAsia="en-US"/>
        </w:rPr>
        <w:t xml:space="preserve"> </w:t>
      </w:r>
      <w:r w:rsidR="0088706F">
        <w:rPr>
          <w:sz w:val="22"/>
          <w:szCs w:val="22"/>
          <w:lang w:eastAsia="en-US"/>
        </w:rPr>
        <w:t>αυξη</w:t>
      </w:r>
      <w:r w:rsidR="002062CC">
        <w:rPr>
          <w:sz w:val="22"/>
          <w:szCs w:val="22"/>
          <w:lang w:eastAsia="en-US"/>
        </w:rPr>
        <w:t xml:space="preserve">μένο κατά </w:t>
      </w:r>
      <w:r w:rsidR="00613BC2">
        <w:rPr>
          <w:sz w:val="22"/>
          <w:szCs w:val="22"/>
          <w:lang w:eastAsia="en-US"/>
        </w:rPr>
        <w:t>1.015</w:t>
      </w:r>
      <w:r w:rsidRPr="0088706F">
        <w:rPr>
          <w:sz w:val="22"/>
          <w:szCs w:val="22"/>
          <w:lang w:eastAsia="en-US"/>
        </w:rPr>
        <w:t xml:space="preserve"> εκατ. ευρώ, έναντι του στόχου του ΜΠΔΣ 2019-2022.</w:t>
      </w:r>
    </w:p>
    <w:p w:rsidR="003770B6" w:rsidRDefault="003770B6" w:rsidP="005D0BB1">
      <w:pPr>
        <w:autoSpaceDE w:val="0"/>
        <w:autoSpaceDN w:val="0"/>
        <w:adjustRightInd w:val="0"/>
        <w:jc w:val="both"/>
        <w:rPr>
          <w:bCs/>
          <w:sz w:val="22"/>
        </w:rPr>
      </w:pPr>
    </w:p>
    <w:p w:rsidR="00F66938" w:rsidRPr="00727A31" w:rsidRDefault="00F66938" w:rsidP="005D0BB1">
      <w:pPr>
        <w:autoSpaceDE w:val="0"/>
        <w:autoSpaceDN w:val="0"/>
        <w:adjustRightInd w:val="0"/>
        <w:jc w:val="both"/>
        <w:rPr>
          <w:bCs/>
          <w:sz w:val="22"/>
        </w:rPr>
      </w:pPr>
    </w:p>
    <w:p w:rsidR="005D0BB1" w:rsidRPr="003E2BF6" w:rsidRDefault="009835FE" w:rsidP="009835FE">
      <w:pPr>
        <w:shd w:val="clear" w:color="auto" w:fill="BFBFBF" w:themeFill="background1" w:themeFillShade="BF"/>
        <w:rPr>
          <w:rFonts w:ascii="Arial Narrow" w:hAnsi="Arial Narrow"/>
          <w:b/>
          <w:szCs w:val="26"/>
        </w:rPr>
      </w:pPr>
      <w:r>
        <w:rPr>
          <w:rFonts w:ascii="Arial Narrow" w:hAnsi="Arial Narrow"/>
          <w:b/>
          <w:szCs w:val="26"/>
        </w:rPr>
        <w:t>4.1</w:t>
      </w:r>
      <w:r w:rsidR="005D0BB1" w:rsidRPr="003E2BF6">
        <w:rPr>
          <w:rFonts w:ascii="Arial Narrow" w:hAnsi="Arial Narrow"/>
          <w:b/>
          <w:szCs w:val="26"/>
        </w:rPr>
        <w:tab/>
      </w:r>
      <w:r>
        <w:rPr>
          <w:rFonts w:ascii="Arial Narrow" w:hAnsi="Arial Narrow"/>
          <w:b/>
          <w:szCs w:val="26"/>
        </w:rPr>
        <w:t>Έσοδα</w:t>
      </w:r>
    </w:p>
    <w:p w:rsidR="005D0BB1" w:rsidRDefault="005D0BB1" w:rsidP="005D0BB1">
      <w:pPr>
        <w:rPr>
          <w:rFonts w:ascii="Arial Narrow" w:hAnsi="Arial Narrow"/>
          <w:b/>
          <w:color w:val="000080"/>
          <w:szCs w:val="22"/>
        </w:rPr>
      </w:pPr>
    </w:p>
    <w:p w:rsidR="00A07AF3" w:rsidRPr="00A07AF3" w:rsidRDefault="00A07AF3" w:rsidP="00A07AF3">
      <w:pPr>
        <w:jc w:val="both"/>
        <w:rPr>
          <w:bCs/>
          <w:sz w:val="22"/>
          <w:szCs w:val="22"/>
        </w:rPr>
      </w:pPr>
      <w:r w:rsidRPr="00A07AF3">
        <w:rPr>
          <w:bCs/>
          <w:sz w:val="22"/>
          <w:szCs w:val="22"/>
        </w:rPr>
        <w:t>Τα καθαρά έσοδα του Κρατικού Προϋπολογισμού, σε δημοσιονομική βάση, μετά τη</w:t>
      </w:r>
      <w:r w:rsidR="00135622">
        <w:rPr>
          <w:bCs/>
          <w:sz w:val="22"/>
          <w:szCs w:val="22"/>
        </w:rPr>
        <w:t>ν</w:t>
      </w:r>
      <w:r w:rsidRPr="00A07AF3">
        <w:rPr>
          <w:bCs/>
          <w:sz w:val="22"/>
          <w:szCs w:val="22"/>
        </w:rPr>
        <w:t xml:space="preserve"> </w:t>
      </w:r>
      <w:r w:rsidR="00135622">
        <w:rPr>
          <w:bCs/>
          <w:sz w:val="22"/>
          <w:szCs w:val="22"/>
        </w:rPr>
        <w:t>αφαίρεση</w:t>
      </w:r>
      <w:r w:rsidRPr="00A07AF3">
        <w:rPr>
          <w:bCs/>
          <w:sz w:val="22"/>
          <w:szCs w:val="22"/>
        </w:rPr>
        <w:t xml:space="preserve"> των επιστροφών φόρων,</w:t>
      </w:r>
      <w:r w:rsidR="0068124D">
        <w:rPr>
          <w:bCs/>
          <w:sz w:val="22"/>
          <w:szCs w:val="22"/>
        </w:rPr>
        <w:t xml:space="preserve"> </w:t>
      </w:r>
      <w:r w:rsidRPr="00A07AF3">
        <w:rPr>
          <w:bCs/>
          <w:sz w:val="22"/>
          <w:szCs w:val="22"/>
        </w:rPr>
        <w:t>προβλέπεται να διαμορφωθούν στα 53.8</w:t>
      </w:r>
      <w:r w:rsidR="00C766B9">
        <w:rPr>
          <w:bCs/>
          <w:sz w:val="22"/>
          <w:szCs w:val="22"/>
        </w:rPr>
        <w:t>06</w:t>
      </w:r>
      <w:r w:rsidRPr="00A07AF3">
        <w:rPr>
          <w:bCs/>
          <w:sz w:val="22"/>
          <w:szCs w:val="22"/>
        </w:rPr>
        <w:t xml:space="preserve"> εκατ. ευρώ</w:t>
      </w:r>
      <w:r w:rsidR="00FF2134">
        <w:rPr>
          <w:bCs/>
          <w:sz w:val="22"/>
          <w:szCs w:val="22"/>
        </w:rPr>
        <w:t>,</w:t>
      </w:r>
      <w:r w:rsidRPr="00A07AF3">
        <w:rPr>
          <w:bCs/>
          <w:sz w:val="22"/>
          <w:szCs w:val="22"/>
        </w:rPr>
        <w:t xml:space="preserve"> παρουσιάζοντας αύξηση κατά </w:t>
      </w:r>
      <w:r w:rsidR="00C766B9">
        <w:rPr>
          <w:bCs/>
          <w:sz w:val="22"/>
          <w:szCs w:val="22"/>
        </w:rPr>
        <w:t>391 εκατ. ευρώ ή 0,7</w:t>
      </w:r>
      <w:r w:rsidRPr="00A07AF3">
        <w:rPr>
          <w:bCs/>
          <w:sz w:val="22"/>
          <w:szCs w:val="22"/>
        </w:rPr>
        <w:t>%, έναντι του στόχου του ΜΠΔΣ 2019-2022.</w:t>
      </w:r>
    </w:p>
    <w:p w:rsidR="00A07AF3" w:rsidRPr="00A07AF3" w:rsidRDefault="00A07AF3" w:rsidP="00A07AF3">
      <w:pPr>
        <w:jc w:val="both"/>
        <w:rPr>
          <w:bCs/>
          <w:sz w:val="22"/>
          <w:szCs w:val="22"/>
        </w:rPr>
      </w:pPr>
    </w:p>
    <w:p w:rsidR="00A07AF3" w:rsidRPr="00A07AF3" w:rsidRDefault="00A07AF3" w:rsidP="00A07AF3">
      <w:pPr>
        <w:jc w:val="both"/>
        <w:rPr>
          <w:bCs/>
          <w:sz w:val="22"/>
          <w:szCs w:val="22"/>
        </w:rPr>
      </w:pPr>
      <w:r w:rsidRPr="00A07AF3">
        <w:rPr>
          <w:bCs/>
          <w:sz w:val="22"/>
          <w:szCs w:val="22"/>
        </w:rPr>
        <w:t>Σε τ</w:t>
      </w:r>
      <w:r w:rsidR="009835FE">
        <w:rPr>
          <w:bCs/>
          <w:sz w:val="22"/>
          <w:szCs w:val="22"/>
        </w:rPr>
        <w:t>αμειακή βάση, τα παραπάνω έσοδα</w:t>
      </w:r>
      <w:r w:rsidRPr="00A07AF3">
        <w:rPr>
          <w:bCs/>
          <w:sz w:val="22"/>
          <w:szCs w:val="22"/>
        </w:rPr>
        <w:t xml:space="preserve"> προβλέπονται στα 5</w:t>
      </w:r>
      <w:r w:rsidR="00361E47">
        <w:rPr>
          <w:bCs/>
          <w:sz w:val="22"/>
          <w:szCs w:val="22"/>
        </w:rPr>
        <w:t>3.022</w:t>
      </w:r>
      <w:r w:rsidRPr="00A07AF3">
        <w:rPr>
          <w:bCs/>
          <w:sz w:val="22"/>
          <w:szCs w:val="22"/>
        </w:rPr>
        <w:t xml:space="preserve"> εκατ. ευρώ αυξημένα κατά </w:t>
      </w:r>
      <w:r w:rsidR="00361E47">
        <w:rPr>
          <w:bCs/>
          <w:sz w:val="22"/>
          <w:szCs w:val="22"/>
        </w:rPr>
        <w:t>435</w:t>
      </w:r>
      <w:r w:rsidRPr="00A07AF3">
        <w:rPr>
          <w:bCs/>
          <w:sz w:val="22"/>
          <w:szCs w:val="22"/>
        </w:rPr>
        <w:t xml:space="preserve"> </w:t>
      </w:r>
      <w:r w:rsidRPr="00A07AF3">
        <w:rPr>
          <w:bCs/>
          <w:sz w:val="22"/>
          <w:szCs w:val="22"/>
        </w:rPr>
        <w:t>ε</w:t>
      </w:r>
      <w:r w:rsidR="00C766B9">
        <w:rPr>
          <w:bCs/>
          <w:sz w:val="22"/>
          <w:szCs w:val="22"/>
        </w:rPr>
        <w:t xml:space="preserve">κατ. ευρώ ή </w:t>
      </w:r>
      <w:r w:rsidR="00F327BC" w:rsidRPr="00405944">
        <w:rPr>
          <w:bCs/>
          <w:sz w:val="22"/>
          <w:szCs w:val="22"/>
        </w:rPr>
        <w:t>0,8</w:t>
      </w:r>
      <w:r w:rsidRPr="00A07AF3">
        <w:rPr>
          <w:bCs/>
          <w:sz w:val="22"/>
          <w:szCs w:val="22"/>
        </w:rPr>
        <w:t xml:space="preserve">% έναντι του στόχου του ΜΠΔΣ 2019-2022. Σημαντικό μέρος της αύξησης αυτής </w:t>
      </w:r>
      <w:r w:rsidR="009835FE">
        <w:rPr>
          <w:bCs/>
          <w:sz w:val="22"/>
          <w:szCs w:val="22"/>
        </w:rPr>
        <w:t>ο</w:t>
      </w:r>
      <w:r w:rsidR="009835FE">
        <w:rPr>
          <w:bCs/>
          <w:sz w:val="22"/>
          <w:szCs w:val="22"/>
        </w:rPr>
        <w:t>φείλεται</w:t>
      </w:r>
      <w:r w:rsidRPr="00A07AF3">
        <w:rPr>
          <w:bCs/>
          <w:sz w:val="22"/>
          <w:szCs w:val="22"/>
        </w:rPr>
        <w:t xml:space="preserve"> στο βελτιωμένο μακροοικονομικό περιβάλλον.</w:t>
      </w:r>
    </w:p>
    <w:p w:rsidR="00A07AF3" w:rsidRPr="00A07AF3" w:rsidRDefault="00A07AF3" w:rsidP="00A07AF3">
      <w:pPr>
        <w:jc w:val="both"/>
        <w:rPr>
          <w:bCs/>
          <w:sz w:val="22"/>
          <w:szCs w:val="22"/>
        </w:rPr>
      </w:pPr>
    </w:p>
    <w:p w:rsidR="00A07AF3" w:rsidRPr="00A07AF3" w:rsidRDefault="009835FE" w:rsidP="00A07AF3">
      <w:pPr>
        <w:jc w:val="both"/>
        <w:rPr>
          <w:bCs/>
          <w:sz w:val="22"/>
          <w:szCs w:val="22"/>
        </w:rPr>
      </w:pPr>
      <w:r>
        <w:rPr>
          <w:bCs/>
          <w:sz w:val="22"/>
          <w:szCs w:val="22"/>
        </w:rPr>
        <w:t>Η προαναφερθείσα αύξηση</w:t>
      </w:r>
      <w:r w:rsidR="00A07AF3" w:rsidRPr="00A07AF3">
        <w:rPr>
          <w:bCs/>
          <w:sz w:val="22"/>
          <w:szCs w:val="22"/>
        </w:rPr>
        <w:t xml:space="preserve"> </w:t>
      </w:r>
      <w:r>
        <w:rPr>
          <w:bCs/>
          <w:sz w:val="22"/>
          <w:szCs w:val="22"/>
        </w:rPr>
        <w:t>προβλέπεται</w:t>
      </w:r>
      <w:r w:rsidR="00A07AF3" w:rsidRPr="00A07AF3">
        <w:rPr>
          <w:bCs/>
          <w:sz w:val="22"/>
          <w:szCs w:val="22"/>
        </w:rPr>
        <w:t xml:space="preserve"> να πραγματοποιηθεί</w:t>
      </w:r>
      <w:r w:rsidR="00DF4D17">
        <w:rPr>
          <w:bCs/>
          <w:sz w:val="22"/>
          <w:szCs w:val="22"/>
        </w:rPr>
        <w:t>,</w:t>
      </w:r>
      <w:r w:rsidR="00A07AF3" w:rsidRPr="00A07AF3">
        <w:rPr>
          <w:bCs/>
          <w:sz w:val="22"/>
          <w:szCs w:val="22"/>
        </w:rPr>
        <w:t xml:space="preserve"> παρά τη σημαντική άνοδο των επι</w:t>
      </w:r>
      <w:r w:rsidR="00A07AF3" w:rsidRPr="00A07AF3">
        <w:rPr>
          <w:bCs/>
          <w:sz w:val="22"/>
          <w:szCs w:val="22"/>
        </w:rPr>
        <w:t>σ</w:t>
      </w:r>
      <w:r w:rsidR="00A07AF3" w:rsidRPr="00A07AF3">
        <w:rPr>
          <w:bCs/>
          <w:sz w:val="22"/>
          <w:szCs w:val="22"/>
        </w:rPr>
        <w:t>τροφών φόρων κατά 633 εκατ. ευρώ.</w:t>
      </w:r>
    </w:p>
    <w:p w:rsidR="00A07AF3" w:rsidRPr="00A07AF3" w:rsidRDefault="00A07AF3" w:rsidP="00A07AF3">
      <w:pPr>
        <w:jc w:val="both"/>
        <w:rPr>
          <w:bCs/>
          <w:sz w:val="22"/>
          <w:szCs w:val="22"/>
        </w:rPr>
      </w:pPr>
    </w:p>
    <w:p w:rsidR="00A07AF3" w:rsidRPr="009835FE" w:rsidRDefault="009835FE" w:rsidP="00A07AF3">
      <w:pPr>
        <w:jc w:val="both"/>
        <w:rPr>
          <w:rFonts w:ascii="Arial Narrow" w:hAnsi="Arial Narrow"/>
          <w:b/>
          <w:color w:val="000080"/>
          <w:szCs w:val="22"/>
        </w:rPr>
      </w:pPr>
      <w:r w:rsidRPr="009835FE">
        <w:rPr>
          <w:rFonts w:ascii="Arial Narrow" w:hAnsi="Arial Narrow"/>
          <w:b/>
          <w:color w:val="000080"/>
          <w:szCs w:val="22"/>
        </w:rPr>
        <w:t>Ανάλυση εσόδων κατά μείζονα κατηγορία</w:t>
      </w:r>
    </w:p>
    <w:p w:rsidR="00A07AF3" w:rsidRDefault="00A07AF3" w:rsidP="00A07AF3">
      <w:pPr>
        <w:jc w:val="both"/>
        <w:rPr>
          <w:bCs/>
          <w:sz w:val="22"/>
          <w:szCs w:val="22"/>
        </w:rPr>
      </w:pPr>
    </w:p>
    <w:p w:rsidR="00FF2134" w:rsidRPr="00FF2134" w:rsidRDefault="00FF2134" w:rsidP="00A07AF3">
      <w:pPr>
        <w:jc w:val="both"/>
        <w:rPr>
          <w:rFonts w:ascii="Arial Narrow" w:hAnsi="Arial Narrow"/>
          <w:b/>
          <w:bCs/>
          <w:sz w:val="22"/>
          <w:szCs w:val="22"/>
        </w:rPr>
      </w:pPr>
      <w:r w:rsidRPr="00FF2134">
        <w:rPr>
          <w:rFonts w:ascii="Arial Narrow" w:hAnsi="Arial Narrow"/>
          <w:b/>
          <w:bCs/>
          <w:sz w:val="22"/>
          <w:szCs w:val="22"/>
        </w:rPr>
        <w:t>Έσοδα μη χρηματοοικονομικών συναλλαγών</w:t>
      </w:r>
    </w:p>
    <w:p w:rsidR="00FF2134" w:rsidRDefault="00FF2134" w:rsidP="00A07AF3">
      <w:pPr>
        <w:jc w:val="both"/>
        <w:rPr>
          <w:rFonts w:ascii="Arial Narrow" w:hAnsi="Arial Narrow"/>
          <w:b/>
          <w:bCs/>
          <w:i/>
          <w:sz w:val="22"/>
          <w:szCs w:val="22"/>
        </w:rPr>
      </w:pPr>
    </w:p>
    <w:p w:rsidR="00C766B9" w:rsidRDefault="00A07AF3" w:rsidP="00A07AF3">
      <w:pPr>
        <w:jc w:val="both"/>
        <w:rPr>
          <w:rFonts w:ascii="Arial Narrow" w:hAnsi="Arial Narrow"/>
          <w:b/>
          <w:bCs/>
          <w:i/>
          <w:sz w:val="22"/>
          <w:szCs w:val="22"/>
        </w:rPr>
      </w:pPr>
      <w:r w:rsidRPr="00A07AF3">
        <w:rPr>
          <w:rFonts w:ascii="Arial Narrow" w:hAnsi="Arial Narrow"/>
          <w:b/>
          <w:bCs/>
          <w:i/>
          <w:sz w:val="22"/>
          <w:szCs w:val="22"/>
        </w:rPr>
        <w:t>Φόροι</w:t>
      </w:r>
    </w:p>
    <w:p w:rsidR="00C766B9" w:rsidRPr="00A07AF3" w:rsidRDefault="00C766B9" w:rsidP="00C766B9">
      <w:pPr>
        <w:jc w:val="both"/>
        <w:rPr>
          <w:bCs/>
          <w:sz w:val="22"/>
          <w:szCs w:val="22"/>
        </w:rPr>
      </w:pPr>
    </w:p>
    <w:p w:rsidR="00A07AF3" w:rsidRPr="00516BB9" w:rsidRDefault="00C766B9" w:rsidP="006556BD">
      <w:pPr>
        <w:pStyle w:val="af2"/>
        <w:numPr>
          <w:ilvl w:val="0"/>
          <w:numId w:val="18"/>
        </w:numPr>
        <w:spacing w:after="0" w:line="240" w:lineRule="auto"/>
        <w:ind w:left="284" w:hanging="284"/>
        <w:contextualSpacing w:val="0"/>
        <w:jc w:val="both"/>
        <w:rPr>
          <w:rFonts w:ascii="Times New Roman" w:hAnsi="Times New Roman"/>
          <w:b/>
          <w:i/>
        </w:rPr>
      </w:pPr>
      <w:r w:rsidRPr="00516BB9">
        <w:rPr>
          <w:rFonts w:ascii="Times New Roman" w:hAnsi="Times New Roman"/>
          <w:b/>
          <w:i/>
        </w:rPr>
        <w:t>Φόροι</w:t>
      </w:r>
      <w:r w:rsidR="00A07AF3" w:rsidRPr="00516BB9">
        <w:rPr>
          <w:rFonts w:ascii="Times New Roman" w:hAnsi="Times New Roman"/>
          <w:b/>
          <w:i/>
        </w:rPr>
        <w:t xml:space="preserve"> επί αγαθών και υπηρεσιών</w:t>
      </w:r>
    </w:p>
    <w:p w:rsidR="00A07AF3" w:rsidRPr="00A07AF3" w:rsidRDefault="00A07AF3" w:rsidP="00A07AF3">
      <w:pPr>
        <w:jc w:val="both"/>
        <w:rPr>
          <w:bCs/>
          <w:sz w:val="22"/>
          <w:szCs w:val="22"/>
        </w:rPr>
      </w:pPr>
    </w:p>
    <w:p w:rsidR="00A07AF3" w:rsidRDefault="00A07AF3" w:rsidP="00A07AF3">
      <w:pPr>
        <w:jc w:val="both"/>
        <w:rPr>
          <w:bCs/>
          <w:sz w:val="22"/>
          <w:szCs w:val="22"/>
        </w:rPr>
      </w:pPr>
      <w:r w:rsidRPr="00A07AF3">
        <w:rPr>
          <w:bCs/>
          <w:sz w:val="22"/>
          <w:szCs w:val="22"/>
        </w:rPr>
        <w:t xml:space="preserve">Από φόρους επί αγαθών και υπηρεσιών προβλέπεται ότι θα εισπραχθούν έσοδα ύψους 27.559 εκατ. ευρώ, αυξημένα κατά 682 εκατ. </w:t>
      </w:r>
      <w:r w:rsidR="00DF4D17">
        <w:rPr>
          <w:bCs/>
          <w:sz w:val="22"/>
          <w:szCs w:val="22"/>
        </w:rPr>
        <w:t xml:space="preserve">ευρώ </w:t>
      </w:r>
      <w:r w:rsidRPr="00A07AF3">
        <w:rPr>
          <w:bCs/>
          <w:sz w:val="22"/>
          <w:szCs w:val="22"/>
        </w:rPr>
        <w:t>ή 2,5% έναντι του στόχου του ΜΠΔΣ 2019-2022. Ειδικότερα:</w:t>
      </w:r>
    </w:p>
    <w:p w:rsidR="00DF4D17" w:rsidRDefault="00DF4D17" w:rsidP="00A07AF3">
      <w:pPr>
        <w:jc w:val="both"/>
        <w:rPr>
          <w:bCs/>
          <w:sz w:val="22"/>
          <w:szCs w:val="22"/>
        </w:rPr>
      </w:pPr>
    </w:p>
    <w:p w:rsidR="00DF4D17" w:rsidRDefault="00DF4D17" w:rsidP="00DF4D17">
      <w:pPr>
        <w:ind w:left="284" w:hanging="284"/>
        <w:contextualSpacing/>
        <w:jc w:val="both"/>
        <w:rPr>
          <w:bCs/>
          <w:sz w:val="22"/>
          <w:szCs w:val="22"/>
        </w:rPr>
      </w:pPr>
      <w:r>
        <w:rPr>
          <w:bCs/>
          <w:sz w:val="22"/>
          <w:szCs w:val="22"/>
        </w:rPr>
        <w:t>-</w:t>
      </w:r>
      <w:r>
        <w:rPr>
          <w:bCs/>
          <w:sz w:val="22"/>
          <w:szCs w:val="22"/>
        </w:rPr>
        <w:tab/>
      </w:r>
      <w:r w:rsidR="00A07AF3" w:rsidRPr="00A07AF3">
        <w:rPr>
          <w:bCs/>
          <w:sz w:val="22"/>
          <w:szCs w:val="22"/>
        </w:rPr>
        <w:t xml:space="preserve">Τα έσοδα </w:t>
      </w:r>
      <w:r w:rsidR="00A07AF3" w:rsidRPr="009835FE">
        <w:rPr>
          <w:sz w:val="22"/>
          <w:szCs w:val="22"/>
        </w:rPr>
        <w:t>από</w:t>
      </w:r>
      <w:r w:rsidR="00A07AF3" w:rsidRPr="00A07AF3">
        <w:rPr>
          <w:bCs/>
          <w:sz w:val="22"/>
          <w:szCs w:val="22"/>
        </w:rPr>
        <w:t xml:space="preserve"> ΦΠΑ αναμένεται να ανέλθουν στα 17.210 εκατ. ευρώ, αυξημένα κατά 565 εκατ. ε</w:t>
      </w:r>
      <w:r w:rsidR="00A07AF3" w:rsidRPr="00A07AF3">
        <w:rPr>
          <w:bCs/>
          <w:sz w:val="22"/>
          <w:szCs w:val="22"/>
        </w:rPr>
        <w:t>υ</w:t>
      </w:r>
      <w:r w:rsidR="00A07AF3" w:rsidRPr="00A07AF3">
        <w:rPr>
          <w:bCs/>
          <w:sz w:val="22"/>
          <w:szCs w:val="22"/>
        </w:rPr>
        <w:t>ρώ έναντι του στόχου του ΜΠΔΣ</w:t>
      </w:r>
      <w:r w:rsidR="009835FE">
        <w:rPr>
          <w:bCs/>
          <w:sz w:val="22"/>
          <w:szCs w:val="22"/>
        </w:rPr>
        <w:t xml:space="preserve"> 2019-2022</w:t>
      </w:r>
      <w:r w:rsidR="00A07AF3" w:rsidRPr="00A07AF3">
        <w:rPr>
          <w:bCs/>
          <w:sz w:val="22"/>
          <w:szCs w:val="22"/>
        </w:rPr>
        <w:t>.</w:t>
      </w:r>
    </w:p>
    <w:p w:rsidR="00A07AF3" w:rsidRPr="00A07AF3" w:rsidRDefault="00DF4D17" w:rsidP="00DF4D17">
      <w:pPr>
        <w:ind w:left="284" w:hanging="284"/>
        <w:contextualSpacing/>
        <w:jc w:val="both"/>
        <w:rPr>
          <w:bCs/>
          <w:sz w:val="22"/>
          <w:szCs w:val="22"/>
        </w:rPr>
      </w:pPr>
      <w:r>
        <w:rPr>
          <w:bCs/>
          <w:sz w:val="22"/>
          <w:szCs w:val="22"/>
        </w:rPr>
        <w:t>-</w:t>
      </w:r>
      <w:r>
        <w:rPr>
          <w:bCs/>
          <w:sz w:val="22"/>
          <w:szCs w:val="22"/>
        </w:rPr>
        <w:tab/>
      </w:r>
      <w:r w:rsidR="00A07AF3" w:rsidRPr="00A07AF3">
        <w:rPr>
          <w:bCs/>
          <w:sz w:val="22"/>
          <w:szCs w:val="22"/>
        </w:rPr>
        <w:t>Οι φόροι κατανάλωσης προβλέπονται στα 7.381</w:t>
      </w:r>
      <w:r w:rsidR="00AB6CE4">
        <w:rPr>
          <w:bCs/>
          <w:sz w:val="22"/>
          <w:szCs w:val="22"/>
        </w:rPr>
        <w:t xml:space="preserve"> εκατ. ευρώ</w:t>
      </w:r>
      <w:r w:rsidR="0072453B">
        <w:rPr>
          <w:bCs/>
          <w:sz w:val="22"/>
          <w:szCs w:val="22"/>
        </w:rPr>
        <w:t xml:space="preserve"> και</w:t>
      </w:r>
      <w:r w:rsidR="00A07AF3" w:rsidRPr="00A07AF3">
        <w:rPr>
          <w:bCs/>
          <w:sz w:val="22"/>
          <w:szCs w:val="22"/>
        </w:rPr>
        <w:t xml:space="preserve"> είναι μειωμένοι κατά 51 εκατ. ε</w:t>
      </w:r>
      <w:r w:rsidR="00A07AF3" w:rsidRPr="00A07AF3">
        <w:rPr>
          <w:bCs/>
          <w:sz w:val="22"/>
          <w:szCs w:val="22"/>
        </w:rPr>
        <w:t>υ</w:t>
      </w:r>
      <w:r w:rsidR="00A07AF3" w:rsidRPr="00A07AF3">
        <w:rPr>
          <w:bCs/>
          <w:sz w:val="22"/>
          <w:szCs w:val="22"/>
        </w:rPr>
        <w:t>ρώ έναντι του στόχου</w:t>
      </w:r>
      <w:r w:rsidR="009835FE">
        <w:rPr>
          <w:bCs/>
          <w:sz w:val="22"/>
          <w:szCs w:val="22"/>
        </w:rPr>
        <w:t xml:space="preserve"> του ΜΠΔΣ 2019-2022</w:t>
      </w:r>
      <w:r w:rsidR="00A07AF3" w:rsidRPr="00A07AF3">
        <w:rPr>
          <w:bCs/>
          <w:sz w:val="22"/>
          <w:szCs w:val="22"/>
        </w:rPr>
        <w:t>.</w:t>
      </w:r>
    </w:p>
    <w:p w:rsidR="00A07AF3" w:rsidRPr="00A07AF3" w:rsidRDefault="00A07AF3" w:rsidP="00A07AF3">
      <w:pPr>
        <w:jc w:val="both"/>
        <w:rPr>
          <w:bCs/>
          <w:sz w:val="22"/>
          <w:szCs w:val="22"/>
        </w:rPr>
      </w:pPr>
    </w:p>
    <w:p w:rsidR="00283103" w:rsidRPr="00516BB9" w:rsidRDefault="00283103" w:rsidP="006556BD">
      <w:pPr>
        <w:pStyle w:val="af2"/>
        <w:numPr>
          <w:ilvl w:val="0"/>
          <w:numId w:val="18"/>
        </w:numPr>
        <w:spacing w:after="0" w:line="240" w:lineRule="auto"/>
        <w:ind w:left="284" w:hanging="284"/>
        <w:contextualSpacing w:val="0"/>
        <w:jc w:val="both"/>
        <w:rPr>
          <w:rFonts w:ascii="Times New Roman" w:hAnsi="Times New Roman"/>
          <w:b/>
          <w:i/>
        </w:rPr>
      </w:pPr>
      <w:r>
        <w:rPr>
          <w:rFonts w:ascii="Times New Roman" w:hAnsi="Times New Roman"/>
          <w:b/>
          <w:i/>
        </w:rPr>
        <w:t>Φόροι και δασμοί επί εισαγωγών</w:t>
      </w:r>
    </w:p>
    <w:p w:rsidR="00283103" w:rsidRPr="00516BB9" w:rsidRDefault="00283103" w:rsidP="00283103">
      <w:pPr>
        <w:pStyle w:val="af2"/>
        <w:spacing w:after="0" w:line="240" w:lineRule="auto"/>
        <w:ind w:left="284"/>
        <w:contextualSpacing w:val="0"/>
        <w:jc w:val="both"/>
        <w:rPr>
          <w:rFonts w:ascii="Times New Roman" w:hAnsi="Times New Roman"/>
          <w:b/>
          <w:i/>
        </w:rPr>
      </w:pPr>
    </w:p>
    <w:p w:rsidR="00283103" w:rsidRDefault="00283103" w:rsidP="00283103">
      <w:pPr>
        <w:jc w:val="both"/>
        <w:rPr>
          <w:bCs/>
          <w:sz w:val="22"/>
          <w:szCs w:val="22"/>
        </w:rPr>
      </w:pPr>
      <w:r w:rsidRPr="00A07AF3">
        <w:rPr>
          <w:bCs/>
          <w:sz w:val="22"/>
          <w:szCs w:val="22"/>
        </w:rPr>
        <w:t xml:space="preserve">Από φόρους </w:t>
      </w:r>
      <w:r>
        <w:rPr>
          <w:bCs/>
          <w:sz w:val="22"/>
          <w:szCs w:val="22"/>
        </w:rPr>
        <w:t xml:space="preserve">και δασμούς επί εισαγωγών προβλέπονται έσοδα 237 εκατ. ευρώ, αυξημένα κατά 15 </w:t>
      </w:r>
      <w:r>
        <w:rPr>
          <w:bCs/>
          <w:sz w:val="22"/>
          <w:szCs w:val="22"/>
        </w:rPr>
        <w:t>ε</w:t>
      </w:r>
      <w:r w:rsidR="00135622">
        <w:rPr>
          <w:bCs/>
          <w:sz w:val="22"/>
          <w:szCs w:val="22"/>
        </w:rPr>
        <w:t>κατ. ευρώ</w:t>
      </w:r>
      <w:r>
        <w:rPr>
          <w:bCs/>
          <w:sz w:val="22"/>
          <w:szCs w:val="22"/>
        </w:rPr>
        <w:t xml:space="preserve"> έναντι του στόχου του ΜΠΔΣ 2019-2022.</w:t>
      </w:r>
    </w:p>
    <w:p w:rsidR="00171921" w:rsidRPr="00A07AF3" w:rsidRDefault="00171921" w:rsidP="00283103">
      <w:pPr>
        <w:jc w:val="both"/>
        <w:rPr>
          <w:bCs/>
          <w:sz w:val="22"/>
          <w:szCs w:val="22"/>
        </w:rPr>
      </w:pPr>
    </w:p>
    <w:p w:rsidR="00A07AF3" w:rsidRPr="00516BB9" w:rsidRDefault="00A07AF3" w:rsidP="006556BD">
      <w:pPr>
        <w:pStyle w:val="af2"/>
        <w:numPr>
          <w:ilvl w:val="0"/>
          <w:numId w:val="18"/>
        </w:numPr>
        <w:spacing w:after="0" w:line="240" w:lineRule="auto"/>
        <w:ind w:left="284" w:hanging="284"/>
        <w:contextualSpacing w:val="0"/>
        <w:jc w:val="both"/>
        <w:rPr>
          <w:rFonts w:ascii="Times New Roman" w:hAnsi="Times New Roman"/>
          <w:b/>
          <w:i/>
        </w:rPr>
      </w:pPr>
      <w:r w:rsidRPr="00516BB9">
        <w:rPr>
          <w:rFonts w:ascii="Times New Roman" w:hAnsi="Times New Roman"/>
          <w:b/>
          <w:i/>
        </w:rPr>
        <w:t>Τακτικοί φόροι ακίνητης περιουσίας</w:t>
      </w:r>
    </w:p>
    <w:p w:rsidR="00A07AF3" w:rsidRPr="00516BB9" w:rsidRDefault="00A07AF3" w:rsidP="00516BB9">
      <w:pPr>
        <w:pStyle w:val="af2"/>
        <w:spacing w:after="0" w:line="240" w:lineRule="auto"/>
        <w:ind w:left="284"/>
        <w:contextualSpacing w:val="0"/>
        <w:jc w:val="both"/>
        <w:rPr>
          <w:rFonts w:ascii="Times New Roman" w:hAnsi="Times New Roman"/>
          <w:b/>
          <w:i/>
        </w:rPr>
      </w:pPr>
    </w:p>
    <w:p w:rsidR="00A07AF3" w:rsidRPr="00A07AF3" w:rsidRDefault="00A07AF3" w:rsidP="00A07AF3">
      <w:pPr>
        <w:jc w:val="both"/>
        <w:rPr>
          <w:bCs/>
          <w:sz w:val="22"/>
          <w:szCs w:val="22"/>
        </w:rPr>
      </w:pPr>
      <w:r w:rsidRPr="00A07AF3">
        <w:rPr>
          <w:bCs/>
          <w:sz w:val="22"/>
          <w:szCs w:val="22"/>
        </w:rPr>
        <w:t>Από τους τακτικούς φόρους ακίνητης περιουσίας, αναμένεται να εισπραχθούν έσοδα ύψους 2.</w:t>
      </w:r>
      <w:r w:rsidR="00283103">
        <w:rPr>
          <w:bCs/>
          <w:sz w:val="22"/>
          <w:szCs w:val="22"/>
        </w:rPr>
        <w:t>801</w:t>
      </w:r>
      <w:r w:rsidRPr="00A07AF3">
        <w:rPr>
          <w:bCs/>
          <w:sz w:val="22"/>
          <w:szCs w:val="22"/>
        </w:rPr>
        <w:t xml:space="preserve"> </w:t>
      </w:r>
      <w:r w:rsidRPr="00A07AF3">
        <w:rPr>
          <w:bCs/>
          <w:sz w:val="22"/>
          <w:szCs w:val="22"/>
        </w:rPr>
        <w:t>ε</w:t>
      </w:r>
      <w:r w:rsidRPr="00A07AF3">
        <w:rPr>
          <w:bCs/>
          <w:sz w:val="22"/>
          <w:szCs w:val="22"/>
        </w:rPr>
        <w:t>κατ. ευρώ,</w:t>
      </w:r>
      <w:r w:rsidR="00283103">
        <w:rPr>
          <w:bCs/>
          <w:sz w:val="22"/>
          <w:szCs w:val="22"/>
        </w:rPr>
        <w:t xml:space="preserve"> μειωμένα κατά 215</w:t>
      </w:r>
      <w:r w:rsidRPr="00A07AF3">
        <w:rPr>
          <w:bCs/>
          <w:sz w:val="22"/>
          <w:szCs w:val="22"/>
        </w:rPr>
        <w:t xml:space="preserve"> εκατ. ευρώ έναντι του στόχου του ΜΠΔΣ</w:t>
      </w:r>
      <w:r w:rsidR="00CC3A06">
        <w:rPr>
          <w:bCs/>
          <w:sz w:val="22"/>
          <w:szCs w:val="22"/>
        </w:rPr>
        <w:t xml:space="preserve"> 2019-2022</w:t>
      </w:r>
      <w:r w:rsidRPr="00A07AF3">
        <w:rPr>
          <w:bCs/>
          <w:sz w:val="22"/>
          <w:szCs w:val="22"/>
        </w:rPr>
        <w:t>, λόγω της εφα</w:t>
      </w:r>
      <w:r w:rsidRPr="00A07AF3">
        <w:rPr>
          <w:bCs/>
          <w:sz w:val="22"/>
          <w:szCs w:val="22"/>
        </w:rPr>
        <w:t>ρ</w:t>
      </w:r>
      <w:r w:rsidRPr="00A07AF3">
        <w:rPr>
          <w:bCs/>
          <w:sz w:val="22"/>
          <w:szCs w:val="22"/>
        </w:rPr>
        <w:t>μο</w:t>
      </w:r>
      <w:r w:rsidR="00CC3A06">
        <w:rPr>
          <w:bCs/>
          <w:sz w:val="22"/>
          <w:szCs w:val="22"/>
        </w:rPr>
        <w:t xml:space="preserve">γής της δημοσιονομικής παρέμβασης </w:t>
      </w:r>
      <w:r w:rsidRPr="00A07AF3">
        <w:rPr>
          <w:bCs/>
          <w:sz w:val="22"/>
          <w:szCs w:val="22"/>
        </w:rPr>
        <w:t xml:space="preserve">μείωσης </w:t>
      </w:r>
      <w:r w:rsidR="00CC3A06">
        <w:rPr>
          <w:bCs/>
          <w:sz w:val="22"/>
          <w:szCs w:val="22"/>
        </w:rPr>
        <w:t xml:space="preserve">του ΕΝΦΙΑ </w:t>
      </w:r>
      <w:r w:rsidR="00135622">
        <w:rPr>
          <w:bCs/>
          <w:sz w:val="22"/>
          <w:szCs w:val="22"/>
        </w:rPr>
        <w:t xml:space="preserve">έτους </w:t>
      </w:r>
      <w:r w:rsidR="00CC3A06">
        <w:rPr>
          <w:bCs/>
          <w:sz w:val="22"/>
          <w:szCs w:val="22"/>
        </w:rPr>
        <w:t xml:space="preserve">2019 </w:t>
      </w:r>
      <w:r w:rsidR="00283103">
        <w:rPr>
          <w:bCs/>
          <w:sz w:val="22"/>
          <w:szCs w:val="22"/>
        </w:rPr>
        <w:t>κατά 10% μεσοσταθμικά, ή 260</w:t>
      </w:r>
      <w:r w:rsidRPr="00A07AF3">
        <w:rPr>
          <w:bCs/>
          <w:sz w:val="22"/>
          <w:szCs w:val="22"/>
        </w:rPr>
        <w:t xml:space="preserve"> εκατ. ευρώ.</w:t>
      </w:r>
    </w:p>
    <w:p w:rsidR="00A07AF3" w:rsidRDefault="00A07AF3" w:rsidP="00A07AF3">
      <w:pPr>
        <w:jc w:val="both"/>
        <w:rPr>
          <w:b/>
          <w:bCs/>
          <w:i/>
          <w:sz w:val="22"/>
          <w:szCs w:val="22"/>
        </w:rPr>
      </w:pPr>
    </w:p>
    <w:p w:rsidR="008C4267" w:rsidRDefault="008C4267" w:rsidP="00A07AF3">
      <w:pPr>
        <w:jc w:val="both"/>
        <w:rPr>
          <w:b/>
          <w:bCs/>
          <w:i/>
          <w:sz w:val="22"/>
          <w:szCs w:val="22"/>
        </w:rPr>
      </w:pPr>
    </w:p>
    <w:p w:rsidR="008C4267" w:rsidRPr="00A07AF3" w:rsidRDefault="008C4267" w:rsidP="00A07AF3">
      <w:pPr>
        <w:jc w:val="both"/>
        <w:rPr>
          <w:b/>
          <w:bCs/>
          <w:i/>
          <w:sz w:val="22"/>
          <w:szCs w:val="22"/>
        </w:rPr>
      </w:pPr>
    </w:p>
    <w:p w:rsidR="00A07AF3" w:rsidRPr="00516BB9" w:rsidRDefault="00A07AF3" w:rsidP="006556BD">
      <w:pPr>
        <w:pStyle w:val="af2"/>
        <w:numPr>
          <w:ilvl w:val="0"/>
          <w:numId w:val="18"/>
        </w:numPr>
        <w:spacing w:after="0" w:line="240" w:lineRule="auto"/>
        <w:ind w:left="284" w:hanging="284"/>
        <w:contextualSpacing w:val="0"/>
        <w:jc w:val="both"/>
        <w:rPr>
          <w:rFonts w:ascii="Times New Roman" w:hAnsi="Times New Roman"/>
          <w:b/>
          <w:i/>
        </w:rPr>
      </w:pPr>
      <w:r w:rsidRPr="00516BB9">
        <w:rPr>
          <w:rFonts w:ascii="Times New Roman" w:hAnsi="Times New Roman"/>
          <w:b/>
          <w:i/>
        </w:rPr>
        <w:lastRenderedPageBreak/>
        <w:t>Λοιποί φόροι παραγωγής</w:t>
      </w:r>
    </w:p>
    <w:p w:rsidR="00A07AF3" w:rsidRPr="00A07AF3" w:rsidRDefault="00A07AF3" w:rsidP="00A07AF3">
      <w:pPr>
        <w:jc w:val="both"/>
        <w:rPr>
          <w:bCs/>
          <w:sz w:val="22"/>
          <w:szCs w:val="22"/>
        </w:rPr>
      </w:pPr>
    </w:p>
    <w:p w:rsidR="00A07AF3" w:rsidRPr="00A07AF3" w:rsidRDefault="00A07AF3" w:rsidP="00A07AF3">
      <w:pPr>
        <w:jc w:val="both"/>
        <w:rPr>
          <w:bCs/>
          <w:sz w:val="22"/>
          <w:szCs w:val="22"/>
        </w:rPr>
      </w:pPr>
      <w:r w:rsidRPr="00A07AF3">
        <w:rPr>
          <w:bCs/>
          <w:sz w:val="22"/>
          <w:szCs w:val="22"/>
        </w:rPr>
        <w:t xml:space="preserve">Από τους λοιπούς φόρους παραγωγής προβλέπεται ότι θα εισπραχθούν 944 εκατ. ευρώ, πλησίον του στόχου του ΜΠΔΣ </w:t>
      </w:r>
      <w:r w:rsidR="00CC3A06">
        <w:rPr>
          <w:bCs/>
          <w:sz w:val="22"/>
          <w:szCs w:val="22"/>
        </w:rPr>
        <w:t>2019-2022 ύψους</w:t>
      </w:r>
      <w:r w:rsidRPr="00A07AF3">
        <w:rPr>
          <w:bCs/>
          <w:sz w:val="22"/>
          <w:szCs w:val="22"/>
        </w:rPr>
        <w:t xml:space="preserve"> 955 εκατ. ευρώ. </w:t>
      </w:r>
    </w:p>
    <w:p w:rsidR="00A07AF3" w:rsidRPr="00A07AF3" w:rsidRDefault="00A07AF3" w:rsidP="00A07AF3">
      <w:pPr>
        <w:jc w:val="both"/>
        <w:rPr>
          <w:bCs/>
          <w:sz w:val="22"/>
          <w:szCs w:val="22"/>
        </w:rPr>
      </w:pPr>
    </w:p>
    <w:p w:rsidR="00A07AF3" w:rsidRPr="00516BB9" w:rsidRDefault="00A07AF3" w:rsidP="006556BD">
      <w:pPr>
        <w:pStyle w:val="af2"/>
        <w:numPr>
          <w:ilvl w:val="0"/>
          <w:numId w:val="18"/>
        </w:numPr>
        <w:spacing w:after="0" w:line="240" w:lineRule="auto"/>
        <w:ind w:left="284" w:hanging="284"/>
        <w:contextualSpacing w:val="0"/>
        <w:jc w:val="both"/>
        <w:rPr>
          <w:rFonts w:ascii="Times New Roman" w:hAnsi="Times New Roman"/>
          <w:b/>
          <w:i/>
        </w:rPr>
      </w:pPr>
      <w:r w:rsidRPr="00516BB9">
        <w:rPr>
          <w:rFonts w:ascii="Times New Roman" w:hAnsi="Times New Roman"/>
          <w:b/>
          <w:i/>
        </w:rPr>
        <w:t>Φόρος εισοδήματος</w:t>
      </w:r>
    </w:p>
    <w:p w:rsidR="00A07AF3" w:rsidRPr="00A07AF3" w:rsidRDefault="00A07AF3" w:rsidP="00A07AF3">
      <w:pPr>
        <w:jc w:val="both"/>
        <w:rPr>
          <w:b/>
          <w:bCs/>
          <w:i/>
          <w:sz w:val="22"/>
          <w:szCs w:val="22"/>
        </w:rPr>
      </w:pPr>
    </w:p>
    <w:p w:rsidR="00A07AF3" w:rsidRPr="00A07AF3" w:rsidRDefault="00A07AF3" w:rsidP="00A07AF3">
      <w:pPr>
        <w:jc w:val="both"/>
        <w:rPr>
          <w:bCs/>
          <w:sz w:val="22"/>
          <w:szCs w:val="22"/>
        </w:rPr>
      </w:pPr>
      <w:r w:rsidRPr="00A07AF3">
        <w:rPr>
          <w:bCs/>
          <w:sz w:val="22"/>
          <w:szCs w:val="22"/>
        </w:rPr>
        <w:t>Από το φόρο εισοδήματος αναμένεται να εισπραχθούν έσοδα ύψους 16.</w:t>
      </w:r>
      <w:r w:rsidR="005052C1">
        <w:rPr>
          <w:bCs/>
          <w:sz w:val="22"/>
          <w:szCs w:val="22"/>
        </w:rPr>
        <w:t>796</w:t>
      </w:r>
      <w:r w:rsidRPr="00A07AF3">
        <w:rPr>
          <w:bCs/>
          <w:sz w:val="22"/>
          <w:szCs w:val="22"/>
        </w:rPr>
        <w:t xml:space="preserve"> εκατ. ευρώ, παρουσιάζο</w:t>
      </w:r>
      <w:r w:rsidRPr="00A07AF3">
        <w:rPr>
          <w:bCs/>
          <w:sz w:val="22"/>
          <w:szCs w:val="22"/>
        </w:rPr>
        <w:t>ν</w:t>
      </w:r>
      <w:r w:rsidRPr="00A07AF3">
        <w:rPr>
          <w:bCs/>
          <w:sz w:val="22"/>
          <w:szCs w:val="22"/>
        </w:rPr>
        <w:t xml:space="preserve">τας αύξηση κατά </w:t>
      </w:r>
      <w:r w:rsidR="005052C1">
        <w:rPr>
          <w:bCs/>
          <w:sz w:val="22"/>
          <w:szCs w:val="22"/>
        </w:rPr>
        <w:t>298</w:t>
      </w:r>
      <w:r w:rsidRPr="00A07AF3">
        <w:rPr>
          <w:bCs/>
          <w:sz w:val="22"/>
          <w:szCs w:val="22"/>
        </w:rPr>
        <w:t xml:space="preserve"> εκατ. ευρώ ή </w:t>
      </w:r>
      <w:r w:rsidR="00405944" w:rsidRPr="00E26C82">
        <w:rPr>
          <w:bCs/>
          <w:sz w:val="22"/>
          <w:szCs w:val="22"/>
        </w:rPr>
        <w:t>1,8</w:t>
      </w:r>
      <w:r w:rsidR="00A07ABC">
        <w:rPr>
          <w:bCs/>
          <w:sz w:val="22"/>
          <w:szCs w:val="22"/>
        </w:rPr>
        <w:t>%</w:t>
      </w:r>
      <w:r w:rsidRPr="00A07AF3">
        <w:rPr>
          <w:bCs/>
          <w:sz w:val="22"/>
          <w:szCs w:val="22"/>
        </w:rPr>
        <w:t xml:space="preserve"> έναντι του στόχου του ΜΠΔΣ 2019-2022. Ειδικότερα:</w:t>
      </w:r>
    </w:p>
    <w:p w:rsidR="00A07AF3" w:rsidRDefault="00A07AF3" w:rsidP="00A07AF3">
      <w:pPr>
        <w:jc w:val="both"/>
        <w:rPr>
          <w:bCs/>
          <w:sz w:val="22"/>
          <w:szCs w:val="22"/>
        </w:rPr>
      </w:pPr>
    </w:p>
    <w:p w:rsidR="005052C1" w:rsidRDefault="005052C1" w:rsidP="005052C1">
      <w:pPr>
        <w:ind w:left="284" w:hanging="284"/>
        <w:contextualSpacing/>
        <w:jc w:val="both"/>
        <w:rPr>
          <w:bCs/>
          <w:sz w:val="22"/>
          <w:szCs w:val="22"/>
        </w:rPr>
      </w:pPr>
      <w:r>
        <w:rPr>
          <w:bCs/>
          <w:sz w:val="22"/>
          <w:szCs w:val="22"/>
        </w:rPr>
        <w:t>-</w:t>
      </w:r>
      <w:r>
        <w:rPr>
          <w:bCs/>
          <w:sz w:val="22"/>
          <w:szCs w:val="22"/>
        </w:rPr>
        <w:tab/>
      </w:r>
      <w:r w:rsidR="00A07AF3" w:rsidRPr="00A07AF3">
        <w:rPr>
          <w:bCs/>
          <w:sz w:val="22"/>
          <w:szCs w:val="22"/>
        </w:rPr>
        <w:t>Ο φόρος εισοδήματος φυσικών προσώπων προβλέπεται να διαμορφωθεί στα 11.</w:t>
      </w:r>
      <w:r>
        <w:rPr>
          <w:bCs/>
          <w:sz w:val="22"/>
          <w:szCs w:val="22"/>
        </w:rPr>
        <w:t>070</w:t>
      </w:r>
      <w:r w:rsidR="00A07AF3" w:rsidRPr="00A07AF3">
        <w:rPr>
          <w:bCs/>
          <w:sz w:val="22"/>
          <w:szCs w:val="22"/>
        </w:rPr>
        <w:t xml:space="preserve"> εκατ. ευρώ</w:t>
      </w:r>
      <w:r w:rsidR="00A07ABC">
        <w:rPr>
          <w:bCs/>
          <w:sz w:val="22"/>
          <w:szCs w:val="22"/>
        </w:rPr>
        <w:t>,</w:t>
      </w:r>
      <w:r w:rsidR="00A07AF3" w:rsidRPr="00A07AF3">
        <w:rPr>
          <w:bCs/>
          <w:sz w:val="22"/>
          <w:szCs w:val="22"/>
        </w:rPr>
        <w:t xml:space="preserve"> αυξη</w:t>
      </w:r>
      <w:r>
        <w:rPr>
          <w:bCs/>
          <w:sz w:val="22"/>
          <w:szCs w:val="22"/>
        </w:rPr>
        <w:t>μένος κατά 211</w:t>
      </w:r>
      <w:r w:rsidR="00A07AF3" w:rsidRPr="00A07AF3">
        <w:rPr>
          <w:bCs/>
          <w:sz w:val="22"/>
          <w:szCs w:val="22"/>
        </w:rPr>
        <w:t xml:space="preserve"> εκατ. ευρώ έναντι του στόχου, ως αποτέλεσμα </w:t>
      </w:r>
      <w:r w:rsidR="00813733">
        <w:rPr>
          <w:bCs/>
          <w:sz w:val="22"/>
          <w:szCs w:val="22"/>
        </w:rPr>
        <w:t xml:space="preserve">της δευτερογενούς επίδρασης </w:t>
      </w:r>
      <w:r w:rsidR="00A07AF3" w:rsidRPr="00A07AF3">
        <w:rPr>
          <w:bCs/>
          <w:sz w:val="22"/>
          <w:szCs w:val="22"/>
        </w:rPr>
        <w:t>των συνταξιοδοτικών παρεμβάσεων.</w:t>
      </w:r>
    </w:p>
    <w:p w:rsidR="00A07AF3" w:rsidRDefault="005052C1" w:rsidP="005052C1">
      <w:pPr>
        <w:ind w:left="284" w:hanging="284"/>
        <w:contextualSpacing/>
        <w:jc w:val="both"/>
        <w:rPr>
          <w:bCs/>
          <w:sz w:val="22"/>
          <w:szCs w:val="22"/>
        </w:rPr>
      </w:pPr>
      <w:r>
        <w:rPr>
          <w:bCs/>
          <w:sz w:val="22"/>
          <w:szCs w:val="22"/>
        </w:rPr>
        <w:t>-</w:t>
      </w:r>
      <w:r>
        <w:rPr>
          <w:bCs/>
          <w:sz w:val="22"/>
          <w:szCs w:val="22"/>
        </w:rPr>
        <w:tab/>
      </w:r>
      <w:r w:rsidR="00A07AF3" w:rsidRPr="00A07AF3">
        <w:rPr>
          <w:bCs/>
          <w:sz w:val="22"/>
          <w:szCs w:val="22"/>
        </w:rPr>
        <w:t>Ο φόρος εισοδήματος νομικών προσώπων προβλέπεται να παρουσιάσει αύξηση κατά 162 εκατ. ευρώ σε σχέση με το στόχο και να διαμορφωθεί στα 4.420 εκατ. ευρώ.</w:t>
      </w:r>
    </w:p>
    <w:p w:rsidR="005052C1" w:rsidRPr="00A07AF3" w:rsidRDefault="005052C1" w:rsidP="005052C1">
      <w:pPr>
        <w:ind w:left="284" w:hanging="284"/>
        <w:contextualSpacing/>
        <w:jc w:val="both"/>
        <w:rPr>
          <w:bCs/>
          <w:sz w:val="22"/>
          <w:szCs w:val="22"/>
        </w:rPr>
      </w:pPr>
    </w:p>
    <w:p w:rsidR="00817B36" w:rsidRPr="00516BB9" w:rsidRDefault="00817B36" w:rsidP="006556BD">
      <w:pPr>
        <w:pStyle w:val="af2"/>
        <w:numPr>
          <w:ilvl w:val="0"/>
          <w:numId w:val="18"/>
        </w:numPr>
        <w:spacing w:after="0" w:line="240" w:lineRule="auto"/>
        <w:ind w:left="284" w:hanging="284"/>
        <w:contextualSpacing w:val="0"/>
        <w:jc w:val="both"/>
        <w:rPr>
          <w:rFonts w:ascii="Times New Roman" w:hAnsi="Times New Roman"/>
          <w:b/>
          <w:i/>
        </w:rPr>
      </w:pPr>
      <w:r w:rsidRPr="00516BB9">
        <w:rPr>
          <w:rFonts w:ascii="Times New Roman" w:hAnsi="Times New Roman"/>
          <w:b/>
          <w:i/>
        </w:rPr>
        <w:t>Φόροι</w:t>
      </w:r>
      <w:r>
        <w:rPr>
          <w:rFonts w:ascii="Times New Roman" w:hAnsi="Times New Roman"/>
          <w:b/>
          <w:i/>
        </w:rPr>
        <w:t xml:space="preserve"> κεφαλαίου</w:t>
      </w:r>
    </w:p>
    <w:p w:rsidR="00817B36" w:rsidRPr="00A07AF3" w:rsidRDefault="00817B36" w:rsidP="00817B36">
      <w:pPr>
        <w:jc w:val="both"/>
        <w:rPr>
          <w:b/>
          <w:bCs/>
          <w:i/>
          <w:sz w:val="22"/>
          <w:szCs w:val="22"/>
        </w:rPr>
      </w:pPr>
    </w:p>
    <w:p w:rsidR="00817B36" w:rsidRPr="00A07AF3" w:rsidRDefault="00817B36" w:rsidP="00817B36">
      <w:pPr>
        <w:jc w:val="both"/>
        <w:rPr>
          <w:bCs/>
          <w:sz w:val="22"/>
          <w:szCs w:val="22"/>
        </w:rPr>
      </w:pPr>
      <w:r>
        <w:rPr>
          <w:bCs/>
          <w:sz w:val="22"/>
          <w:szCs w:val="22"/>
        </w:rPr>
        <w:t>Οι φόροι κεφαλαίου προβλέπεται να ανέλθουν σε 159 εκατ. ευρώ, αυξημέν</w:t>
      </w:r>
      <w:r w:rsidR="005052C1">
        <w:rPr>
          <w:bCs/>
          <w:sz w:val="22"/>
          <w:szCs w:val="22"/>
        </w:rPr>
        <w:t>οι</w:t>
      </w:r>
      <w:r w:rsidR="00A07ABC">
        <w:rPr>
          <w:bCs/>
          <w:sz w:val="22"/>
          <w:szCs w:val="22"/>
        </w:rPr>
        <w:t xml:space="preserve"> κατά 8 εκατ. ευρώ</w:t>
      </w:r>
      <w:r>
        <w:rPr>
          <w:bCs/>
          <w:sz w:val="22"/>
          <w:szCs w:val="22"/>
        </w:rPr>
        <w:t xml:space="preserve"> ένα</w:t>
      </w:r>
      <w:r>
        <w:rPr>
          <w:bCs/>
          <w:sz w:val="22"/>
          <w:szCs w:val="22"/>
        </w:rPr>
        <w:t>ν</w:t>
      </w:r>
      <w:r>
        <w:rPr>
          <w:bCs/>
          <w:sz w:val="22"/>
          <w:szCs w:val="22"/>
        </w:rPr>
        <w:t>τι του στόχου του ΜΠΔΣ 2019-2022.</w:t>
      </w:r>
    </w:p>
    <w:p w:rsidR="00A07AF3" w:rsidRPr="00A07AF3" w:rsidRDefault="00A07AF3" w:rsidP="00A07AF3">
      <w:pPr>
        <w:jc w:val="both"/>
        <w:rPr>
          <w:bCs/>
          <w:sz w:val="22"/>
          <w:szCs w:val="22"/>
        </w:rPr>
      </w:pPr>
    </w:p>
    <w:p w:rsidR="00A07AF3" w:rsidRPr="00516BB9" w:rsidRDefault="00A07AF3" w:rsidP="006556BD">
      <w:pPr>
        <w:pStyle w:val="af2"/>
        <w:numPr>
          <w:ilvl w:val="0"/>
          <w:numId w:val="18"/>
        </w:numPr>
        <w:spacing w:after="0" w:line="240" w:lineRule="auto"/>
        <w:ind w:left="284" w:hanging="284"/>
        <w:contextualSpacing w:val="0"/>
        <w:jc w:val="both"/>
        <w:rPr>
          <w:rFonts w:ascii="Times New Roman" w:hAnsi="Times New Roman"/>
          <w:b/>
          <w:i/>
        </w:rPr>
      </w:pPr>
      <w:r w:rsidRPr="00516BB9">
        <w:rPr>
          <w:rFonts w:ascii="Times New Roman" w:hAnsi="Times New Roman"/>
          <w:b/>
          <w:i/>
        </w:rPr>
        <w:t>Λοιποί τρέχοντες φόροι</w:t>
      </w:r>
    </w:p>
    <w:p w:rsidR="00A07AF3" w:rsidRPr="00A07AF3" w:rsidRDefault="00A07AF3" w:rsidP="00A07AF3">
      <w:pPr>
        <w:jc w:val="both"/>
        <w:rPr>
          <w:b/>
          <w:bCs/>
          <w:i/>
          <w:sz w:val="22"/>
          <w:szCs w:val="22"/>
        </w:rPr>
      </w:pPr>
    </w:p>
    <w:p w:rsidR="00A07AF3" w:rsidRPr="00A07AF3" w:rsidRDefault="00A07AF3" w:rsidP="00A07AF3">
      <w:pPr>
        <w:jc w:val="both"/>
        <w:rPr>
          <w:bCs/>
          <w:sz w:val="22"/>
          <w:szCs w:val="22"/>
        </w:rPr>
      </w:pPr>
      <w:r w:rsidRPr="00A07AF3">
        <w:rPr>
          <w:bCs/>
          <w:sz w:val="22"/>
          <w:szCs w:val="22"/>
        </w:rPr>
        <w:t>Τα έσοδα από τους λοιπούς τρέχοντες φόρους προβλέπεται να ανέλθουν στο ποσό των 2.631 εκατ. ευρ</w:t>
      </w:r>
      <w:r w:rsidR="003646DE">
        <w:rPr>
          <w:bCs/>
          <w:sz w:val="22"/>
          <w:szCs w:val="22"/>
        </w:rPr>
        <w:t>ώ, αυξημένα κατά 158 εκατ. ευρώ</w:t>
      </w:r>
      <w:r w:rsidRPr="00A07AF3">
        <w:rPr>
          <w:bCs/>
          <w:sz w:val="22"/>
          <w:szCs w:val="22"/>
        </w:rPr>
        <w:t xml:space="preserve"> έναντι του στόχου του ΜΠΔΣ 2019-2022, λόγω αυξημένων </w:t>
      </w:r>
      <w:r w:rsidRPr="00A07AF3">
        <w:rPr>
          <w:bCs/>
          <w:sz w:val="22"/>
          <w:szCs w:val="22"/>
        </w:rPr>
        <w:t>ε</w:t>
      </w:r>
      <w:r w:rsidRPr="00A07AF3">
        <w:rPr>
          <w:bCs/>
          <w:sz w:val="22"/>
          <w:szCs w:val="22"/>
        </w:rPr>
        <w:t>σόδων από τα διάφορα μη ταξινομημένα φορολογικά έσοδα.</w:t>
      </w:r>
    </w:p>
    <w:p w:rsidR="00A07AF3" w:rsidRPr="00A07AF3" w:rsidRDefault="00A07AF3" w:rsidP="00A07AF3">
      <w:pPr>
        <w:jc w:val="both"/>
        <w:rPr>
          <w:b/>
          <w:bCs/>
          <w:i/>
          <w:sz w:val="22"/>
          <w:szCs w:val="22"/>
        </w:rPr>
      </w:pPr>
    </w:p>
    <w:p w:rsidR="00817B36" w:rsidRPr="00A07AF3" w:rsidRDefault="00817B36" w:rsidP="00817B36">
      <w:pPr>
        <w:jc w:val="both"/>
        <w:rPr>
          <w:rFonts w:ascii="Arial Narrow" w:hAnsi="Arial Narrow"/>
          <w:b/>
          <w:bCs/>
          <w:i/>
          <w:sz w:val="22"/>
          <w:szCs w:val="22"/>
        </w:rPr>
      </w:pPr>
      <w:r>
        <w:rPr>
          <w:rFonts w:ascii="Arial Narrow" w:hAnsi="Arial Narrow"/>
          <w:b/>
          <w:bCs/>
          <w:i/>
          <w:sz w:val="22"/>
          <w:szCs w:val="22"/>
        </w:rPr>
        <w:t>Κοινωνικές εισφορές</w:t>
      </w:r>
    </w:p>
    <w:p w:rsidR="00817B36" w:rsidRPr="00A07AF3" w:rsidRDefault="00817B36" w:rsidP="00817B36">
      <w:pPr>
        <w:jc w:val="both"/>
        <w:rPr>
          <w:bCs/>
          <w:sz w:val="22"/>
          <w:szCs w:val="22"/>
        </w:rPr>
      </w:pPr>
    </w:p>
    <w:p w:rsidR="00817B36" w:rsidRDefault="00817B36" w:rsidP="00817B36">
      <w:pPr>
        <w:jc w:val="both"/>
        <w:rPr>
          <w:bCs/>
          <w:sz w:val="22"/>
          <w:szCs w:val="22"/>
        </w:rPr>
      </w:pPr>
      <w:r w:rsidRPr="00A07AF3">
        <w:rPr>
          <w:bCs/>
          <w:sz w:val="22"/>
          <w:szCs w:val="22"/>
        </w:rPr>
        <w:t xml:space="preserve">Τα έσοδα από </w:t>
      </w:r>
      <w:r>
        <w:rPr>
          <w:bCs/>
          <w:sz w:val="22"/>
          <w:szCs w:val="22"/>
        </w:rPr>
        <w:t>κοινωνικές εισφορές προβλέπεται να διαμορφωθούν στα 58 εκατ. ε</w:t>
      </w:r>
      <w:r w:rsidR="00A07ABC">
        <w:rPr>
          <w:bCs/>
          <w:sz w:val="22"/>
          <w:szCs w:val="22"/>
        </w:rPr>
        <w:t>υρώ, αυξημένα κατά 8 εκατ. ευρώ</w:t>
      </w:r>
      <w:r>
        <w:rPr>
          <w:bCs/>
          <w:sz w:val="22"/>
          <w:szCs w:val="22"/>
        </w:rPr>
        <w:t xml:space="preserve"> έναντι του στόχου του ΜΠΔΣ 2019-2022.</w:t>
      </w:r>
    </w:p>
    <w:p w:rsidR="00817B36" w:rsidRDefault="00817B36" w:rsidP="00817B36">
      <w:pPr>
        <w:jc w:val="both"/>
        <w:rPr>
          <w:rFonts w:ascii="Arial Narrow" w:hAnsi="Arial Narrow"/>
          <w:b/>
          <w:bCs/>
          <w:i/>
          <w:sz w:val="22"/>
          <w:szCs w:val="22"/>
        </w:rPr>
      </w:pPr>
    </w:p>
    <w:p w:rsidR="00A07AF3" w:rsidRPr="00A07AF3" w:rsidRDefault="00A07AF3" w:rsidP="00A07AF3">
      <w:pPr>
        <w:jc w:val="both"/>
        <w:rPr>
          <w:rFonts w:ascii="Arial Narrow" w:hAnsi="Arial Narrow"/>
          <w:b/>
          <w:bCs/>
          <w:i/>
          <w:sz w:val="22"/>
          <w:szCs w:val="22"/>
        </w:rPr>
      </w:pPr>
      <w:r w:rsidRPr="00A07AF3">
        <w:rPr>
          <w:rFonts w:ascii="Arial Narrow" w:hAnsi="Arial Narrow"/>
          <w:b/>
          <w:bCs/>
          <w:i/>
          <w:sz w:val="22"/>
          <w:szCs w:val="22"/>
        </w:rPr>
        <w:t>Μεταβιβάσεις</w:t>
      </w:r>
    </w:p>
    <w:p w:rsidR="00A07AF3" w:rsidRPr="00A07AF3" w:rsidRDefault="00A07AF3" w:rsidP="00A07AF3">
      <w:pPr>
        <w:jc w:val="both"/>
        <w:rPr>
          <w:bCs/>
          <w:sz w:val="22"/>
          <w:szCs w:val="22"/>
        </w:rPr>
      </w:pPr>
    </w:p>
    <w:p w:rsidR="00A07AF3" w:rsidRPr="00A07AF3" w:rsidRDefault="00A07AF3" w:rsidP="00A07AF3">
      <w:pPr>
        <w:jc w:val="both"/>
        <w:rPr>
          <w:bCs/>
          <w:sz w:val="22"/>
          <w:szCs w:val="22"/>
        </w:rPr>
      </w:pPr>
      <w:r w:rsidRPr="00A07AF3">
        <w:rPr>
          <w:bCs/>
          <w:sz w:val="22"/>
          <w:szCs w:val="22"/>
        </w:rPr>
        <w:t>Τα έσοδα από μεταβιβάσεις αναμένεται να ανέλθουν στα 4.0</w:t>
      </w:r>
      <w:r w:rsidR="002F22B0">
        <w:rPr>
          <w:bCs/>
          <w:sz w:val="22"/>
          <w:szCs w:val="22"/>
        </w:rPr>
        <w:t>49 εκατ. ευρώ, μειωμένα κατά 2</w:t>
      </w:r>
      <w:r w:rsidRPr="00A07AF3">
        <w:rPr>
          <w:bCs/>
          <w:sz w:val="22"/>
          <w:szCs w:val="22"/>
        </w:rPr>
        <w:t>8 εκατ. ευρώ έναντι το</w:t>
      </w:r>
      <w:r w:rsidR="004052B7">
        <w:rPr>
          <w:bCs/>
          <w:sz w:val="22"/>
          <w:szCs w:val="22"/>
        </w:rPr>
        <w:t>υ στόχου του ΜΠΔΣ 2019-2022. Εξ</w:t>
      </w:r>
      <w:r w:rsidRPr="00A07AF3">
        <w:rPr>
          <w:bCs/>
          <w:sz w:val="22"/>
          <w:szCs w:val="22"/>
        </w:rPr>
        <w:t xml:space="preserve"> αυτών, ποσό 291 εκατ. ευρώ θα προέλθει από τη μεταφορά αποδόσεων λόγω της διακράτησης ομολόγων του Ελληνικού Δημοσίου στα χαρτοφυλάκια των Κεντρικών Τραπεζών του Ευρωσυστήματος (ANFAs), καθώς και από το Π</w:t>
      </w:r>
      <w:r w:rsidR="0088518E">
        <w:rPr>
          <w:bCs/>
          <w:sz w:val="22"/>
          <w:szCs w:val="22"/>
        </w:rPr>
        <w:t>ρόγραμμα Αγοράς Ομολόγων (SMPs)</w:t>
      </w:r>
      <w:r w:rsidRPr="00A07AF3">
        <w:rPr>
          <w:bCs/>
          <w:sz w:val="22"/>
          <w:szCs w:val="22"/>
        </w:rPr>
        <w:t xml:space="preserve"> της Ευρωπαϊκής Κεντρικής Τράπεζας (ΕΚΤ).</w:t>
      </w:r>
    </w:p>
    <w:p w:rsidR="0088518E" w:rsidRPr="00A07AF3" w:rsidRDefault="0088518E" w:rsidP="00A07AF3">
      <w:pPr>
        <w:jc w:val="both"/>
        <w:rPr>
          <w:bCs/>
          <w:sz w:val="22"/>
          <w:szCs w:val="22"/>
        </w:rPr>
      </w:pPr>
    </w:p>
    <w:p w:rsidR="00A07AF3" w:rsidRPr="00A07AF3" w:rsidRDefault="00A07AF3" w:rsidP="00A07AF3">
      <w:pPr>
        <w:jc w:val="both"/>
        <w:rPr>
          <w:rFonts w:ascii="Arial Narrow" w:hAnsi="Arial Narrow"/>
          <w:b/>
          <w:bCs/>
          <w:i/>
          <w:sz w:val="22"/>
          <w:szCs w:val="22"/>
        </w:rPr>
      </w:pPr>
      <w:r w:rsidRPr="00A07AF3">
        <w:rPr>
          <w:rFonts w:ascii="Arial Narrow" w:hAnsi="Arial Narrow"/>
          <w:b/>
          <w:bCs/>
          <w:i/>
          <w:sz w:val="22"/>
          <w:szCs w:val="22"/>
        </w:rPr>
        <w:t>Πωλήσεις αγαθών και υπηρεσιών</w:t>
      </w:r>
    </w:p>
    <w:p w:rsidR="00A07AF3" w:rsidRPr="00A07AF3" w:rsidRDefault="00A07AF3" w:rsidP="00A07AF3">
      <w:pPr>
        <w:jc w:val="both"/>
        <w:rPr>
          <w:bCs/>
          <w:sz w:val="22"/>
          <w:szCs w:val="22"/>
        </w:rPr>
      </w:pPr>
    </w:p>
    <w:p w:rsidR="00A07AF3" w:rsidRPr="00A07AF3" w:rsidRDefault="004052B7" w:rsidP="00A07AF3">
      <w:pPr>
        <w:jc w:val="both"/>
        <w:rPr>
          <w:bCs/>
          <w:sz w:val="22"/>
          <w:szCs w:val="22"/>
        </w:rPr>
      </w:pPr>
      <w:r>
        <w:rPr>
          <w:bCs/>
          <w:sz w:val="22"/>
          <w:szCs w:val="22"/>
        </w:rPr>
        <w:t>Από τις πωλήσεις αγαθών και</w:t>
      </w:r>
      <w:r w:rsidR="00A07AF3" w:rsidRPr="00A07AF3">
        <w:rPr>
          <w:bCs/>
          <w:sz w:val="22"/>
          <w:szCs w:val="22"/>
        </w:rPr>
        <w:t xml:space="preserve"> υπηρεσιών προβλέπεται να εισπραχ</w:t>
      </w:r>
      <w:r w:rsidR="005E4F8D">
        <w:rPr>
          <w:bCs/>
          <w:sz w:val="22"/>
          <w:szCs w:val="22"/>
        </w:rPr>
        <w:t>θούν έσοδα ύψους 773 εκατ. ευρώ</w:t>
      </w:r>
      <w:r w:rsidR="00AB6CE4">
        <w:rPr>
          <w:bCs/>
          <w:sz w:val="22"/>
          <w:szCs w:val="22"/>
        </w:rPr>
        <w:t>,</w:t>
      </w:r>
      <w:r w:rsidR="00A07AF3" w:rsidRPr="00A07AF3">
        <w:rPr>
          <w:bCs/>
          <w:sz w:val="22"/>
          <w:szCs w:val="22"/>
        </w:rPr>
        <w:t xml:space="preserve"> έναντι στόχου 833 εκατ. ευρώ. </w:t>
      </w:r>
    </w:p>
    <w:p w:rsidR="008870AD" w:rsidRPr="00A07AF3" w:rsidRDefault="008870AD" w:rsidP="00A07AF3">
      <w:pPr>
        <w:jc w:val="both"/>
        <w:rPr>
          <w:bCs/>
          <w:sz w:val="22"/>
          <w:szCs w:val="22"/>
        </w:rPr>
      </w:pPr>
    </w:p>
    <w:p w:rsidR="00A07AF3" w:rsidRPr="00A07AF3" w:rsidRDefault="00A07AF3" w:rsidP="00A07AF3">
      <w:pPr>
        <w:jc w:val="both"/>
        <w:rPr>
          <w:rFonts w:ascii="Arial Narrow" w:hAnsi="Arial Narrow"/>
          <w:b/>
          <w:bCs/>
          <w:i/>
          <w:sz w:val="22"/>
          <w:szCs w:val="22"/>
        </w:rPr>
      </w:pPr>
      <w:r w:rsidRPr="00A07AF3">
        <w:rPr>
          <w:rFonts w:ascii="Arial Narrow" w:hAnsi="Arial Narrow"/>
          <w:b/>
          <w:bCs/>
          <w:i/>
          <w:sz w:val="22"/>
          <w:szCs w:val="22"/>
        </w:rPr>
        <w:t>Λοιπά τρέχοντα έσοδα</w:t>
      </w:r>
    </w:p>
    <w:p w:rsidR="00A07AF3" w:rsidRPr="00A07AF3" w:rsidRDefault="00A07AF3" w:rsidP="00A07AF3">
      <w:pPr>
        <w:jc w:val="both"/>
        <w:rPr>
          <w:bCs/>
          <w:sz w:val="22"/>
          <w:szCs w:val="22"/>
        </w:rPr>
      </w:pPr>
    </w:p>
    <w:p w:rsidR="00A07AF3" w:rsidRPr="00A07AF3" w:rsidRDefault="00A07AF3" w:rsidP="00A07AF3">
      <w:pPr>
        <w:jc w:val="both"/>
        <w:rPr>
          <w:bCs/>
          <w:sz w:val="22"/>
          <w:szCs w:val="22"/>
        </w:rPr>
      </w:pPr>
      <w:r w:rsidRPr="00A07AF3">
        <w:rPr>
          <w:bCs/>
          <w:sz w:val="22"/>
          <w:szCs w:val="22"/>
        </w:rPr>
        <w:t>Τα λοιπά τρέχοντα έσοδα προβλέπεται να διαμορφωθούν στα 1.</w:t>
      </w:r>
      <w:r w:rsidR="002F22B0">
        <w:rPr>
          <w:bCs/>
          <w:sz w:val="22"/>
          <w:szCs w:val="22"/>
        </w:rPr>
        <w:t>50</w:t>
      </w:r>
      <w:r w:rsidRPr="00A07AF3">
        <w:rPr>
          <w:bCs/>
          <w:sz w:val="22"/>
          <w:szCs w:val="22"/>
        </w:rPr>
        <w:t xml:space="preserve">0 εκατ. ευρώ, </w:t>
      </w:r>
      <w:r w:rsidR="002F22B0">
        <w:rPr>
          <w:bCs/>
          <w:sz w:val="22"/>
          <w:szCs w:val="22"/>
        </w:rPr>
        <w:t>πλησίον του στόχου του ΜΠΔΣ 2019-2022, ύψους 1.498 εκατ. ευρώ.</w:t>
      </w:r>
      <w:r w:rsidRPr="00A07AF3">
        <w:rPr>
          <w:bCs/>
          <w:sz w:val="22"/>
          <w:szCs w:val="22"/>
        </w:rPr>
        <w:t xml:space="preserve"> </w:t>
      </w:r>
    </w:p>
    <w:p w:rsidR="00A07AF3" w:rsidRPr="00A07AF3" w:rsidRDefault="00A07AF3" w:rsidP="00A07AF3">
      <w:pPr>
        <w:jc w:val="both"/>
        <w:rPr>
          <w:bCs/>
          <w:sz w:val="22"/>
          <w:szCs w:val="22"/>
        </w:rPr>
      </w:pPr>
    </w:p>
    <w:p w:rsidR="00A07AF3" w:rsidRPr="00A07AF3" w:rsidRDefault="0088518E" w:rsidP="00A07AF3">
      <w:pPr>
        <w:jc w:val="both"/>
        <w:rPr>
          <w:rFonts w:ascii="Arial Narrow" w:hAnsi="Arial Narrow"/>
          <w:b/>
          <w:bCs/>
          <w:i/>
          <w:sz w:val="22"/>
          <w:szCs w:val="22"/>
        </w:rPr>
      </w:pPr>
      <w:r>
        <w:rPr>
          <w:rFonts w:ascii="Arial Narrow" w:hAnsi="Arial Narrow"/>
          <w:b/>
          <w:bCs/>
          <w:i/>
          <w:sz w:val="22"/>
          <w:szCs w:val="22"/>
        </w:rPr>
        <w:t>Πωλήσεις παγίων περιουσιακών στοιχείων</w:t>
      </w:r>
    </w:p>
    <w:p w:rsidR="00A07AF3" w:rsidRPr="00A07AF3" w:rsidRDefault="00A07AF3" w:rsidP="00A07AF3">
      <w:pPr>
        <w:jc w:val="both"/>
        <w:rPr>
          <w:bCs/>
          <w:sz w:val="22"/>
          <w:szCs w:val="22"/>
        </w:rPr>
      </w:pPr>
    </w:p>
    <w:p w:rsidR="00A07AF3" w:rsidRPr="00A07AF3" w:rsidRDefault="00A07AF3" w:rsidP="00A07AF3">
      <w:pPr>
        <w:jc w:val="both"/>
        <w:rPr>
          <w:bCs/>
          <w:sz w:val="22"/>
          <w:szCs w:val="22"/>
        </w:rPr>
      </w:pPr>
      <w:r w:rsidRPr="00A07AF3">
        <w:rPr>
          <w:bCs/>
          <w:sz w:val="22"/>
          <w:szCs w:val="22"/>
        </w:rPr>
        <w:t>Προβλέπονται έσοδα 335 εκατ. ευρώ αυξημένα κατά 212 εκατ. ευρώ έναντι του στόχου</w:t>
      </w:r>
      <w:r w:rsidR="005052C1">
        <w:rPr>
          <w:bCs/>
          <w:sz w:val="22"/>
          <w:szCs w:val="22"/>
        </w:rPr>
        <w:t>,</w:t>
      </w:r>
      <w:r w:rsidRPr="00A07AF3">
        <w:rPr>
          <w:bCs/>
          <w:sz w:val="22"/>
          <w:szCs w:val="22"/>
        </w:rPr>
        <w:t xml:space="preserve"> κυρίως </w:t>
      </w:r>
      <w:r w:rsidR="00EC118C" w:rsidRPr="00A07AF3">
        <w:rPr>
          <w:bCs/>
          <w:sz w:val="22"/>
          <w:szCs w:val="22"/>
        </w:rPr>
        <w:t xml:space="preserve">λόγω </w:t>
      </w:r>
      <w:r w:rsidRPr="00A07AF3">
        <w:rPr>
          <w:bCs/>
          <w:sz w:val="22"/>
          <w:szCs w:val="22"/>
        </w:rPr>
        <w:t xml:space="preserve">της είσπραξης το 2019 αντί για το 2018 του αντιτίμου από την αξιοποίηση της έκτασης του </w:t>
      </w:r>
      <w:r w:rsidR="00AB6CE4">
        <w:rPr>
          <w:bCs/>
          <w:sz w:val="22"/>
          <w:szCs w:val="22"/>
        </w:rPr>
        <w:t>πρώην Δ</w:t>
      </w:r>
      <w:r w:rsidR="00AB6CE4">
        <w:rPr>
          <w:bCs/>
          <w:sz w:val="22"/>
          <w:szCs w:val="22"/>
        </w:rPr>
        <w:t>ι</w:t>
      </w:r>
      <w:r w:rsidR="00AB6CE4">
        <w:rPr>
          <w:bCs/>
          <w:sz w:val="22"/>
          <w:szCs w:val="22"/>
        </w:rPr>
        <w:t xml:space="preserve">εθνούς Αεροδρομίου του </w:t>
      </w:r>
      <w:r w:rsidRPr="00A07AF3">
        <w:rPr>
          <w:bCs/>
          <w:sz w:val="22"/>
          <w:szCs w:val="22"/>
        </w:rPr>
        <w:t>Ελληνικού.</w:t>
      </w:r>
    </w:p>
    <w:p w:rsidR="00A07AF3" w:rsidRPr="00A07AF3" w:rsidRDefault="00A07AF3" w:rsidP="00A07AF3">
      <w:pPr>
        <w:jc w:val="both"/>
        <w:rPr>
          <w:rFonts w:ascii="Arial Narrow" w:hAnsi="Arial Narrow"/>
          <w:b/>
          <w:bCs/>
          <w:i/>
          <w:sz w:val="22"/>
          <w:szCs w:val="22"/>
        </w:rPr>
      </w:pPr>
      <w:r w:rsidRPr="00A07AF3">
        <w:rPr>
          <w:rFonts w:ascii="Arial Narrow" w:hAnsi="Arial Narrow"/>
          <w:b/>
          <w:bCs/>
          <w:i/>
          <w:sz w:val="22"/>
          <w:szCs w:val="22"/>
        </w:rPr>
        <w:lastRenderedPageBreak/>
        <w:t>Επιστροφές φόρων</w:t>
      </w:r>
    </w:p>
    <w:p w:rsidR="00A07AF3" w:rsidRPr="00A07AF3" w:rsidRDefault="00A07AF3" w:rsidP="00A07AF3">
      <w:pPr>
        <w:jc w:val="both"/>
        <w:rPr>
          <w:bCs/>
          <w:sz w:val="22"/>
          <w:szCs w:val="22"/>
        </w:rPr>
      </w:pPr>
    </w:p>
    <w:p w:rsidR="00A07AF3" w:rsidRPr="00A07AF3" w:rsidRDefault="00A07AF3" w:rsidP="00A07AF3">
      <w:pPr>
        <w:jc w:val="both"/>
        <w:rPr>
          <w:bCs/>
          <w:sz w:val="22"/>
          <w:szCs w:val="22"/>
        </w:rPr>
      </w:pPr>
      <w:r w:rsidRPr="00A07AF3">
        <w:rPr>
          <w:bCs/>
          <w:sz w:val="22"/>
          <w:szCs w:val="22"/>
        </w:rPr>
        <w:t>Οι επιστροφές αχρεωστήτως εισπραχθέντων εσόδων προβλέπεται να διαμορφωθούν στα 4.818 εκατ. ευρώ, αυξημένες κατά 633 εκατ. ευρώ ή 15,1%</w:t>
      </w:r>
      <w:r w:rsidR="00AB6CE4">
        <w:rPr>
          <w:bCs/>
          <w:sz w:val="22"/>
          <w:szCs w:val="22"/>
        </w:rPr>
        <w:t>,</w:t>
      </w:r>
      <w:r w:rsidRPr="00A07AF3">
        <w:rPr>
          <w:bCs/>
          <w:sz w:val="22"/>
          <w:szCs w:val="22"/>
        </w:rPr>
        <w:t xml:space="preserve"> έναντι των προβλέψεων του ΜΠΔΣ 2019-2022. </w:t>
      </w:r>
    </w:p>
    <w:p w:rsidR="005052C1" w:rsidRPr="00A07AF3" w:rsidRDefault="005052C1" w:rsidP="00A07AF3">
      <w:pPr>
        <w:jc w:val="both"/>
        <w:rPr>
          <w:bCs/>
          <w:sz w:val="22"/>
          <w:szCs w:val="22"/>
        </w:rPr>
      </w:pPr>
    </w:p>
    <w:p w:rsidR="00A07AF3" w:rsidRPr="00A07AF3" w:rsidRDefault="00A07AF3" w:rsidP="00A07AF3">
      <w:pPr>
        <w:jc w:val="both"/>
        <w:rPr>
          <w:rFonts w:ascii="Arial Narrow" w:hAnsi="Arial Narrow"/>
          <w:b/>
          <w:bCs/>
          <w:i/>
          <w:sz w:val="22"/>
          <w:szCs w:val="22"/>
        </w:rPr>
      </w:pPr>
      <w:r w:rsidRPr="00A07AF3">
        <w:rPr>
          <w:rFonts w:ascii="Arial Narrow" w:hAnsi="Arial Narrow"/>
          <w:b/>
          <w:bCs/>
          <w:i/>
          <w:sz w:val="22"/>
          <w:szCs w:val="22"/>
        </w:rPr>
        <w:t>Έσοδα Προγράμματος Δημοσίων Επενδύσεων</w:t>
      </w:r>
    </w:p>
    <w:p w:rsidR="00A07AF3" w:rsidRPr="00A07AF3" w:rsidRDefault="00A07AF3" w:rsidP="00A07AF3">
      <w:pPr>
        <w:jc w:val="both"/>
        <w:rPr>
          <w:bCs/>
          <w:sz w:val="22"/>
          <w:szCs w:val="22"/>
        </w:rPr>
      </w:pPr>
    </w:p>
    <w:p w:rsidR="00A07AF3" w:rsidRDefault="00A07AF3" w:rsidP="00A07AF3">
      <w:pPr>
        <w:jc w:val="both"/>
        <w:rPr>
          <w:bCs/>
          <w:sz w:val="22"/>
          <w:szCs w:val="22"/>
        </w:rPr>
      </w:pPr>
      <w:r w:rsidRPr="00A07AF3">
        <w:rPr>
          <w:bCs/>
          <w:sz w:val="22"/>
          <w:szCs w:val="22"/>
        </w:rPr>
        <w:t xml:space="preserve">Τα έσοδα του ΠΔΕ σε ταμειακή βάση προβλέπεται να ανέλθουν στο ποσό των 3.740 εκατ. </w:t>
      </w:r>
      <w:r w:rsidR="00606410">
        <w:rPr>
          <w:bCs/>
          <w:sz w:val="22"/>
          <w:szCs w:val="22"/>
        </w:rPr>
        <w:t>ευρώ</w:t>
      </w:r>
      <w:r w:rsidR="00A07ABC">
        <w:rPr>
          <w:bCs/>
          <w:sz w:val="22"/>
          <w:szCs w:val="22"/>
        </w:rPr>
        <w:t>,</w:t>
      </w:r>
      <w:r w:rsidR="00606410">
        <w:rPr>
          <w:bCs/>
          <w:sz w:val="22"/>
          <w:szCs w:val="22"/>
        </w:rPr>
        <w:t xml:space="preserve"> </w:t>
      </w:r>
      <w:r w:rsidRPr="00A07AF3">
        <w:rPr>
          <w:bCs/>
          <w:sz w:val="22"/>
          <w:szCs w:val="22"/>
        </w:rPr>
        <w:t>α</w:t>
      </w:r>
      <w:r w:rsidRPr="00A07AF3">
        <w:rPr>
          <w:bCs/>
          <w:sz w:val="22"/>
          <w:szCs w:val="22"/>
        </w:rPr>
        <w:t>υ</w:t>
      </w:r>
      <w:r w:rsidRPr="00A07AF3">
        <w:rPr>
          <w:bCs/>
          <w:sz w:val="22"/>
          <w:szCs w:val="22"/>
        </w:rPr>
        <w:t>ξημένα κατά 150 εκατ. ευρώ έναντι του στόχου του ΜΠΔΣ 2019-2022</w:t>
      </w:r>
      <w:r w:rsidR="00606410">
        <w:rPr>
          <w:bCs/>
          <w:sz w:val="22"/>
          <w:szCs w:val="22"/>
        </w:rPr>
        <w:t>,</w:t>
      </w:r>
      <w:r w:rsidRPr="00A07AF3">
        <w:rPr>
          <w:bCs/>
          <w:sz w:val="22"/>
          <w:szCs w:val="22"/>
        </w:rPr>
        <w:t xml:space="preserve"> λόγω μεταφοράς</w:t>
      </w:r>
      <w:r w:rsidR="0068124D">
        <w:rPr>
          <w:bCs/>
          <w:sz w:val="22"/>
          <w:szCs w:val="22"/>
        </w:rPr>
        <w:t xml:space="preserve"> </w:t>
      </w:r>
      <w:r w:rsidRPr="00A07AF3">
        <w:rPr>
          <w:bCs/>
          <w:sz w:val="22"/>
          <w:szCs w:val="22"/>
        </w:rPr>
        <w:t>στο ΠΔΕ απολήψεων από την ΕΕ που μέχρι πρότινος εμφανίζονταν στον τακτικό προϋπολογισμό.</w:t>
      </w:r>
    </w:p>
    <w:p w:rsidR="00174516" w:rsidRPr="00A07AF3" w:rsidRDefault="00174516" w:rsidP="00174516">
      <w:pPr>
        <w:jc w:val="both"/>
        <w:rPr>
          <w:bCs/>
          <w:sz w:val="22"/>
          <w:szCs w:val="22"/>
        </w:rPr>
      </w:pPr>
    </w:p>
    <w:p w:rsidR="00174516" w:rsidRPr="00A07AF3" w:rsidRDefault="00174516" w:rsidP="00174516">
      <w:pPr>
        <w:jc w:val="both"/>
        <w:rPr>
          <w:bCs/>
          <w:sz w:val="22"/>
          <w:szCs w:val="22"/>
        </w:rPr>
      </w:pPr>
      <w:r w:rsidRPr="00A07AF3">
        <w:rPr>
          <w:bCs/>
          <w:sz w:val="22"/>
          <w:szCs w:val="22"/>
        </w:rPr>
        <w:t>Βασική πηγή εσόδων για την χρηματοδότηση των έργων του ΠΔΕ αποτελούν οι εισροές από την Ε</w:t>
      </w:r>
      <w:r w:rsidRPr="00A07AF3">
        <w:rPr>
          <w:bCs/>
          <w:sz w:val="22"/>
          <w:szCs w:val="22"/>
        </w:rPr>
        <w:t>υ</w:t>
      </w:r>
      <w:r w:rsidRPr="00A07AF3">
        <w:rPr>
          <w:bCs/>
          <w:sz w:val="22"/>
          <w:szCs w:val="22"/>
        </w:rPr>
        <w:t>ρωπαϊκή Ένωση και ειδικότερα από το Ευρωπαϊκό Ταμείο Περιφερειακής Ανάπτυξης (ΕΤΠΑ), το Ευρωπαϊκό Γεωργικό Ταμείο Εγγυήσεων (ΕΓΤΕ), το Ευρωπαϊκό Κοινωνικό Ταμείο (ΕΚΤ), το Ταμείο Συνοχής, το Ευρωπαϊκό Γεωργικό Ταμείο Αγροτικής Ανάπτυξης (ΕΓΤΑΑ), το Ευρωπαϊκό Ταμείο Θάλασσας και Αλιείας</w:t>
      </w:r>
      <w:r w:rsidR="008C4267">
        <w:rPr>
          <w:bCs/>
          <w:sz w:val="22"/>
          <w:szCs w:val="22"/>
        </w:rPr>
        <w:t xml:space="preserve"> (ΕΤΘΑ)</w:t>
      </w:r>
      <w:r w:rsidRPr="00A07AF3">
        <w:rPr>
          <w:bCs/>
          <w:sz w:val="22"/>
          <w:szCs w:val="22"/>
        </w:rPr>
        <w:t>, καθώς και τα ταμεία για τη μετανάστευση.</w:t>
      </w:r>
    </w:p>
    <w:p w:rsidR="00174516" w:rsidRPr="00A07AF3" w:rsidRDefault="00174516" w:rsidP="00174516">
      <w:pPr>
        <w:jc w:val="both"/>
        <w:rPr>
          <w:bCs/>
          <w:sz w:val="22"/>
          <w:szCs w:val="22"/>
        </w:rPr>
      </w:pPr>
    </w:p>
    <w:p w:rsidR="00174516" w:rsidRDefault="00063853" w:rsidP="00174516">
      <w:pPr>
        <w:jc w:val="both"/>
        <w:rPr>
          <w:bCs/>
          <w:sz w:val="22"/>
          <w:szCs w:val="22"/>
        </w:rPr>
      </w:pPr>
      <w:r>
        <w:rPr>
          <w:bCs/>
          <w:sz w:val="22"/>
          <w:szCs w:val="22"/>
        </w:rPr>
        <w:t>Τα έσοδα</w:t>
      </w:r>
      <w:r w:rsidR="00174516" w:rsidRPr="00A07AF3">
        <w:rPr>
          <w:bCs/>
          <w:sz w:val="22"/>
          <w:szCs w:val="22"/>
        </w:rPr>
        <w:t xml:space="preserve"> του ΠΔΕ κατά ταμείο για τα έτη 20</w:t>
      </w:r>
      <w:r w:rsidR="00174516">
        <w:rPr>
          <w:bCs/>
          <w:sz w:val="22"/>
          <w:szCs w:val="22"/>
        </w:rPr>
        <w:t>1</w:t>
      </w:r>
      <w:r w:rsidR="00174516" w:rsidRPr="00A07AF3">
        <w:rPr>
          <w:bCs/>
          <w:sz w:val="22"/>
          <w:szCs w:val="22"/>
        </w:rPr>
        <w:t>7, 2018 και 2019 με τα αντίστοιχα ποσά παρουσιάζο</w:t>
      </w:r>
      <w:r w:rsidR="00174516" w:rsidRPr="00A07AF3">
        <w:rPr>
          <w:bCs/>
          <w:sz w:val="22"/>
          <w:szCs w:val="22"/>
        </w:rPr>
        <w:t>ν</w:t>
      </w:r>
      <w:r w:rsidR="00174516" w:rsidRPr="00A07AF3">
        <w:rPr>
          <w:bCs/>
          <w:sz w:val="22"/>
          <w:szCs w:val="22"/>
        </w:rPr>
        <w:t xml:space="preserve">ται στον </w:t>
      </w:r>
      <w:r w:rsidR="00456420" w:rsidRPr="00456420">
        <w:rPr>
          <w:bCs/>
          <w:sz w:val="22"/>
          <w:szCs w:val="22"/>
        </w:rPr>
        <w:t>πίνακα 3.8.</w:t>
      </w:r>
    </w:p>
    <w:p w:rsidR="005775DA" w:rsidRPr="00A07AF3" w:rsidRDefault="005775DA" w:rsidP="005775DA">
      <w:pPr>
        <w:jc w:val="both"/>
        <w:rPr>
          <w:bCs/>
          <w:sz w:val="22"/>
          <w:szCs w:val="22"/>
        </w:rPr>
      </w:pPr>
    </w:p>
    <w:tbl>
      <w:tblPr>
        <w:tblW w:w="7905" w:type="dxa"/>
        <w:jc w:val="center"/>
        <w:tblBorders>
          <w:top w:val="single" w:sz="6" w:space="0" w:color="auto"/>
          <w:left w:val="single" w:sz="6" w:space="0" w:color="auto"/>
          <w:bottom w:val="single" w:sz="6" w:space="0" w:color="auto"/>
          <w:right w:val="single" w:sz="6" w:space="0" w:color="auto"/>
        </w:tblBorders>
        <w:tblLook w:val="04A0"/>
      </w:tblPr>
      <w:tblGrid>
        <w:gridCol w:w="3976"/>
        <w:gridCol w:w="1346"/>
        <w:gridCol w:w="1307"/>
        <w:gridCol w:w="1276"/>
      </w:tblGrid>
      <w:tr w:rsidR="005775DA" w:rsidRPr="00AE1E60" w:rsidTr="00764E1A">
        <w:trPr>
          <w:trHeight w:val="675"/>
          <w:jc w:val="center"/>
        </w:trPr>
        <w:tc>
          <w:tcPr>
            <w:tcW w:w="7905" w:type="dxa"/>
            <w:gridSpan w:val="4"/>
            <w:tcBorders>
              <w:right w:val="single" w:sz="6" w:space="0" w:color="auto"/>
            </w:tcBorders>
            <w:shd w:val="clear" w:color="000000" w:fill="404040"/>
            <w:vAlign w:val="bottom"/>
            <w:hideMark/>
          </w:tcPr>
          <w:p w:rsidR="005775DA" w:rsidRPr="00AE1E60" w:rsidRDefault="005775DA" w:rsidP="00764E1A">
            <w:pPr>
              <w:jc w:val="center"/>
              <w:rPr>
                <w:rFonts w:ascii="Arial Narrow" w:hAnsi="Arial Narrow"/>
                <w:b/>
                <w:bCs/>
                <w:color w:val="FFFFFF"/>
                <w:szCs w:val="22"/>
              </w:rPr>
            </w:pPr>
            <w:r w:rsidRPr="00AE1E60">
              <w:rPr>
                <w:rFonts w:ascii="Arial Narrow" w:hAnsi="Arial Narrow"/>
                <w:b/>
                <w:bCs/>
                <w:color w:val="FFFFFF"/>
                <w:szCs w:val="22"/>
              </w:rPr>
              <w:t>Πίνακας 3</w:t>
            </w:r>
            <w:r w:rsidR="00456420">
              <w:rPr>
                <w:rFonts w:ascii="Arial Narrow" w:hAnsi="Arial Narrow"/>
                <w:b/>
                <w:bCs/>
                <w:color w:val="FFFFFF"/>
                <w:szCs w:val="22"/>
              </w:rPr>
              <w:t>.8</w:t>
            </w:r>
            <w:r w:rsidRPr="00AE1E60">
              <w:rPr>
                <w:rFonts w:ascii="Arial Narrow" w:hAnsi="Arial Narrow"/>
                <w:b/>
                <w:bCs/>
                <w:color w:val="FFFFFF"/>
                <w:szCs w:val="22"/>
              </w:rPr>
              <w:t xml:space="preserve"> </w:t>
            </w:r>
            <w:r>
              <w:rPr>
                <w:rFonts w:ascii="Arial Narrow" w:hAnsi="Arial Narrow"/>
                <w:b/>
                <w:bCs/>
                <w:color w:val="FFFFFF"/>
                <w:szCs w:val="22"/>
              </w:rPr>
              <w:t xml:space="preserve">Έσοδα </w:t>
            </w:r>
            <w:r w:rsidRPr="00AE1E60">
              <w:rPr>
                <w:rFonts w:ascii="Arial Narrow" w:hAnsi="Arial Narrow"/>
                <w:b/>
                <w:bCs/>
                <w:color w:val="FFFFFF"/>
                <w:szCs w:val="22"/>
              </w:rPr>
              <w:t>ΠΔΕ</w:t>
            </w:r>
          </w:p>
          <w:p w:rsidR="005775DA" w:rsidRPr="00AE1E60" w:rsidRDefault="005775DA" w:rsidP="00764E1A">
            <w:pPr>
              <w:jc w:val="center"/>
              <w:rPr>
                <w:rFonts w:ascii="Arial Narrow" w:hAnsi="Arial Narrow"/>
                <w:b/>
                <w:bCs/>
                <w:color w:val="FFFFFF"/>
                <w:szCs w:val="22"/>
              </w:rPr>
            </w:pPr>
            <w:r w:rsidRPr="00AE1E60">
              <w:rPr>
                <w:rFonts w:ascii="Arial Narrow" w:hAnsi="Arial Narrow"/>
                <w:b/>
                <w:bCs/>
                <w:color w:val="FFFFFF"/>
                <w:szCs w:val="22"/>
              </w:rPr>
              <w:t>(σε εκατ. ευρώ)</w:t>
            </w:r>
          </w:p>
        </w:tc>
      </w:tr>
      <w:tr w:rsidR="005775DA" w:rsidRPr="00AE1E60" w:rsidTr="00764E1A">
        <w:trPr>
          <w:trHeight w:val="113"/>
          <w:jc w:val="center"/>
        </w:trPr>
        <w:tc>
          <w:tcPr>
            <w:tcW w:w="7905" w:type="dxa"/>
            <w:gridSpan w:val="4"/>
            <w:tcBorders>
              <w:bottom w:val="single" w:sz="6" w:space="0" w:color="auto"/>
              <w:right w:val="single" w:sz="6" w:space="0" w:color="auto"/>
            </w:tcBorders>
            <w:shd w:val="clear" w:color="auto" w:fill="auto"/>
            <w:vAlign w:val="bottom"/>
            <w:hideMark/>
          </w:tcPr>
          <w:p w:rsidR="005775DA" w:rsidRPr="00AE1E60" w:rsidRDefault="005775DA" w:rsidP="00764E1A">
            <w:pPr>
              <w:jc w:val="center"/>
              <w:rPr>
                <w:rFonts w:ascii="Arial Narrow" w:hAnsi="Arial Narrow"/>
                <w:b/>
                <w:bCs/>
                <w:color w:val="000000"/>
                <w:sz w:val="12"/>
                <w:szCs w:val="12"/>
              </w:rPr>
            </w:pPr>
            <w:r w:rsidRPr="00AE1E60">
              <w:rPr>
                <w:rFonts w:ascii="Arial Narrow" w:hAnsi="Arial Narrow"/>
                <w:b/>
                <w:bCs/>
                <w:color w:val="000000"/>
                <w:sz w:val="12"/>
                <w:szCs w:val="12"/>
              </w:rPr>
              <w:t> </w:t>
            </w:r>
          </w:p>
        </w:tc>
      </w:tr>
      <w:tr w:rsidR="005775DA" w:rsidRPr="00AE1E60" w:rsidTr="00764E1A">
        <w:trPr>
          <w:trHeight w:val="20"/>
          <w:jc w:val="center"/>
        </w:trPr>
        <w:tc>
          <w:tcPr>
            <w:tcW w:w="3976" w:type="dxa"/>
            <w:vMerge w:val="restart"/>
            <w:tcBorders>
              <w:top w:val="single" w:sz="6" w:space="0" w:color="auto"/>
              <w:bottom w:val="single" w:sz="6" w:space="0" w:color="auto"/>
              <w:right w:val="single" w:sz="6" w:space="0" w:color="auto"/>
            </w:tcBorders>
            <w:shd w:val="clear" w:color="auto" w:fill="auto"/>
            <w:vAlign w:val="center"/>
            <w:hideMark/>
          </w:tcPr>
          <w:p w:rsidR="005775DA" w:rsidRPr="00AE1E60" w:rsidRDefault="005775DA" w:rsidP="00764E1A">
            <w:pPr>
              <w:jc w:val="center"/>
              <w:rPr>
                <w:rFonts w:ascii="Arial Narrow" w:hAnsi="Arial Narrow"/>
                <w:b/>
                <w:bCs/>
                <w:color w:val="000000"/>
                <w:sz w:val="16"/>
                <w:szCs w:val="16"/>
              </w:rPr>
            </w:pPr>
            <w:r w:rsidRPr="00AE1E60">
              <w:rPr>
                <w:rFonts w:ascii="Arial Narrow" w:hAnsi="Arial Narrow"/>
                <w:b/>
                <w:bCs/>
                <w:color w:val="000000"/>
                <w:sz w:val="16"/>
                <w:szCs w:val="16"/>
              </w:rPr>
              <w:t>Πηγές εσόδων</w:t>
            </w:r>
          </w:p>
        </w:tc>
        <w:tc>
          <w:tcPr>
            <w:tcW w:w="134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775DA" w:rsidRPr="00AE1E60" w:rsidRDefault="005775DA" w:rsidP="00764E1A">
            <w:pPr>
              <w:jc w:val="center"/>
              <w:rPr>
                <w:rFonts w:ascii="Arial Narrow" w:hAnsi="Arial Narrow"/>
                <w:b/>
                <w:bCs/>
                <w:color w:val="000000"/>
                <w:sz w:val="16"/>
                <w:szCs w:val="16"/>
              </w:rPr>
            </w:pPr>
            <w:r>
              <w:rPr>
                <w:rFonts w:ascii="Arial Narrow" w:hAnsi="Arial Narrow"/>
                <w:b/>
                <w:bCs/>
                <w:color w:val="000000"/>
                <w:sz w:val="16"/>
                <w:szCs w:val="16"/>
              </w:rPr>
              <w:t>2017</w:t>
            </w:r>
          </w:p>
        </w:tc>
        <w:tc>
          <w:tcPr>
            <w:tcW w:w="1307"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775DA" w:rsidRPr="00AE1E60" w:rsidRDefault="005775DA" w:rsidP="00764E1A">
            <w:pPr>
              <w:jc w:val="center"/>
              <w:rPr>
                <w:rFonts w:ascii="Arial Narrow" w:hAnsi="Arial Narrow"/>
                <w:b/>
                <w:bCs/>
                <w:sz w:val="16"/>
                <w:szCs w:val="16"/>
              </w:rPr>
            </w:pPr>
            <w:r w:rsidRPr="00AE1E60">
              <w:rPr>
                <w:rFonts w:ascii="Arial Narrow" w:hAnsi="Arial Narrow"/>
                <w:b/>
                <w:bCs/>
                <w:sz w:val="16"/>
                <w:szCs w:val="16"/>
              </w:rPr>
              <w:t>201</w:t>
            </w:r>
            <w:r>
              <w:rPr>
                <w:rFonts w:ascii="Arial Narrow" w:hAnsi="Arial Narrow"/>
                <w:b/>
                <w:bCs/>
                <w:sz w:val="16"/>
                <w:szCs w:val="16"/>
              </w:rPr>
              <w:t>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775DA" w:rsidRPr="00AE1E60" w:rsidRDefault="005775DA" w:rsidP="00764E1A">
            <w:pPr>
              <w:jc w:val="center"/>
              <w:rPr>
                <w:rFonts w:ascii="Arial Narrow" w:hAnsi="Arial Narrow"/>
                <w:b/>
                <w:bCs/>
                <w:color w:val="000000"/>
                <w:sz w:val="16"/>
                <w:szCs w:val="16"/>
              </w:rPr>
            </w:pPr>
            <w:r>
              <w:rPr>
                <w:rFonts w:ascii="Arial Narrow" w:hAnsi="Arial Narrow"/>
                <w:b/>
                <w:bCs/>
                <w:color w:val="000000"/>
                <w:sz w:val="16"/>
                <w:szCs w:val="16"/>
              </w:rPr>
              <w:t>2019</w:t>
            </w:r>
          </w:p>
        </w:tc>
      </w:tr>
      <w:tr w:rsidR="005775DA" w:rsidRPr="00AE1E60" w:rsidTr="00764E1A">
        <w:trPr>
          <w:trHeight w:val="20"/>
          <w:jc w:val="center"/>
        </w:trPr>
        <w:tc>
          <w:tcPr>
            <w:tcW w:w="3976" w:type="dxa"/>
            <w:vMerge/>
            <w:tcBorders>
              <w:top w:val="single" w:sz="6" w:space="0" w:color="auto"/>
              <w:bottom w:val="single" w:sz="6" w:space="0" w:color="auto"/>
              <w:right w:val="single" w:sz="6" w:space="0" w:color="auto"/>
            </w:tcBorders>
            <w:vAlign w:val="center"/>
            <w:hideMark/>
          </w:tcPr>
          <w:p w:rsidR="005775DA" w:rsidRPr="00AE1E60" w:rsidRDefault="005775DA" w:rsidP="00764E1A">
            <w:pPr>
              <w:rPr>
                <w:rFonts w:ascii="Arial Narrow" w:hAnsi="Arial Narrow"/>
                <w:b/>
                <w:bCs/>
                <w:color w:val="000000"/>
                <w:sz w:val="16"/>
                <w:szCs w:val="16"/>
              </w:rPr>
            </w:pPr>
          </w:p>
        </w:tc>
        <w:tc>
          <w:tcPr>
            <w:tcW w:w="134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775DA" w:rsidRPr="00AE1E60" w:rsidRDefault="005775DA" w:rsidP="00764E1A">
            <w:pPr>
              <w:jc w:val="center"/>
              <w:rPr>
                <w:rFonts w:ascii="Arial Narrow" w:hAnsi="Arial Narrow"/>
                <w:b/>
                <w:bCs/>
                <w:color w:val="000000"/>
                <w:sz w:val="16"/>
                <w:szCs w:val="16"/>
              </w:rPr>
            </w:pPr>
            <w:r w:rsidRPr="00AE1E60">
              <w:rPr>
                <w:rFonts w:ascii="Arial Narrow" w:hAnsi="Arial Narrow"/>
                <w:b/>
                <w:bCs/>
                <w:color w:val="000000"/>
                <w:sz w:val="16"/>
                <w:szCs w:val="16"/>
              </w:rPr>
              <w:t>Πραγματ/σεις</w:t>
            </w:r>
          </w:p>
        </w:tc>
        <w:tc>
          <w:tcPr>
            <w:tcW w:w="1307"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775DA" w:rsidRPr="00AE1E60" w:rsidRDefault="005775DA" w:rsidP="00764E1A">
            <w:pPr>
              <w:jc w:val="center"/>
              <w:rPr>
                <w:rFonts w:ascii="Arial Narrow" w:hAnsi="Arial Narrow"/>
                <w:b/>
                <w:bCs/>
                <w:sz w:val="16"/>
                <w:szCs w:val="16"/>
              </w:rPr>
            </w:pPr>
            <w:r w:rsidRPr="00AE1E60">
              <w:rPr>
                <w:rFonts w:ascii="Arial Narrow" w:hAnsi="Arial Narrow"/>
                <w:b/>
                <w:bCs/>
                <w:sz w:val="16"/>
                <w:szCs w:val="16"/>
              </w:rPr>
              <w:t>Εκτιμήσεις</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775DA" w:rsidRPr="00AE1E60" w:rsidRDefault="005775DA" w:rsidP="00764E1A">
            <w:pPr>
              <w:jc w:val="center"/>
              <w:rPr>
                <w:rFonts w:ascii="Arial Narrow" w:hAnsi="Arial Narrow"/>
                <w:b/>
                <w:bCs/>
                <w:color w:val="000000"/>
                <w:sz w:val="16"/>
                <w:szCs w:val="16"/>
              </w:rPr>
            </w:pPr>
            <w:r w:rsidRPr="00AE1E60">
              <w:rPr>
                <w:rFonts w:ascii="Arial Narrow" w:hAnsi="Arial Narrow"/>
                <w:b/>
                <w:bCs/>
                <w:color w:val="000000"/>
                <w:sz w:val="16"/>
                <w:szCs w:val="16"/>
              </w:rPr>
              <w:t>Προβλέψεις</w:t>
            </w:r>
          </w:p>
        </w:tc>
      </w:tr>
      <w:tr w:rsidR="005775DA" w:rsidRPr="00174516" w:rsidTr="00764E1A">
        <w:trPr>
          <w:trHeight w:val="20"/>
          <w:jc w:val="center"/>
        </w:trPr>
        <w:tc>
          <w:tcPr>
            <w:tcW w:w="3976" w:type="dxa"/>
            <w:tcBorders>
              <w:top w:val="single" w:sz="6" w:space="0" w:color="auto"/>
            </w:tcBorders>
            <w:shd w:val="clear" w:color="auto" w:fill="auto"/>
            <w:hideMark/>
          </w:tcPr>
          <w:p w:rsidR="005775DA" w:rsidRPr="00174516" w:rsidRDefault="005775DA" w:rsidP="00764E1A">
            <w:pPr>
              <w:jc w:val="right"/>
              <w:rPr>
                <w:rFonts w:ascii="Arial Narrow" w:hAnsi="Arial Narrow"/>
                <w:color w:val="000000"/>
                <w:sz w:val="12"/>
                <w:szCs w:val="16"/>
              </w:rPr>
            </w:pPr>
            <w:r w:rsidRPr="00174516">
              <w:rPr>
                <w:rFonts w:ascii="Arial Narrow" w:hAnsi="Arial Narrow"/>
                <w:color w:val="000000"/>
                <w:sz w:val="12"/>
                <w:szCs w:val="16"/>
              </w:rPr>
              <w:t> </w:t>
            </w:r>
          </w:p>
        </w:tc>
        <w:tc>
          <w:tcPr>
            <w:tcW w:w="1346" w:type="dxa"/>
            <w:tcBorders>
              <w:top w:val="single" w:sz="6" w:space="0" w:color="auto"/>
            </w:tcBorders>
            <w:shd w:val="clear" w:color="auto" w:fill="auto"/>
            <w:hideMark/>
          </w:tcPr>
          <w:p w:rsidR="005775DA" w:rsidRPr="00174516" w:rsidRDefault="005775DA" w:rsidP="00764E1A">
            <w:pPr>
              <w:jc w:val="right"/>
              <w:rPr>
                <w:rFonts w:ascii="Arial Narrow" w:hAnsi="Arial Narrow"/>
                <w:color w:val="000000"/>
                <w:sz w:val="12"/>
                <w:szCs w:val="16"/>
              </w:rPr>
            </w:pPr>
          </w:p>
        </w:tc>
        <w:tc>
          <w:tcPr>
            <w:tcW w:w="1307" w:type="dxa"/>
            <w:tcBorders>
              <w:top w:val="single" w:sz="6" w:space="0" w:color="auto"/>
            </w:tcBorders>
            <w:shd w:val="clear" w:color="auto" w:fill="auto"/>
            <w:hideMark/>
          </w:tcPr>
          <w:p w:rsidR="005775DA" w:rsidRPr="00174516" w:rsidRDefault="005775DA" w:rsidP="00764E1A">
            <w:pPr>
              <w:jc w:val="right"/>
              <w:rPr>
                <w:rFonts w:ascii="Arial Narrow" w:hAnsi="Arial Narrow"/>
                <w:sz w:val="12"/>
                <w:szCs w:val="16"/>
              </w:rPr>
            </w:pPr>
          </w:p>
        </w:tc>
        <w:tc>
          <w:tcPr>
            <w:tcW w:w="1276" w:type="dxa"/>
            <w:tcBorders>
              <w:top w:val="single" w:sz="6" w:space="0" w:color="auto"/>
            </w:tcBorders>
            <w:shd w:val="clear" w:color="auto" w:fill="auto"/>
            <w:hideMark/>
          </w:tcPr>
          <w:p w:rsidR="005775DA" w:rsidRPr="00174516" w:rsidRDefault="005775DA" w:rsidP="00764E1A">
            <w:pPr>
              <w:jc w:val="right"/>
              <w:rPr>
                <w:rFonts w:ascii="Arial Narrow" w:hAnsi="Arial Narrow"/>
                <w:color w:val="000000"/>
                <w:sz w:val="12"/>
                <w:szCs w:val="16"/>
              </w:rPr>
            </w:pP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b/>
                <w:bCs/>
                <w:color w:val="000000"/>
                <w:sz w:val="16"/>
                <w:szCs w:val="16"/>
              </w:rPr>
            </w:pPr>
            <w:r w:rsidRPr="00AE1E60">
              <w:rPr>
                <w:rFonts w:ascii="Arial Narrow" w:hAnsi="Arial Narrow"/>
                <w:b/>
                <w:bCs/>
                <w:color w:val="000000"/>
                <w:sz w:val="16"/>
                <w:szCs w:val="16"/>
              </w:rPr>
              <w:t>Ίδια έσοδα</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b/>
                <w:bCs/>
                <w:color w:val="000000"/>
                <w:sz w:val="16"/>
                <w:szCs w:val="16"/>
              </w:rPr>
            </w:pPr>
            <w:r>
              <w:rPr>
                <w:rFonts w:ascii="Arial Narrow" w:hAnsi="Arial Narrow"/>
                <w:b/>
                <w:bCs/>
                <w:color w:val="000000"/>
                <w:sz w:val="16"/>
                <w:szCs w:val="16"/>
              </w:rPr>
              <w:t>48</w:t>
            </w:r>
            <w:r w:rsidR="00412B00">
              <w:rPr>
                <w:rFonts w:ascii="Arial Narrow" w:hAnsi="Arial Narrow"/>
                <w:b/>
                <w:bCs/>
                <w:color w:val="000000"/>
                <w:sz w:val="16"/>
                <w:szCs w:val="16"/>
              </w:rPr>
              <w:t>1</w:t>
            </w:r>
          </w:p>
        </w:tc>
        <w:tc>
          <w:tcPr>
            <w:tcW w:w="1307" w:type="dxa"/>
            <w:shd w:val="clear" w:color="auto" w:fill="auto"/>
            <w:vAlign w:val="bottom"/>
            <w:hideMark/>
          </w:tcPr>
          <w:p w:rsidR="005775DA" w:rsidRPr="00AE1E60" w:rsidRDefault="00F84D28" w:rsidP="00764E1A">
            <w:pPr>
              <w:tabs>
                <w:tab w:val="decimal" w:pos="601"/>
              </w:tabs>
              <w:jc w:val="both"/>
              <w:rPr>
                <w:rFonts w:ascii="Arial Narrow" w:hAnsi="Arial Narrow"/>
                <w:b/>
                <w:bCs/>
                <w:sz w:val="16"/>
                <w:szCs w:val="16"/>
              </w:rPr>
            </w:pPr>
            <w:r>
              <w:rPr>
                <w:rFonts w:ascii="Arial Narrow" w:hAnsi="Arial Narrow"/>
                <w:b/>
                <w:bCs/>
                <w:sz w:val="16"/>
                <w:szCs w:val="16"/>
              </w:rPr>
              <w:t>300</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b/>
                <w:bCs/>
                <w:color w:val="000000"/>
                <w:sz w:val="16"/>
                <w:szCs w:val="16"/>
              </w:rPr>
            </w:pPr>
            <w:r>
              <w:rPr>
                <w:rFonts w:ascii="Arial Narrow" w:hAnsi="Arial Narrow"/>
                <w:b/>
                <w:bCs/>
                <w:color w:val="000000"/>
                <w:sz w:val="16"/>
                <w:szCs w:val="16"/>
              </w:rPr>
              <w:t>180</w:t>
            </w:r>
          </w:p>
        </w:tc>
      </w:tr>
      <w:tr w:rsidR="005775DA" w:rsidRPr="00174516" w:rsidTr="00764E1A">
        <w:trPr>
          <w:trHeight w:val="20"/>
          <w:jc w:val="center"/>
        </w:trPr>
        <w:tc>
          <w:tcPr>
            <w:tcW w:w="3976" w:type="dxa"/>
            <w:shd w:val="clear" w:color="auto" w:fill="auto"/>
            <w:hideMark/>
          </w:tcPr>
          <w:p w:rsidR="005775DA" w:rsidRPr="00174516" w:rsidRDefault="005775DA" w:rsidP="00764E1A">
            <w:pPr>
              <w:jc w:val="right"/>
              <w:rPr>
                <w:rFonts w:ascii="Arial Narrow" w:hAnsi="Arial Narrow"/>
                <w:color w:val="000000"/>
                <w:sz w:val="12"/>
                <w:szCs w:val="16"/>
              </w:rPr>
            </w:pPr>
            <w:r w:rsidRPr="00174516">
              <w:rPr>
                <w:rFonts w:ascii="Arial Narrow" w:hAnsi="Arial Narrow"/>
                <w:color w:val="000000"/>
                <w:sz w:val="12"/>
                <w:szCs w:val="16"/>
              </w:rPr>
              <w:t> </w:t>
            </w:r>
          </w:p>
        </w:tc>
        <w:tc>
          <w:tcPr>
            <w:tcW w:w="1346" w:type="dxa"/>
            <w:shd w:val="clear" w:color="auto" w:fill="auto"/>
            <w:vAlign w:val="bottom"/>
            <w:hideMark/>
          </w:tcPr>
          <w:p w:rsidR="005775DA" w:rsidRPr="00174516" w:rsidRDefault="005775DA" w:rsidP="00764E1A">
            <w:pPr>
              <w:tabs>
                <w:tab w:val="decimal" w:pos="601"/>
              </w:tabs>
              <w:jc w:val="both"/>
              <w:rPr>
                <w:rFonts w:ascii="Arial Narrow" w:hAnsi="Arial Narrow"/>
                <w:b/>
                <w:bCs/>
                <w:color w:val="000000"/>
                <w:sz w:val="12"/>
                <w:szCs w:val="16"/>
              </w:rPr>
            </w:pPr>
          </w:p>
        </w:tc>
        <w:tc>
          <w:tcPr>
            <w:tcW w:w="1307" w:type="dxa"/>
            <w:shd w:val="clear" w:color="auto" w:fill="auto"/>
            <w:vAlign w:val="bottom"/>
            <w:hideMark/>
          </w:tcPr>
          <w:p w:rsidR="005775DA" w:rsidRPr="00174516" w:rsidRDefault="005775DA" w:rsidP="00764E1A">
            <w:pPr>
              <w:tabs>
                <w:tab w:val="decimal" w:pos="601"/>
              </w:tabs>
              <w:jc w:val="both"/>
              <w:rPr>
                <w:rFonts w:ascii="Arial Narrow" w:hAnsi="Arial Narrow"/>
                <w:b/>
                <w:bCs/>
                <w:sz w:val="12"/>
                <w:szCs w:val="16"/>
              </w:rPr>
            </w:pPr>
          </w:p>
        </w:tc>
        <w:tc>
          <w:tcPr>
            <w:tcW w:w="1276" w:type="dxa"/>
            <w:shd w:val="clear" w:color="auto" w:fill="auto"/>
            <w:vAlign w:val="bottom"/>
            <w:hideMark/>
          </w:tcPr>
          <w:p w:rsidR="005775DA" w:rsidRPr="00174516" w:rsidRDefault="005775DA" w:rsidP="00764E1A">
            <w:pPr>
              <w:tabs>
                <w:tab w:val="decimal" w:pos="601"/>
              </w:tabs>
              <w:jc w:val="both"/>
              <w:rPr>
                <w:rFonts w:ascii="Arial Narrow" w:hAnsi="Arial Narrow"/>
                <w:b/>
                <w:bCs/>
                <w:color w:val="000000"/>
                <w:sz w:val="12"/>
                <w:szCs w:val="16"/>
              </w:rPr>
            </w:pP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b/>
                <w:bCs/>
                <w:color w:val="000000"/>
                <w:sz w:val="16"/>
                <w:szCs w:val="16"/>
              </w:rPr>
            </w:pPr>
            <w:r w:rsidRPr="00AE1E60">
              <w:rPr>
                <w:rFonts w:ascii="Arial Narrow" w:hAnsi="Arial Narrow"/>
                <w:b/>
                <w:bCs/>
                <w:color w:val="000000"/>
                <w:sz w:val="16"/>
                <w:szCs w:val="16"/>
              </w:rPr>
              <w:t>Επιχορηγήσεις ΕΕ</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b/>
                <w:bCs/>
                <w:color w:val="000000"/>
                <w:sz w:val="16"/>
                <w:szCs w:val="16"/>
              </w:rPr>
            </w:pPr>
            <w:r>
              <w:rPr>
                <w:rFonts w:ascii="Arial Narrow" w:hAnsi="Arial Narrow"/>
                <w:b/>
                <w:bCs/>
                <w:color w:val="000000"/>
                <w:sz w:val="16"/>
                <w:szCs w:val="16"/>
              </w:rPr>
              <w:t>1.964</w:t>
            </w:r>
          </w:p>
        </w:tc>
        <w:tc>
          <w:tcPr>
            <w:tcW w:w="1307" w:type="dxa"/>
            <w:shd w:val="clear" w:color="auto" w:fill="auto"/>
            <w:vAlign w:val="bottom"/>
            <w:hideMark/>
          </w:tcPr>
          <w:p w:rsidR="005775DA" w:rsidRPr="00AE1E60" w:rsidRDefault="00171921" w:rsidP="00764E1A">
            <w:pPr>
              <w:tabs>
                <w:tab w:val="decimal" w:pos="601"/>
              </w:tabs>
              <w:jc w:val="both"/>
              <w:rPr>
                <w:rFonts w:ascii="Arial Narrow" w:hAnsi="Arial Narrow"/>
                <w:b/>
                <w:bCs/>
                <w:sz w:val="16"/>
                <w:szCs w:val="16"/>
              </w:rPr>
            </w:pPr>
            <w:r>
              <w:rPr>
                <w:rFonts w:ascii="Arial Narrow" w:hAnsi="Arial Narrow"/>
                <w:b/>
                <w:bCs/>
                <w:sz w:val="16"/>
                <w:szCs w:val="16"/>
              </w:rPr>
              <w:t>3.555</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b/>
                <w:bCs/>
                <w:color w:val="000000"/>
                <w:sz w:val="16"/>
                <w:szCs w:val="16"/>
              </w:rPr>
            </w:pPr>
            <w:r>
              <w:rPr>
                <w:rFonts w:ascii="Arial Narrow" w:hAnsi="Arial Narrow"/>
                <w:b/>
                <w:bCs/>
                <w:color w:val="000000"/>
                <w:sz w:val="16"/>
                <w:szCs w:val="16"/>
              </w:rPr>
              <w:t>3.560</w:t>
            </w: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color w:val="000000"/>
                <w:sz w:val="16"/>
                <w:szCs w:val="16"/>
              </w:rPr>
            </w:pPr>
            <w:r w:rsidRPr="00AE1E60">
              <w:rPr>
                <w:rFonts w:ascii="Arial Narrow" w:hAnsi="Arial Narrow"/>
                <w:color w:val="000000"/>
                <w:sz w:val="16"/>
                <w:szCs w:val="16"/>
              </w:rPr>
              <w:t>- ΕΤΠΑ</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615</w:t>
            </w:r>
          </w:p>
        </w:tc>
        <w:tc>
          <w:tcPr>
            <w:tcW w:w="1307" w:type="dxa"/>
            <w:shd w:val="clear" w:color="auto" w:fill="auto"/>
            <w:vAlign w:val="bottom"/>
            <w:hideMark/>
          </w:tcPr>
          <w:p w:rsidR="005775DA" w:rsidRPr="00AE1E60" w:rsidRDefault="00171921" w:rsidP="00764E1A">
            <w:pPr>
              <w:tabs>
                <w:tab w:val="decimal" w:pos="601"/>
              </w:tabs>
              <w:jc w:val="both"/>
              <w:rPr>
                <w:rFonts w:ascii="Arial Narrow" w:hAnsi="Arial Narrow"/>
                <w:i/>
                <w:iCs/>
                <w:sz w:val="16"/>
                <w:szCs w:val="16"/>
              </w:rPr>
            </w:pPr>
            <w:r>
              <w:rPr>
                <w:rFonts w:ascii="Arial Narrow" w:hAnsi="Arial Narrow"/>
                <w:i/>
                <w:iCs/>
                <w:sz w:val="16"/>
                <w:szCs w:val="16"/>
              </w:rPr>
              <w:t>1.490</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1.485</w:t>
            </w: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color w:val="000000"/>
                <w:sz w:val="16"/>
                <w:szCs w:val="16"/>
              </w:rPr>
            </w:pPr>
            <w:r w:rsidRPr="00AE1E60">
              <w:rPr>
                <w:rFonts w:ascii="Arial Narrow" w:hAnsi="Arial Narrow"/>
                <w:color w:val="000000"/>
                <w:sz w:val="16"/>
                <w:szCs w:val="16"/>
              </w:rPr>
              <w:t>- Ταμείο Συνοχής</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339</w:t>
            </w:r>
          </w:p>
        </w:tc>
        <w:tc>
          <w:tcPr>
            <w:tcW w:w="1307" w:type="dxa"/>
            <w:shd w:val="clear" w:color="auto" w:fill="auto"/>
            <w:vAlign w:val="bottom"/>
            <w:hideMark/>
          </w:tcPr>
          <w:p w:rsidR="005775DA" w:rsidRPr="00AE1E60" w:rsidRDefault="00171921" w:rsidP="00764E1A">
            <w:pPr>
              <w:tabs>
                <w:tab w:val="decimal" w:pos="601"/>
              </w:tabs>
              <w:jc w:val="both"/>
              <w:rPr>
                <w:rFonts w:ascii="Arial Narrow" w:hAnsi="Arial Narrow"/>
                <w:i/>
                <w:iCs/>
                <w:sz w:val="16"/>
                <w:szCs w:val="16"/>
              </w:rPr>
            </w:pPr>
            <w:r>
              <w:rPr>
                <w:rFonts w:ascii="Arial Narrow" w:hAnsi="Arial Narrow"/>
                <w:i/>
                <w:iCs/>
                <w:sz w:val="16"/>
                <w:szCs w:val="16"/>
              </w:rPr>
              <w:t>600</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576</w:t>
            </w: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color w:val="000000"/>
                <w:sz w:val="16"/>
                <w:szCs w:val="16"/>
              </w:rPr>
            </w:pPr>
            <w:r w:rsidRPr="00AE1E60">
              <w:rPr>
                <w:rFonts w:ascii="Arial Narrow" w:hAnsi="Arial Narrow"/>
                <w:color w:val="000000"/>
                <w:sz w:val="16"/>
                <w:szCs w:val="16"/>
              </w:rPr>
              <w:t>- ΕΚΤ</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310</w:t>
            </w:r>
          </w:p>
        </w:tc>
        <w:tc>
          <w:tcPr>
            <w:tcW w:w="1307" w:type="dxa"/>
            <w:shd w:val="clear" w:color="auto" w:fill="auto"/>
            <w:vAlign w:val="bottom"/>
            <w:hideMark/>
          </w:tcPr>
          <w:p w:rsidR="005775DA" w:rsidRPr="00AE1E60" w:rsidRDefault="00171921" w:rsidP="00764E1A">
            <w:pPr>
              <w:tabs>
                <w:tab w:val="decimal" w:pos="601"/>
              </w:tabs>
              <w:jc w:val="both"/>
              <w:rPr>
                <w:rFonts w:ascii="Arial Narrow" w:hAnsi="Arial Narrow"/>
                <w:i/>
                <w:iCs/>
                <w:sz w:val="16"/>
                <w:szCs w:val="16"/>
              </w:rPr>
            </w:pPr>
            <w:r>
              <w:rPr>
                <w:rFonts w:ascii="Arial Narrow" w:hAnsi="Arial Narrow"/>
                <w:i/>
                <w:iCs/>
                <w:sz w:val="16"/>
                <w:szCs w:val="16"/>
              </w:rPr>
              <w:t>800</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689</w:t>
            </w: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color w:val="000000"/>
                <w:sz w:val="16"/>
                <w:szCs w:val="16"/>
              </w:rPr>
            </w:pPr>
            <w:r w:rsidRPr="00AE1E60">
              <w:rPr>
                <w:rFonts w:ascii="Arial Narrow" w:hAnsi="Arial Narrow"/>
                <w:color w:val="000000"/>
                <w:sz w:val="16"/>
                <w:szCs w:val="16"/>
              </w:rPr>
              <w:t xml:space="preserve">- Λοιπά </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13</w:t>
            </w:r>
          </w:p>
        </w:tc>
        <w:tc>
          <w:tcPr>
            <w:tcW w:w="1307" w:type="dxa"/>
            <w:shd w:val="clear" w:color="auto" w:fill="auto"/>
            <w:vAlign w:val="bottom"/>
            <w:hideMark/>
          </w:tcPr>
          <w:p w:rsidR="005775DA" w:rsidRPr="00AE1E60" w:rsidRDefault="00171921" w:rsidP="00764E1A">
            <w:pPr>
              <w:tabs>
                <w:tab w:val="decimal" w:pos="601"/>
              </w:tabs>
              <w:jc w:val="both"/>
              <w:rPr>
                <w:rFonts w:ascii="Arial Narrow" w:hAnsi="Arial Narrow"/>
                <w:i/>
                <w:iCs/>
                <w:sz w:val="16"/>
                <w:szCs w:val="16"/>
              </w:rPr>
            </w:pPr>
            <w:r>
              <w:rPr>
                <w:rFonts w:ascii="Arial Narrow" w:hAnsi="Arial Narrow"/>
                <w:i/>
                <w:iCs/>
                <w:sz w:val="16"/>
                <w:szCs w:val="16"/>
              </w:rPr>
              <w:t>60</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53</w:t>
            </w: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color w:val="000000"/>
                <w:sz w:val="16"/>
                <w:szCs w:val="16"/>
              </w:rPr>
            </w:pPr>
            <w:r w:rsidRPr="00AE1E60">
              <w:rPr>
                <w:rFonts w:ascii="Arial Narrow" w:hAnsi="Arial Narrow"/>
                <w:color w:val="000000"/>
                <w:sz w:val="16"/>
                <w:szCs w:val="16"/>
              </w:rPr>
              <w:t>- Ταμείο Αλληλεγγύης και Διαχείρισης Μεταναστευτικών Ροών</w:t>
            </w:r>
          </w:p>
        </w:tc>
        <w:tc>
          <w:tcPr>
            <w:tcW w:w="1346" w:type="dxa"/>
            <w:shd w:val="clear" w:color="auto" w:fill="auto"/>
            <w:vAlign w:val="center"/>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108</w:t>
            </w:r>
          </w:p>
        </w:tc>
        <w:tc>
          <w:tcPr>
            <w:tcW w:w="1307" w:type="dxa"/>
            <w:shd w:val="clear" w:color="auto" w:fill="auto"/>
            <w:vAlign w:val="center"/>
            <w:hideMark/>
          </w:tcPr>
          <w:p w:rsidR="005775DA" w:rsidRPr="00AE1E60" w:rsidRDefault="00171921" w:rsidP="00764E1A">
            <w:pPr>
              <w:tabs>
                <w:tab w:val="decimal" w:pos="601"/>
              </w:tabs>
              <w:jc w:val="both"/>
              <w:rPr>
                <w:rFonts w:ascii="Arial Narrow" w:hAnsi="Arial Narrow"/>
                <w:i/>
                <w:iCs/>
                <w:sz w:val="16"/>
                <w:szCs w:val="16"/>
              </w:rPr>
            </w:pPr>
            <w:r>
              <w:rPr>
                <w:rFonts w:ascii="Arial Narrow" w:hAnsi="Arial Narrow"/>
                <w:i/>
                <w:iCs/>
                <w:sz w:val="16"/>
                <w:szCs w:val="16"/>
              </w:rPr>
              <w:t>70</w:t>
            </w:r>
          </w:p>
        </w:tc>
        <w:tc>
          <w:tcPr>
            <w:tcW w:w="1276" w:type="dxa"/>
            <w:shd w:val="clear" w:color="auto" w:fill="auto"/>
            <w:vAlign w:val="center"/>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70</w:t>
            </w: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color w:val="000000"/>
                <w:sz w:val="16"/>
                <w:szCs w:val="16"/>
              </w:rPr>
            </w:pPr>
            <w:r w:rsidRPr="00AE1E60">
              <w:rPr>
                <w:rFonts w:ascii="Arial Narrow" w:hAnsi="Arial Narrow"/>
                <w:color w:val="000000"/>
                <w:sz w:val="16"/>
                <w:szCs w:val="16"/>
              </w:rPr>
              <w:t>- ΕΓΤΕ (ΕΓΤΠΕ – Τμήμα Εγγυήσεων)</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10</w:t>
            </w:r>
          </w:p>
        </w:tc>
        <w:tc>
          <w:tcPr>
            <w:tcW w:w="1307" w:type="dxa"/>
            <w:shd w:val="clear" w:color="auto" w:fill="auto"/>
            <w:vAlign w:val="bottom"/>
            <w:hideMark/>
          </w:tcPr>
          <w:p w:rsidR="005775DA" w:rsidRPr="00AE1E60" w:rsidRDefault="00171921" w:rsidP="00764E1A">
            <w:pPr>
              <w:tabs>
                <w:tab w:val="decimal" w:pos="601"/>
              </w:tabs>
              <w:jc w:val="both"/>
              <w:rPr>
                <w:rFonts w:ascii="Arial Narrow" w:hAnsi="Arial Narrow"/>
                <w:i/>
                <w:iCs/>
                <w:sz w:val="16"/>
                <w:szCs w:val="16"/>
              </w:rPr>
            </w:pPr>
            <w:r>
              <w:rPr>
                <w:rFonts w:ascii="Arial Narrow" w:hAnsi="Arial Narrow"/>
                <w:i/>
                <w:iCs/>
                <w:sz w:val="16"/>
                <w:szCs w:val="16"/>
              </w:rPr>
              <w:t>10</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22</w:t>
            </w: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color w:val="000000"/>
                <w:sz w:val="16"/>
                <w:szCs w:val="16"/>
              </w:rPr>
            </w:pPr>
            <w:r>
              <w:rPr>
                <w:rFonts w:ascii="Arial Narrow" w:hAnsi="Arial Narrow"/>
                <w:color w:val="000000"/>
                <w:sz w:val="16"/>
                <w:szCs w:val="16"/>
              </w:rPr>
              <w:t>- ΕΓΤΑΑ (ΕΓΤΠΕ – Τμήμα Προσανατολι</w:t>
            </w:r>
            <w:r w:rsidRPr="00AE1E60">
              <w:rPr>
                <w:rFonts w:ascii="Arial Narrow" w:hAnsi="Arial Narrow"/>
                <w:color w:val="000000"/>
                <w:sz w:val="16"/>
                <w:szCs w:val="16"/>
              </w:rPr>
              <w:t>σμού)</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559</w:t>
            </w:r>
          </w:p>
        </w:tc>
        <w:tc>
          <w:tcPr>
            <w:tcW w:w="1307" w:type="dxa"/>
            <w:shd w:val="clear" w:color="auto" w:fill="auto"/>
            <w:vAlign w:val="bottom"/>
            <w:hideMark/>
          </w:tcPr>
          <w:p w:rsidR="005775DA" w:rsidRPr="00AE1E60" w:rsidRDefault="00171921" w:rsidP="00764E1A">
            <w:pPr>
              <w:tabs>
                <w:tab w:val="decimal" w:pos="601"/>
              </w:tabs>
              <w:jc w:val="both"/>
              <w:rPr>
                <w:rFonts w:ascii="Arial Narrow" w:hAnsi="Arial Narrow"/>
                <w:i/>
                <w:iCs/>
                <w:sz w:val="16"/>
                <w:szCs w:val="16"/>
              </w:rPr>
            </w:pPr>
            <w:r>
              <w:rPr>
                <w:rFonts w:ascii="Arial Narrow" w:hAnsi="Arial Narrow"/>
                <w:i/>
                <w:iCs/>
                <w:sz w:val="16"/>
                <w:szCs w:val="16"/>
              </w:rPr>
              <w:t>490</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622</w:t>
            </w:r>
          </w:p>
        </w:tc>
      </w:tr>
      <w:tr w:rsidR="005775DA" w:rsidRPr="00AE1E60" w:rsidTr="00764E1A">
        <w:trPr>
          <w:trHeight w:val="20"/>
          <w:jc w:val="center"/>
        </w:trPr>
        <w:tc>
          <w:tcPr>
            <w:tcW w:w="3976" w:type="dxa"/>
            <w:shd w:val="clear" w:color="auto" w:fill="auto"/>
            <w:hideMark/>
          </w:tcPr>
          <w:p w:rsidR="005775DA" w:rsidRPr="00AE1E60" w:rsidRDefault="005775DA" w:rsidP="00764E1A">
            <w:pPr>
              <w:rPr>
                <w:rFonts w:ascii="Arial Narrow" w:hAnsi="Arial Narrow"/>
                <w:color w:val="000000"/>
                <w:sz w:val="16"/>
                <w:szCs w:val="16"/>
              </w:rPr>
            </w:pPr>
            <w:r w:rsidRPr="00AE1E60">
              <w:rPr>
                <w:rFonts w:ascii="Arial Narrow" w:hAnsi="Arial Narrow"/>
                <w:color w:val="000000"/>
                <w:sz w:val="16"/>
                <w:szCs w:val="16"/>
              </w:rPr>
              <w:t>- ΕΤΘΑ (ΕΤΑ και ΧΜΠΑ)</w:t>
            </w:r>
          </w:p>
        </w:tc>
        <w:tc>
          <w:tcPr>
            <w:tcW w:w="134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9</w:t>
            </w:r>
          </w:p>
        </w:tc>
        <w:tc>
          <w:tcPr>
            <w:tcW w:w="1307" w:type="dxa"/>
            <w:shd w:val="clear" w:color="auto" w:fill="auto"/>
            <w:vAlign w:val="bottom"/>
            <w:hideMark/>
          </w:tcPr>
          <w:p w:rsidR="005775DA" w:rsidRPr="00AE1E60" w:rsidRDefault="00171921" w:rsidP="00764E1A">
            <w:pPr>
              <w:tabs>
                <w:tab w:val="decimal" w:pos="601"/>
              </w:tabs>
              <w:jc w:val="both"/>
              <w:rPr>
                <w:rFonts w:ascii="Arial Narrow" w:hAnsi="Arial Narrow"/>
                <w:i/>
                <w:iCs/>
                <w:sz w:val="16"/>
                <w:szCs w:val="16"/>
              </w:rPr>
            </w:pPr>
            <w:r>
              <w:rPr>
                <w:rFonts w:ascii="Arial Narrow" w:hAnsi="Arial Narrow"/>
                <w:i/>
                <w:iCs/>
                <w:sz w:val="16"/>
                <w:szCs w:val="16"/>
              </w:rPr>
              <w:t>35</w:t>
            </w:r>
          </w:p>
        </w:tc>
        <w:tc>
          <w:tcPr>
            <w:tcW w:w="1276" w:type="dxa"/>
            <w:shd w:val="clear" w:color="auto" w:fill="auto"/>
            <w:vAlign w:val="bottom"/>
            <w:hideMark/>
          </w:tcPr>
          <w:p w:rsidR="005775DA" w:rsidRPr="00AE1E60" w:rsidRDefault="00171921" w:rsidP="00764E1A">
            <w:pPr>
              <w:tabs>
                <w:tab w:val="decimal" w:pos="601"/>
              </w:tabs>
              <w:jc w:val="both"/>
              <w:rPr>
                <w:rFonts w:ascii="Arial Narrow" w:hAnsi="Arial Narrow"/>
                <w:i/>
                <w:iCs/>
                <w:color w:val="000000"/>
                <w:sz w:val="16"/>
                <w:szCs w:val="16"/>
              </w:rPr>
            </w:pPr>
            <w:r>
              <w:rPr>
                <w:rFonts w:ascii="Arial Narrow" w:hAnsi="Arial Narrow"/>
                <w:i/>
                <w:iCs/>
                <w:color w:val="000000"/>
                <w:sz w:val="16"/>
                <w:szCs w:val="16"/>
              </w:rPr>
              <w:t>43</w:t>
            </w:r>
          </w:p>
        </w:tc>
      </w:tr>
      <w:tr w:rsidR="005775DA" w:rsidRPr="00174516" w:rsidTr="00764E1A">
        <w:trPr>
          <w:trHeight w:val="20"/>
          <w:jc w:val="center"/>
        </w:trPr>
        <w:tc>
          <w:tcPr>
            <w:tcW w:w="3976" w:type="dxa"/>
            <w:shd w:val="clear" w:color="auto" w:fill="auto"/>
            <w:hideMark/>
          </w:tcPr>
          <w:p w:rsidR="005775DA" w:rsidRPr="00174516" w:rsidRDefault="005775DA" w:rsidP="00764E1A">
            <w:pPr>
              <w:jc w:val="both"/>
              <w:rPr>
                <w:rFonts w:ascii="Arial Narrow" w:hAnsi="Arial Narrow"/>
                <w:color w:val="000000"/>
                <w:sz w:val="12"/>
                <w:szCs w:val="16"/>
              </w:rPr>
            </w:pPr>
            <w:r w:rsidRPr="00174516">
              <w:rPr>
                <w:rFonts w:ascii="Arial Narrow" w:hAnsi="Arial Narrow"/>
                <w:color w:val="000000"/>
                <w:sz w:val="12"/>
                <w:szCs w:val="16"/>
              </w:rPr>
              <w:t> </w:t>
            </w:r>
          </w:p>
        </w:tc>
        <w:tc>
          <w:tcPr>
            <w:tcW w:w="1346" w:type="dxa"/>
            <w:shd w:val="clear" w:color="auto" w:fill="auto"/>
            <w:vAlign w:val="bottom"/>
            <w:hideMark/>
          </w:tcPr>
          <w:p w:rsidR="005775DA" w:rsidRPr="00174516" w:rsidRDefault="005775DA" w:rsidP="00764E1A">
            <w:pPr>
              <w:tabs>
                <w:tab w:val="decimal" w:pos="601"/>
              </w:tabs>
              <w:jc w:val="both"/>
              <w:rPr>
                <w:rFonts w:ascii="Arial Narrow" w:hAnsi="Arial Narrow"/>
                <w:b/>
                <w:bCs/>
                <w:color w:val="000000"/>
                <w:sz w:val="12"/>
                <w:szCs w:val="16"/>
              </w:rPr>
            </w:pPr>
          </w:p>
        </w:tc>
        <w:tc>
          <w:tcPr>
            <w:tcW w:w="1307" w:type="dxa"/>
            <w:shd w:val="clear" w:color="auto" w:fill="auto"/>
            <w:vAlign w:val="bottom"/>
            <w:hideMark/>
          </w:tcPr>
          <w:p w:rsidR="005775DA" w:rsidRPr="00174516" w:rsidRDefault="005775DA" w:rsidP="00764E1A">
            <w:pPr>
              <w:tabs>
                <w:tab w:val="decimal" w:pos="601"/>
              </w:tabs>
              <w:jc w:val="both"/>
              <w:rPr>
                <w:rFonts w:ascii="Arial Narrow" w:hAnsi="Arial Narrow"/>
                <w:b/>
                <w:bCs/>
                <w:sz w:val="12"/>
                <w:szCs w:val="16"/>
              </w:rPr>
            </w:pPr>
          </w:p>
        </w:tc>
        <w:tc>
          <w:tcPr>
            <w:tcW w:w="1276" w:type="dxa"/>
            <w:shd w:val="clear" w:color="auto" w:fill="auto"/>
            <w:vAlign w:val="bottom"/>
            <w:hideMark/>
          </w:tcPr>
          <w:p w:rsidR="005775DA" w:rsidRPr="00174516" w:rsidRDefault="005775DA" w:rsidP="00764E1A">
            <w:pPr>
              <w:tabs>
                <w:tab w:val="decimal" w:pos="601"/>
              </w:tabs>
              <w:jc w:val="both"/>
              <w:rPr>
                <w:rFonts w:ascii="Arial Narrow" w:hAnsi="Arial Narrow"/>
                <w:b/>
                <w:bCs/>
                <w:color w:val="000000"/>
                <w:sz w:val="12"/>
                <w:szCs w:val="16"/>
              </w:rPr>
            </w:pPr>
          </w:p>
        </w:tc>
      </w:tr>
      <w:tr w:rsidR="005775DA" w:rsidRPr="00AE1E60" w:rsidTr="00764E1A">
        <w:trPr>
          <w:trHeight w:val="20"/>
          <w:jc w:val="center"/>
        </w:trPr>
        <w:tc>
          <w:tcPr>
            <w:tcW w:w="3976" w:type="dxa"/>
            <w:shd w:val="clear" w:color="auto" w:fill="BFBFBF" w:themeFill="background1" w:themeFillShade="BF"/>
            <w:hideMark/>
          </w:tcPr>
          <w:p w:rsidR="005775DA" w:rsidRPr="00AE1E60" w:rsidRDefault="005775DA" w:rsidP="00764E1A">
            <w:pPr>
              <w:rPr>
                <w:rFonts w:ascii="Arial Narrow" w:hAnsi="Arial Narrow"/>
                <w:b/>
                <w:bCs/>
                <w:color w:val="000000"/>
                <w:sz w:val="16"/>
                <w:szCs w:val="16"/>
              </w:rPr>
            </w:pPr>
            <w:r w:rsidRPr="00AE1E60">
              <w:rPr>
                <w:rFonts w:ascii="Arial Narrow" w:hAnsi="Arial Narrow"/>
                <w:b/>
                <w:bCs/>
                <w:color w:val="000000"/>
                <w:sz w:val="16"/>
                <w:szCs w:val="16"/>
              </w:rPr>
              <w:t>Σύνολο</w:t>
            </w:r>
          </w:p>
        </w:tc>
        <w:tc>
          <w:tcPr>
            <w:tcW w:w="1346" w:type="dxa"/>
            <w:shd w:val="clear" w:color="auto" w:fill="BFBFBF" w:themeFill="background1" w:themeFillShade="BF"/>
            <w:vAlign w:val="bottom"/>
            <w:hideMark/>
          </w:tcPr>
          <w:p w:rsidR="005775DA" w:rsidRPr="00AE1E60" w:rsidRDefault="00171921" w:rsidP="00764E1A">
            <w:pPr>
              <w:tabs>
                <w:tab w:val="decimal" w:pos="601"/>
              </w:tabs>
              <w:jc w:val="both"/>
              <w:rPr>
                <w:rFonts w:ascii="Arial Narrow" w:hAnsi="Arial Narrow"/>
                <w:b/>
                <w:bCs/>
                <w:color w:val="000000"/>
                <w:sz w:val="16"/>
                <w:szCs w:val="16"/>
              </w:rPr>
            </w:pPr>
            <w:r>
              <w:rPr>
                <w:rFonts w:ascii="Arial Narrow" w:hAnsi="Arial Narrow"/>
                <w:b/>
                <w:bCs/>
                <w:color w:val="000000"/>
                <w:sz w:val="16"/>
                <w:szCs w:val="16"/>
              </w:rPr>
              <w:t>2.4</w:t>
            </w:r>
            <w:r w:rsidR="00412B00">
              <w:rPr>
                <w:rFonts w:ascii="Arial Narrow" w:hAnsi="Arial Narrow"/>
                <w:b/>
                <w:bCs/>
                <w:color w:val="000000"/>
                <w:sz w:val="16"/>
                <w:szCs w:val="16"/>
              </w:rPr>
              <w:t>45</w:t>
            </w:r>
          </w:p>
        </w:tc>
        <w:tc>
          <w:tcPr>
            <w:tcW w:w="1307" w:type="dxa"/>
            <w:shd w:val="clear" w:color="auto" w:fill="BFBFBF" w:themeFill="background1" w:themeFillShade="BF"/>
            <w:vAlign w:val="bottom"/>
            <w:hideMark/>
          </w:tcPr>
          <w:p w:rsidR="005775DA" w:rsidRPr="00AE1E60" w:rsidRDefault="00171921" w:rsidP="00764E1A">
            <w:pPr>
              <w:tabs>
                <w:tab w:val="decimal" w:pos="601"/>
              </w:tabs>
              <w:jc w:val="both"/>
              <w:rPr>
                <w:rFonts w:ascii="Arial Narrow" w:hAnsi="Arial Narrow"/>
                <w:b/>
                <w:bCs/>
                <w:sz w:val="16"/>
                <w:szCs w:val="16"/>
              </w:rPr>
            </w:pPr>
            <w:r>
              <w:rPr>
                <w:rFonts w:ascii="Arial Narrow" w:hAnsi="Arial Narrow"/>
                <w:b/>
                <w:bCs/>
                <w:sz w:val="16"/>
                <w:szCs w:val="16"/>
              </w:rPr>
              <w:t>3.</w:t>
            </w:r>
            <w:r w:rsidR="00F84D28">
              <w:rPr>
                <w:rFonts w:ascii="Arial Narrow" w:hAnsi="Arial Narrow"/>
                <w:b/>
                <w:bCs/>
                <w:sz w:val="16"/>
                <w:szCs w:val="16"/>
              </w:rPr>
              <w:t>855</w:t>
            </w:r>
          </w:p>
        </w:tc>
        <w:tc>
          <w:tcPr>
            <w:tcW w:w="1276" w:type="dxa"/>
            <w:shd w:val="clear" w:color="auto" w:fill="BFBFBF" w:themeFill="background1" w:themeFillShade="BF"/>
            <w:vAlign w:val="bottom"/>
            <w:hideMark/>
          </w:tcPr>
          <w:p w:rsidR="005775DA" w:rsidRPr="00AE1E60" w:rsidRDefault="00171921" w:rsidP="00764E1A">
            <w:pPr>
              <w:tabs>
                <w:tab w:val="decimal" w:pos="601"/>
              </w:tabs>
              <w:jc w:val="both"/>
              <w:rPr>
                <w:rFonts w:ascii="Arial Narrow" w:hAnsi="Arial Narrow"/>
                <w:b/>
                <w:bCs/>
                <w:color w:val="000000"/>
                <w:sz w:val="16"/>
                <w:szCs w:val="16"/>
              </w:rPr>
            </w:pPr>
            <w:r>
              <w:rPr>
                <w:rFonts w:ascii="Arial Narrow" w:hAnsi="Arial Narrow"/>
                <w:b/>
                <w:bCs/>
                <w:color w:val="000000"/>
                <w:sz w:val="16"/>
                <w:szCs w:val="16"/>
              </w:rPr>
              <w:t>3.740</w:t>
            </w:r>
          </w:p>
        </w:tc>
      </w:tr>
    </w:tbl>
    <w:p w:rsidR="005775DA" w:rsidRPr="00E67F0E" w:rsidRDefault="005775DA" w:rsidP="000822FB">
      <w:pPr>
        <w:tabs>
          <w:tab w:val="left" w:pos="8015"/>
        </w:tabs>
        <w:ind w:left="1134" w:hanging="567"/>
        <w:rPr>
          <w:rFonts w:ascii="Calibri" w:hAnsi="Calibri"/>
          <w:color w:val="000000"/>
          <w:sz w:val="22"/>
          <w:szCs w:val="22"/>
        </w:rPr>
      </w:pPr>
      <w:r w:rsidRPr="00E67F0E">
        <w:rPr>
          <w:rFonts w:ascii="Arial Narrow" w:hAnsi="Arial Narrow"/>
          <w:iCs/>
          <w:color w:val="000000"/>
          <w:sz w:val="16"/>
          <w:szCs w:val="16"/>
        </w:rPr>
        <w:t xml:space="preserve">Πηγές: </w:t>
      </w:r>
      <w:r>
        <w:rPr>
          <w:rFonts w:ascii="Arial Narrow" w:hAnsi="Arial Narrow"/>
          <w:iCs/>
          <w:color w:val="000000"/>
          <w:sz w:val="16"/>
          <w:szCs w:val="16"/>
        </w:rPr>
        <w:t>ΓΛΚ, Υπεύθυνες Αρχές Πιστοποίησης και Πληρωμής ΕΠ, Διεύθυνση Δημοσίων Επενδύσεων, Υπουργείο Οικονομίας και Ανάπτυξης.</w:t>
      </w:r>
    </w:p>
    <w:p w:rsidR="00432E4D" w:rsidRDefault="00432E4D" w:rsidP="00174516">
      <w:pPr>
        <w:jc w:val="both"/>
        <w:rPr>
          <w:rFonts w:ascii="Arial Narrow" w:hAnsi="Arial Narrow"/>
          <w:b/>
          <w:bCs/>
          <w:i/>
          <w:sz w:val="22"/>
          <w:szCs w:val="22"/>
        </w:rPr>
      </w:pPr>
    </w:p>
    <w:p w:rsidR="00725B76" w:rsidRDefault="00725B76" w:rsidP="00174516">
      <w:pPr>
        <w:jc w:val="both"/>
        <w:rPr>
          <w:rFonts w:ascii="Arial Narrow" w:hAnsi="Arial Narrow"/>
          <w:b/>
          <w:bCs/>
          <w:sz w:val="22"/>
          <w:szCs w:val="22"/>
        </w:rPr>
      </w:pPr>
    </w:p>
    <w:p w:rsidR="00432E4D" w:rsidRPr="008C4267" w:rsidRDefault="008C4267" w:rsidP="00174516">
      <w:pPr>
        <w:jc w:val="both"/>
        <w:rPr>
          <w:rFonts w:ascii="Arial Narrow" w:hAnsi="Arial Narrow"/>
          <w:b/>
          <w:bCs/>
          <w:sz w:val="22"/>
          <w:szCs w:val="22"/>
        </w:rPr>
      </w:pPr>
      <w:r>
        <w:rPr>
          <w:rFonts w:ascii="Arial Narrow" w:hAnsi="Arial Narrow"/>
          <w:b/>
          <w:bCs/>
          <w:sz w:val="22"/>
          <w:szCs w:val="22"/>
        </w:rPr>
        <w:t>Έσοδα χρηματοοικονομικών συναλλαγών</w:t>
      </w:r>
    </w:p>
    <w:p w:rsidR="00432E4D" w:rsidRPr="008C4267" w:rsidRDefault="00432E4D" w:rsidP="00174516">
      <w:pPr>
        <w:jc w:val="both"/>
        <w:rPr>
          <w:rFonts w:ascii="Arial Narrow" w:hAnsi="Arial Narrow"/>
          <w:bCs/>
          <w:i/>
          <w:sz w:val="22"/>
          <w:szCs w:val="22"/>
        </w:rPr>
      </w:pPr>
    </w:p>
    <w:p w:rsidR="008870AD" w:rsidRPr="006A084B" w:rsidRDefault="006A084B" w:rsidP="00174516">
      <w:pPr>
        <w:jc w:val="both"/>
        <w:rPr>
          <w:rFonts w:ascii="Arial Narrow" w:hAnsi="Arial Narrow"/>
          <w:b/>
          <w:bCs/>
          <w:i/>
          <w:sz w:val="22"/>
          <w:szCs w:val="22"/>
        </w:rPr>
      </w:pPr>
      <w:r w:rsidRPr="006A084B">
        <w:rPr>
          <w:rFonts w:ascii="Arial Narrow" w:hAnsi="Arial Narrow"/>
          <w:b/>
          <w:bCs/>
          <w:i/>
          <w:sz w:val="22"/>
          <w:szCs w:val="22"/>
        </w:rPr>
        <w:t>Χρεωστικοί τίτλοι</w:t>
      </w:r>
    </w:p>
    <w:p w:rsidR="008870AD" w:rsidRDefault="008870AD" w:rsidP="00174516">
      <w:pPr>
        <w:jc w:val="both"/>
        <w:rPr>
          <w:bCs/>
          <w:sz w:val="22"/>
          <w:szCs w:val="22"/>
        </w:rPr>
      </w:pPr>
    </w:p>
    <w:p w:rsidR="006A084B" w:rsidRDefault="006A084B" w:rsidP="00174516">
      <w:pPr>
        <w:jc w:val="both"/>
        <w:rPr>
          <w:bCs/>
          <w:sz w:val="22"/>
          <w:szCs w:val="22"/>
        </w:rPr>
      </w:pPr>
      <w:r>
        <w:rPr>
          <w:bCs/>
          <w:sz w:val="22"/>
          <w:szCs w:val="22"/>
        </w:rPr>
        <w:t>Τα έσοδα από χρεολύσια επενδύσεων σ</w:t>
      </w:r>
      <w:r w:rsidR="008C4267">
        <w:rPr>
          <w:bCs/>
          <w:sz w:val="22"/>
          <w:szCs w:val="22"/>
        </w:rPr>
        <w:t>ε ομόλογα ΟΣΕ και ΕΑΣ</w:t>
      </w:r>
      <w:r w:rsidR="00636A64">
        <w:rPr>
          <w:bCs/>
          <w:sz w:val="22"/>
          <w:szCs w:val="22"/>
        </w:rPr>
        <w:t>,</w:t>
      </w:r>
      <w:r w:rsidR="008C4267">
        <w:rPr>
          <w:bCs/>
          <w:sz w:val="22"/>
          <w:szCs w:val="22"/>
        </w:rPr>
        <w:t xml:space="preserve"> τα οποία περιήλθα</w:t>
      </w:r>
      <w:r>
        <w:rPr>
          <w:bCs/>
          <w:sz w:val="22"/>
          <w:szCs w:val="22"/>
        </w:rPr>
        <w:t xml:space="preserve">ν στην κατοχή του Ελληνικού Δημοσίου μετά το </w:t>
      </w:r>
      <w:r>
        <w:rPr>
          <w:bCs/>
          <w:sz w:val="22"/>
          <w:szCs w:val="22"/>
          <w:lang w:val="en-GB"/>
        </w:rPr>
        <w:t>PSI</w:t>
      </w:r>
      <w:r w:rsidR="00003438">
        <w:rPr>
          <w:bCs/>
          <w:sz w:val="22"/>
          <w:szCs w:val="22"/>
        </w:rPr>
        <w:t xml:space="preserve"> προβλέπονται σε 285</w:t>
      </w:r>
      <w:r>
        <w:rPr>
          <w:bCs/>
          <w:sz w:val="22"/>
          <w:szCs w:val="22"/>
        </w:rPr>
        <w:t xml:space="preserve"> εκατ. ευρώ.</w:t>
      </w:r>
    </w:p>
    <w:p w:rsidR="006A084B" w:rsidRDefault="006A084B" w:rsidP="00174516">
      <w:pPr>
        <w:jc w:val="both"/>
        <w:rPr>
          <w:bCs/>
          <w:sz w:val="22"/>
          <w:szCs w:val="22"/>
        </w:rPr>
      </w:pPr>
    </w:p>
    <w:p w:rsidR="006A084B" w:rsidRPr="006A084B" w:rsidRDefault="006A084B" w:rsidP="00174516">
      <w:pPr>
        <w:jc w:val="both"/>
        <w:rPr>
          <w:rFonts w:ascii="Arial Narrow" w:hAnsi="Arial Narrow"/>
          <w:b/>
          <w:bCs/>
          <w:i/>
          <w:sz w:val="22"/>
          <w:szCs w:val="22"/>
        </w:rPr>
      </w:pPr>
      <w:r w:rsidRPr="006A084B">
        <w:rPr>
          <w:rFonts w:ascii="Arial Narrow" w:hAnsi="Arial Narrow"/>
          <w:b/>
          <w:bCs/>
          <w:i/>
          <w:sz w:val="22"/>
          <w:szCs w:val="22"/>
        </w:rPr>
        <w:t>Συμμετοχικοί τίτλοι</w:t>
      </w:r>
    </w:p>
    <w:p w:rsidR="006A084B" w:rsidRDefault="006A084B" w:rsidP="00174516">
      <w:pPr>
        <w:jc w:val="both"/>
        <w:rPr>
          <w:bCs/>
          <w:sz w:val="22"/>
          <w:szCs w:val="22"/>
        </w:rPr>
      </w:pPr>
    </w:p>
    <w:p w:rsidR="006A084B" w:rsidRPr="006A084B" w:rsidRDefault="006A084B" w:rsidP="00174516">
      <w:pPr>
        <w:jc w:val="both"/>
        <w:rPr>
          <w:bCs/>
          <w:sz w:val="22"/>
          <w:szCs w:val="22"/>
        </w:rPr>
      </w:pPr>
      <w:r>
        <w:rPr>
          <w:bCs/>
          <w:sz w:val="22"/>
          <w:szCs w:val="22"/>
        </w:rPr>
        <w:t>Τα έσοδα από πωλήσεις μετοχών διαφόρων εισηγμένων και μη εισηγμένων στο ΧΑ εταιρειών, κυρι</w:t>
      </w:r>
      <w:r>
        <w:rPr>
          <w:bCs/>
          <w:sz w:val="22"/>
          <w:szCs w:val="22"/>
        </w:rPr>
        <w:t>ό</w:t>
      </w:r>
      <w:r>
        <w:rPr>
          <w:bCs/>
          <w:sz w:val="22"/>
          <w:szCs w:val="22"/>
        </w:rPr>
        <w:t>τητας Ελληνικού Δημοσίου ή/και ΤΑΙΠΕΔ ΑΕ, προβλέπονται να ανέλθουν στα 1.124 εκατ. ευρώ.</w:t>
      </w:r>
    </w:p>
    <w:p w:rsidR="00A07AF3" w:rsidRPr="00301426" w:rsidRDefault="00A07AF3" w:rsidP="00FD0526">
      <w:pPr>
        <w:jc w:val="both"/>
        <w:rPr>
          <w:sz w:val="22"/>
          <w:szCs w:val="22"/>
        </w:rPr>
      </w:pPr>
    </w:p>
    <w:p w:rsidR="00063853" w:rsidRPr="003E2BF6" w:rsidRDefault="00063853" w:rsidP="00063853">
      <w:pPr>
        <w:shd w:val="clear" w:color="auto" w:fill="BFBFBF" w:themeFill="background1" w:themeFillShade="BF"/>
        <w:rPr>
          <w:rFonts w:ascii="Arial Narrow" w:hAnsi="Arial Narrow"/>
          <w:b/>
          <w:szCs w:val="26"/>
        </w:rPr>
      </w:pPr>
      <w:r>
        <w:rPr>
          <w:rFonts w:ascii="Arial Narrow" w:hAnsi="Arial Narrow"/>
          <w:b/>
          <w:szCs w:val="26"/>
        </w:rPr>
        <w:t>4.2</w:t>
      </w:r>
      <w:r w:rsidRPr="003E2BF6">
        <w:rPr>
          <w:rFonts w:ascii="Arial Narrow" w:hAnsi="Arial Narrow"/>
          <w:b/>
          <w:szCs w:val="26"/>
        </w:rPr>
        <w:tab/>
      </w:r>
      <w:r>
        <w:rPr>
          <w:rFonts w:ascii="Arial Narrow" w:hAnsi="Arial Narrow"/>
          <w:b/>
          <w:szCs w:val="26"/>
        </w:rPr>
        <w:t>Δαπάνες</w:t>
      </w:r>
    </w:p>
    <w:p w:rsidR="008B5DDB" w:rsidRDefault="008B5DDB" w:rsidP="008B5DDB">
      <w:pPr>
        <w:jc w:val="both"/>
        <w:rPr>
          <w:bCs/>
          <w:sz w:val="22"/>
          <w:szCs w:val="22"/>
        </w:rPr>
      </w:pPr>
    </w:p>
    <w:p w:rsidR="00AD7F0C" w:rsidRPr="007B3D50" w:rsidRDefault="00AD7F0C" w:rsidP="00AD7F0C">
      <w:pPr>
        <w:jc w:val="both"/>
        <w:rPr>
          <w:bCs/>
          <w:sz w:val="22"/>
          <w:szCs w:val="22"/>
        </w:rPr>
      </w:pPr>
      <w:r w:rsidRPr="007B3D50">
        <w:rPr>
          <w:bCs/>
          <w:sz w:val="22"/>
          <w:szCs w:val="22"/>
        </w:rPr>
        <w:t>Οι συνολικές δαπάνες του Κρατικού</w:t>
      </w:r>
      <w:r w:rsidR="007B3D50">
        <w:rPr>
          <w:bCs/>
          <w:sz w:val="22"/>
          <w:szCs w:val="22"/>
        </w:rPr>
        <w:t xml:space="preserve"> Προϋπολογισμού για το έτος 2019</w:t>
      </w:r>
      <w:r w:rsidRPr="007B3D50">
        <w:rPr>
          <w:bCs/>
          <w:sz w:val="22"/>
          <w:szCs w:val="22"/>
        </w:rPr>
        <w:t xml:space="preserve"> εκτιμάται ότι θα διαμορφ</w:t>
      </w:r>
      <w:r w:rsidRPr="007B3D50">
        <w:rPr>
          <w:bCs/>
          <w:sz w:val="22"/>
          <w:szCs w:val="22"/>
        </w:rPr>
        <w:t>ω</w:t>
      </w:r>
      <w:r w:rsidRPr="007B3D50">
        <w:rPr>
          <w:bCs/>
          <w:sz w:val="22"/>
          <w:szCs w:val="22"/>
        </w:rPr>
        <w:t>θούν σε ταμειακή βάση στα 57.</w:t>
      </w:r>
      <w:r w:rsidR="009236C6">
        <w:rPr>
          <w:bCs/>
          <w:sz w:val="22"/>
          <w:szCs w:val="22"/>
        </w:rPr>
        <w:t>79</w:t>
      </w:r>
      <w:r w:rsidR="007B3D50">
        <w:rPr>
          <w:bCs/>
          <w:sz w:val="22"/>
          <w:szCs w:val="22"/>
        </w:rPr>
        <w:t>6</w:t>
      </w:r>
      <w:r w:rsidRPr="007B3D50">
        <w:rPr>
          <w:bCs/>
          <w:sz w:val="22"/>
          <w:szCs w:val="22"/>
        </w:rPr>
        <w:t xml:space="preserve"> εκατ. ευρώ, αυξημένες κατά </w:t>
      </w:r>
      <w:r w:rsidR="00C80EF5">
        <w:rPr>
          <w:bCs/>
          <w:sz w:val="22"/>
          <w:szCs w:val="22"/>
        </w:rPr>
        <w:t>76</w:t>
      </w:r>
      <w:r w:rsidR="007B3D50">
        <w:rPr>
          <w:bCs/>
          <w:sz w:val="22"/>
          <w:szCs w:val="22"/>
        </w:rPr>
        <w:t>1</w:t>
      </w:r>
      <w:r w:rsidRPr="007B3D50">
        <w:rPr>
          <w:bCs/>
          <w:sz w:val="22"/>
          <w:szCs w:val="22"/>
        </w:rPr>
        <w:t xml:space="preserve"> εκατ. ευρώ σε σχέση με τον στ</w:t>
      </w:r>
      <w:r w:rsidRPr="007B3D50">
        <w:rPr>
          <w:bCs/>
          <w:sz w:val="22"/>
          <w:szCs w:val="22"/>
        </w:rPr>
        <w:t>ό</w:t>
      </w:r>
      <w:r w:rsidRPr="007B3D50">
        <w:rPr>
          <w:bCs/>
          <w:sz w:val="22"/>
          <w:szCs w:val="22"/>
        </w:rPr>
        <w:t xml:space="preserve">χο του ΜΠΔΣ 2019-2022. </w:t>
      </w:r>
    </w:p>
    <w:p w:rsidR="00AD7F0C" w:rsidRPr="007B3D50" w:rsidRDefault="00AD7F0C" w:rsidP="00AD7F0C">
      <w:pPr>
        <w:jc w:val="both"/>
        <w:rPr>
          <w:bCs/>
          <w:sz w:val="22"/>
          <w:szCs w:val="22"/>
        </w:rPr>
      </w:pPr>
    </w:p>
    <w:p w:rsidR="00AD7F0C" w:rsidRPr="007B3D50" w:rsidRDefault="00AD7F0C" w:rsidP="00AD7F0C">
      <w:pPr>
        <w:jc w:val="both"/>
        <w:rPr>
          <w:bCs/>
          <w:sz w:val="22"/>
          <w:szCs w:val="22"/>
        </w:rPr>
      </w:pPr>
      <w:r w:rsidRPr="007B3D50">
        <w:rPr>
          <w:bCs/>
          <w:sz w:val="22"/>
          <w:szCs w:val="22"/>
        </w:rPr>
        <w:t>Αντίστοιχα, οι συνολικές δαπάνες του Κρατικού</w:t>
      </w:r>
      <w:r w:rsidR="007B3D50">
        <w:rPr>
          <w:bCs/>
          <w:sz w:val="22"/>
          <w:szCs w:val="22"/>
        </w:rPr>
        <w:t xml:space="preserve"> Προϋπολογισμού για το έτος 2019</w:t>
      </w:r>
      <w:r w:rsidRPr="007B3D50">
        <w:rPr>
          <w:bCs/>
          <w:sz w:val="22"/>
          <w:szCs w:val="22"/>
        </w:rPr>
        <w:t xml:space="preserve"> εκτιμάται ότι θα διαμορφωθούν σε δημοσιονομική βάση στα 5</w:t>
      </w:r>
      <w:r w:rsidR="007B3D50">
        <w:rPr>
          <w:bCs/>
          <w:sz w:val="22"/>
          <w:szCs w:val="22"/>
        </w:rPr>
        <w:t>6.9</w:t>
      </w:r>
      <w:r w:rsidR="00C80EF5">
        <w:rPr>
          <w:bCs/>
          <w:sz w:val="22"/>
          <w:szCs w:val="22"/>
        </w:rPr>
        <w:t>5</w:t>
      </w:r>
      <w:r w:rsidR="007B3D50">
        <w:rPr>
          <w:bCs/>
          <w:sz w:val="22"/>
          <w:szCs w:val="22"/>
        </w:rPr>
        <w:t>6</w:t>
      </w:r>
      <w:r w:rsidRPr="007B3D50">
        <w:rPr>
          <w:bCs/>
          <w:sz w:val="22"/>
          <w:szCs w:val="22"/>
        </w:rPr>
        <w:t xml:space="preserve"> εκατ. ευρώ, </w:t>
      </w:r>
      <w:r w:rsidR="007B3D50">
        <w:rPr>
          <w:bCs/>
          <w:sz w:val="22"/>
          <w:szCs w:val="22"/>
        </w:rPr>
        <w:t>μειω</w:t>
      </w:r>
      <w:r w:rsidRPr="007B3D50">
        <w:rPr>
          <w:bCs/>
          <w:sz w:val="22"/>
          <w:szCs w:val="22"/>
        </w:rPr>
        <w:t xml:space="preserve">μένες κατά </w:t>
      </w:r>
      <w:r w:rsidR="00C80EF5">
        <w:rPr>
          <w:bCs/>
          <w:sz w:val="22"/>
          <w:szCs w:val="22"/>
        </w:rPr>
        <w:t>57</w:t>
      </w:r>
      <w:r w:rsidR="007B3D50">
        <w:rPr>
          <w:bCs/>
          <w:sz w:val="22"/>
          <w:szCs w:val="22"/>
        </w:rPr>
        <w:t>3</w:t>
      </w:r>
      <w:r w:rsidRPr="007B3D50">
        <w:rPr>
          <w:bCs/>
          <w:sz w:val="22"/>
          <w:szCs w:val="22"/>
        </w:rPr>
        <w:t xml:space="preserve"> εκατ. ευρώ σε σχέση με τον στόχο του ΜΠΔΣ 2019-2022.</w:t>
      </w:r>
    </w:p>
    <w:p w:rsidR="00AD7F0C" w:rsidRPr="007B3D50" w:rsidRDefault="00AD7F0C" w:rsidP="00AD7F0C">
      <w:pPr>
        <w:jc w:val="both"/>
        <w:rPr>
          <w:bCs/>
          <w:sz w:val="22"/>
          <w:szCs w:val="22"/>
        </w:rPr>
      </w:pPr>
    </w:p>
    <w:p w:rsidR="00AD7F0C" w:rsidRPr="00706087" w:rsidRDefault="00AD7F0C" w:rsidP="00AD7F0C">
      <w:pPr>
        <w:jc w:val="both"/>
        <w:rPr>
          <w:bCs/>
          <w:sz w:val="22"/>
          <w:szCs w:val="22"/>
        </w:rPr>
      </w:pPr>
      <w:r w:rsidRPr="007B3D50">
        <w:rPr>
          <w:bCs/>
          <w:sz w:val="22"/>
          <w:szCs w:val="22"/>
        </w:rPr>
        <w:t xml:space="preserve">Οι πρωτογενείς δαπάνες του </w:t>
      </w:r>
      <w:r w:rsidR="004A0334">
        <w:rPr>
          <w:bCs/>
          <w:sz w:val="22"/>
          <w:szCs w:val="22"/>
        </w:rPr>
        <w:t>Κρατικού</w:t>
      </w:r>
      <w:r w:rsidRPr="007B3D50">
        <w:rPr>
          <w:bCs/>
          <w:sz w:val="22"/>
          <w:szCs w:val="22"/>
        </w:rPr>
        <w:t xml:space="preserve"> Προϋπολογισμού εκτιμάται ότι θα διαμορφωθούν σε δημοσι</w:t>
      </w:r>
      <w:r w:rsidRPr="007B3D50">
        <w:rPr>
          <w:bCs/>
          <w:sz w:val="22"/>
          <w:szCs w:val="22"/>
        </w:rPr>
        <w:t>ο</w:t>
      </w:r>
      <w:r w:rsidRPr="007B3D50">
        <w:rPr>
          <w:bCs/>
          <w:sz w:val="22"/>
          <w:szCs w:val="22"/>
        </w:rPr>
        <w:t xml:space="preserve">νομική βάση στα </w:t>
      </w:r>
      <w:r w:rsidR="007B3D50">
        <w:rPr>
          <w:bCs/>
          <w:sz w:val="22"/>
          <w:szCs w:val="22"/>
        </w:rPr>
        <w:t>49.9</w:t>
      </w:r>
      <w:r w:rsidR="00C80EF5">
        <w:rPr>
          <w:bCs/>
          <w:sz w:val="22"/>
          <w:szCs w:val="22"/>
        </w:rPr>
        <w:t>5</w:t>
      </w:r>
      <w:r w:rsidR="007B3D50">
        <w:rPr>
          <w:bCs/>
          <w:sz w:val="22"/>
          <w:szCs w:val="22"/>
        </w:rPr>
        <w:t>6</w:t>
      </w:r>
      <w:r w:rsidRPr="007B3D50">
        <w:rPr>
          <w:bCs/>
          <w:sz w:val="22"/>
          <w:szCs w:val="22"/>
        </w:rPr>
        <w:t xml:space="preserve"> εκατ. ευρώ, </w:t>
      </w:r>
      <w:r w:rsidR="007B3D50">
        <w:rPr>
          <w:bCs/>
          <w:sz w:val="22"/>
          <w:szCs w:val="22"/>
        </w:rPr>
        <w:t xml:space="preserve">μειωμένες κατά </w:t>
      </w:r>
      <w:r w:rsidR="00C80EF5">
        <w:rPr>
          <w:bCs/>
          <w:sz w:val="22"/>
          <w:szCs w:val="22"/>
        </w:rPr>
        <w:t>62</w:t>
      </w:r>
      <w:r w:rsidR="007B3D50">
        <w:rPr>
          <w:bCs/>
          <w:sz w:val="22"/>
          <w:szCs w:val="22"/>
        </w:rPr>
        <w:t>3</w:t>
      </w:r>
      <w:r w:rsidRPr="007B3D50">
        <w:rPr>
          <w:bCs/>
          <w:sz w:val="22"/>
          <w:szCs w:val="22"/>
        </w:rPr>
        <w:t xml:space="preserve"> εκατ. ευρώ έναντι του στόχου του ΜΠΔΣ 2019-2022.</w:t>
      </w:r>
    </w:p>
    <w:p w:rsidR="0065172D" w:rsidRPr="00BE2011" w:rsidRDefault="0065172D" w:rsidP="00FB3CD2">
      <w:pPr>
        <w:contextualSpacing/>
        <w:jc w:val="both"/>
        <w:outlineLvl w:val="3"/>
        <w:rPr>
          <w:sz w:val="22"/>
        </w:rPr>
      </w:pPr>
    </w:p>
    <w:p w:rsidR="00FB3CD2" w:rsidRPr="004A0334" w:rsidRDefault="00FB3CD2" w:rsidP="00FB3CD2">
      <w:pPr>
        <w:jc w:val="both"/>
        <w:rPr>
          <w:b/>
          <w:color w:val="000080"/>
          <w:sz w:val="22"/>
          <w:szCs w:val="22"/>
        </w:rPr>
      </w:pPr>
      <w:r w:rsidRPr="009835FE">
        <w:rPr>
          <w:rFonts w:ascii="Arial Narrow" w:hAnsi="Arial Narrow"/>
          <w:b/>
          <w:color w:val="000080"/>
          <w:szCs w:val="22"/>
        </w:rPr>
        <w:t xml:space="preserve">Ανάλυση δαπανών κατά </w:t>
      </w:r>
      <w:r w:rsidR="00063853">
        <w:rPr>
          <w:rFonts w:ascii="Arial Narrow" w:hAnsi="Arial Narrow"/>
          <w:b/>
          <w:color w:val="000080"/>
          <w:szCs w:val="22"/>
        </w:rPr>
        <w:t xml:space="preserve">μείζονες </w:t>
      </w:r>
      <w:r w:rsidRPr="006950CA">
        <w:rPr>
          <w:rFonts w:ascii="Arial Narrow" w:hAnsi="Arial Narrow"/>
          <w:b/>
          <w:color w:val="000080"/>
          <w:szCs w:val="22"/>
        </w:rPr>
        <w:t>κατηγορίες</w:t>
      </w:r>
      <w:r w:rsidR="004A0334" w:rsidRPr="006950CA">
        <w:rPr>
          <w:rFonts w:ascii="Arial Narrow" w:hAnsi="Arial Narrow"/>
          <w:b/>
          <w:color w:val="000080"/>
          <w:szCs w:val="22"/>
        </w:rPr>
        <w:t xml:space="preserve"> </w:t>
      </w:r>
      <w:r w:rsidR="004A0334" w:rsidRPr="006950CA">
        <w:rPr>
          <w:sz w:val="22"/>
          <w:szCs w:val="22"/>
        </w:rPr>
        <w:t>(πίνακας 3</w:t>
      </w:r>
      <w:r w:rsidR="00603648" w:rsidRPr="006950CA">
        <w:rPr>
          <w:sz w:val="22"/>
          <w:szCs w:val="22"/>
        </w:rPr>
        <w:t>.6</w:t>
      </w:r>
      <w:r w:rsidR="004A0334" w:rsidRPr="006950CA">
        <w:rPr>
          <w:sz w:val="22"/>
          <w:szCs w:val="22"/>
        </w:rPr>
        <w:t>)</w:t>
      </w:r>
    </w:p>
    <w:p w:rsidR="00FB3CD2" w:rsidRPr="0064178C" w:rsidRDefault="00FB3CD2" w:rsidP="00FB3CD2">
      <w:pPr>
        <w:jc w:val="both"/>
        <w:outlineLvl w:val="3"/>
        <w:rPr>
          <w:sz w:val="22"/>
        </w:rPr>
      </w:pPr>
    </w:p>
    <w:p w:rsidR="004A0334" w:rsidRPr="004A0334" w:rsidRDefault="004A0334" w:rsidP="00FB3CD2">
      <w:pPr>
        <w:jc w:val="both"/>
        <w:outlineLvl w:val="3"/>
        <w:rPr>
          <w:rFonts w:ascii="Arial Narrow" w:hAnsi="Arial Narrow"/>
          <w:b/>
        </w:rPr>
      </w:pPr>
      <w:r w:rsidRPr="004A0334">
        <w:rPr>
          <w:rFonts w:ascii="Arial Narrow" w:hAnsi="Arial Narrow"/>
          <w:b/>
        </w:rPr>
        <w:t>Δαπάνες μη χρηματοοικονομικών συναλλαγών</w:t>
      </w:r>
    </w:p>
    <w:p w:rsidR="004A0334" w:rsidRPr="0064178C" w:rsidRDefault="004A0334" w:rsidP="00FB3CD2">
      <w:pPr>
        <w:jc w:val="both"/>
        <w:outlineLvl w:val="3"/>
        <w:rPr>
          <w:sz w:val="22"/>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Παροχές σε εργαζομένους</w:t>
      </w:r>
    </w:p>
    <w:p w:rsidR="00FB3CD2" w:rsidRPr="00FC2F0A" w:rsidRDefault="00FB3CD2" w:rsidP="00FB3CD2">
      <w:pPr>
        <w:jc w:val="both"/>
        <w:outlineLvl w:val="3"/>
        <w:rPr>
          <w:iCs/>
          <w:sz w:val="22"/>
          <w:szCs w:val="22"/>
        </w:rPr>
      </w:pPr>
    </w:p>
    <w:p w:rsidR="00FB3CD2" w:rsidRDefault="00FB3CD2" w:rsidP="00FB3CD2">
      <w:pPr>
        <w:jc w:val="both"/>
        <w:outlineLvl w:val="3"/>
        <w:rPr>
          <w:iCs/>
          <w:sz w:val="22"/>
          <w:szCs w:val="22"/>
        </w:rPr>
      </w:pPr>
      <w:r w:rsidRPr="00FC2F0A">
        <w:rPr>
          <w:iCs/>
          <w:sz w:val="22"/>
          <w:szCs w:val="22"/>
        </w:rPr>
        <w:t>Οι δαπάνες παροχών σε εργαζομένο</w:t>
      </w:r>
      <w:r w:rsidR="0065172D">
        <w:rPr>
          <w:iCs/>
          <w:sz w:val="22"/>
          <w:szCs w:val="22"/>
        </w:rPr>
        <w:t xml:space="preserve">υς προβλέπεται ότι θα ανέλθουν σε </w:t>
      </w:r>
      <w:r w:rsidR="00865E16">
        <w:rPr>
          <w:iCs/>
          <w:sz w:val="22"/>
          <w:szCs w:val="22"/>
        </w:rPr>
        <w:t>ταμειακή</w:t>
      </w:r>
      <w:r w:rsidR="0065172D">
        <w:rPr>
          <w:iCs/>
          <w:sz w:val="22"/>
          <w:szCs w:val="22"/>
        </w:rPr>
        <w:t xml:space="preserve"> βάση</w:t>
      </w:r>
      <w:r w:rsidRPr="00FC2F0A">
        <w:rPr>
          <w:iCs/>
          <w:sz w:val="22"/>
          <w:szCs w:val="22"/>
        </w:rPr>
        <w:t xml:space="preserve"> στα </w:t>
      </w:r>
      <w:r w:rsidR="00865E16">
        <w:rPr>
          <w:iCs/>
          <w:sz w:val="22"/>
          <w:szCs w:val="22"/>
        </w:rPr>
        <w:t xml:space="preserve">13.016 </w:t>
      </w:r>
      <w:r w:rsidRPr="00FC2F0A">
        <w:rPr>
          <w:iCs/>
          <w:sz w:val="22"/>
          <w:szCs w:val="22"/>
        </w:rPr>
        <w:t>εκατ. ευρώ</w:t>
      </w:r>
      <w:r w:rsidR="0065172D">
        <w:rPr>
          <w:iCs/>
          <w:sz w:val="22"/>
          <w:szCs w:val="22"/>
        </w:rPr>
        <w:t>,</w:t>
      </w:r>
      <w:r w:rsidRPr="00FC2F0A">
        <w:rPr>
          <w:iCs/>
          <w:sz w:val="22"/>
          <w:szCs w:val="22"/>
        </w:rPr>
        <w:t xml:space="preserve"> αυξημένες κατά </w:t>
      </w:r>
      <w:r w:rsidR="00C9239E">
        <w:rPr>
          <w:iCs/>
          <w:sz w:val="22"/>
          <w:szCs w:val="22"/>
        </w:rPr>
        <w:t>2</w:t>
      </w:r>
      <w:r w:rsidRPr="00FC2F0A">
        <w:rPr>
          <w:iCs/>
          <w:sz w:val="22"/>
          <w:szCs w:val="22"/>
        </w:rPr>
        <w:t>5 εκατ. ευρώ σε σχέση με τον στόχο του ΜΠΔΣ 2019-</w:t>
      </w:r>
      <w:r w:rsidR="005775DA">
        <w:rPr>
          <w:iCs/>
          <w:sz w:val="22"/>
          <w:szCs w:val="22"/>
        </w:rPr>
        <w:t>2022.</w:t>
      </w:r>
    </w:p>
    <w:p w:rsidR="00263F72" w:rsidRDefault="00263F72" w:rsidP="00FB3CD2">
      <w:pPr>
        <w:jc w:val="both"/>
        <w:outlineLvl w:val="3"/>
        <w:rPr>
          <w:iCs/>
          <w:sz w:val="22"/>
          <w:szCs w:val="22"/>
        </w:rPr>
      </w:pPr>
    </w:p>
    <w:p w:rsidR="00FB3CD2" w:rsidRDefault="005775DA" w:rsidP="00FB3CD2">
      <w:pPr>
        <w:jc w:val="both"/>
        <w:outlineLvl w:val="3"/>
        <w:rPr>
          <w:iCs/>
          <w:sz w:val="22"/>
          <w:szCs w:val="22"/>
        </w:rPr>
      </w:pPr>
      <w:r>
        <w:rPr>
          <w:iCs/>
          <w:sz w:val="22"/>
          <w:szCs w:val="22"/>
        </w:rPr>
        <w:t>Επισημαίνεται ότι</w:t>
      </w:r>
      <w:r w:rsidR="004A0334">
        <w:rPr>
          <w:iCs/>
          <w:sz w:val="22"/>
          <w:szCs w:val="22"/>
        </w:rPr>
        <w:t xml:space="preserve"> οι πρόσθετες αποδοχές προβλέπε</w:t>
      </w:r>
      <w:r>
        <w:rPr>
          <w:iCs/>
          <w:sz w:val="22"/>
          <w:szCs w:val="22"/>
        </w:rPr>
        <w:t xml:space="preserve">ται να ανέλθουν σε 503 εκατ. ευρώ. </w:t>
      </w:r>
    </w:p>
    <w:p w:rsidR="00865E16" w:rsidRPr="00FC2F0A" w:rsidRDefault="00865E16" w:rsidP="00FB3CD2">
      <w:pPr>
        <w:jc w:val="both"/>
        <w:outlineLvl w:val="3"/>
        <w:rPr>
          <w:iCs/>
          <w:sz w:val="22"/>
          <w:szCs w:val="22"/>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Κοινωνικές Παροχές</w:t>
      </w:r>
    </w:p>
    <w:p w:rsidR="00FB3CD2" w:rsidRPr="00FC2F0A" w:rsidRDefault="00FB3CD2" w:rsidP="00FB3CD2">
      <w:pPr>
        <w:ind w:left="360"/>
        <w:jc w:val="both"/>
        <w:outlineLvl w:val="3"/>
        <w:rPr>
          <w:rFonts w:ascii="Arial Narrow" w:hAnsi="Arial Narrow"/>
          <w:b/>
          <w:iCs/>
          <w:sz w:val="22"/>
          <w:szCs w:val="22"/>
          <w:lang w:bidi="en-US"/>
        </w:rPr>
      </w:pPr>
    </w:p>
    <w:p w:rsidR="00E05E33" w:rsidRPr="00087B26" w:rsidRDefault="00E05E33" w:rsidP="00E05E33">
      <w:pPr>
        <w:jc w:val="both"/>
        <w:outlineLvl w:val="3"/>
        <w:rPr>
          <w:iCs/>
          <w:sz w:val="22"/>
          <w:szCs w:val="22"/>
        </w:rPr>
      </w:pPr>
      <w:r w:rsidRPr="00087B26">
        <w:rPr>
          <w:iCs/>
          <w:sz w:val="22"/>
          <w:szCs w:val="22"/>
        </w:rPr>
        <w:t>Οι δαπάνες της κατηγορίας αυτής σε ταμειακή βάση προβλέπεται ότι θα διαμορφωθούν στα 246 εκατ. ευρώ, μειωμένες κατά 2.179 εκατ. ευρώ, έναντι του στόχου του ΜΠΔΣ</w:t>
      </w:r>
      <w:r>
        <w:rPr>
          <w:iCs/>
          <w:sz w:val="22"/>
          <w:szCs w:val="22"/>
        </w:rPr>
        <w:t xml:space="preserve"> 2019-2022</w:t>
      </w:r>
      <w:r w:rsidRPr="00087B26">
        <w:rPr>
          <w:iCs/>
          <w:sz w:val="22"/>
          <w:szCs w:val="22"/>
        </w:rPr>
        <w:t>, κυρίως λόγω της μεταφοράς πιστώσεων στην κατηγορία των μεταβιβάσεων για την επιχορήγηση στον ΟΠΕΚΑ με σκοπό την υλοποίηση της δράσης του ΚΕΑ, καθώς και λόγω της άρσης των εξισορροπητικών παρε</w:t>
      </w:r>
      <w:r w:rsidRPr="00087B26">
        <w:rPr>
          <w:iCs/>
          <w:sz w:val="22"/>
          <w:szCs w:val="22"/>
        </w:rPr>
        <w:t>μ</w:t>
      </w:r>
      <w:r w:rsidRPr="00087B26">
        <w:rPr>
          <w:iCs/>
          <w:sz w:val="22"/>
          <w:szCs w:val="22"/>
        </w:rPr>
        <w:t>βάσεων του 2019</w:t>
      </w:r>
      <w:r w:rsidR="0000442E">
        <w:rPr>
          <w:iCs/>
          <w:sz w:val="22"/>
          <w:szCs w:val="22"/>
        </w:rPr>
        <w:t>,</w:t>
      </w:r>
      <w:r w:rsidRPr="00087B26">
        <w:rPr>
          <w:iCs/>
          <w:sz w:val="22"/>
          <w:szCs w:val="22"/>
        </w:rPr>
        <w:t xml:space="preserve"> όπως αυτές είχαν παρουσιαστεί στο ΜΠΔΣ 2019-2022.</w:t>
      </w:r>
    </w:p>
    <w:p w:rsidR="00FB3CD2" w:rsidRPr="00FC2F0A" w:rsidRDefault="00FB3CD2" w:rsidP="00FB3CD2">
      <w:pPr>
        <w:jc w:val="both"/>
        <w:outlineLvl w:val="3"/>
        <w:rPr>
          <w:iCs/>
          <w:sz w:val="22"/>
          <w:szCs w:val="22"/>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Μεταβιβάσεις</w:t>
      </w:r>
    </w:p>
    <w:p w:rsidR="00FB3CD2" w:rsidRPr="00FC2F0A" w:rsidRDefault="00FB3CD2" w:rsidP="00FB3CD2">
      <w:pPr>
        <w:jc w:val="both"/>
        <w:outlineLvl w:val="3"/>
        <w:rPr>
          <w:iCs/>
          <w:sz w:val="22"/>
          <w:szCs w:val="22"/>
        </w:rPr>
      </w:pPr>
    </w:p>
    <w:p w:rsidR="00E05E33" w:rsidRPr="00087B26" w:rsidRDefault="00E05E33" w:rsidP="00E05E33">
      <w:pPr>
        <w:jc w:val="both"/>
        <w:outlineLvl w:val="3"/>
        <w:rPr>
          <w:iCs/>
          <w:sz w:val="22"/>
          <w:szCs w:val="22"/>
        </w:rPr>
      </w:pPr>
      <w:r w:rsidRPr="00087B26">
        <w:rPr>
          <w:iCs/>
          <w:sz w:val="22"/>
          <w:szCs w:val="22"/>
        </w:rPr>
        <w:t>Οι δαπάνες για μεταβιβάσεις σε ταμειακή βάση προβλέπεται ότι θα διαμορφωθούν στα 26.104 εκατ. ευρώ, αυξημένες κατά 2.270 εκατ. ευρώ έναντι του στόχου του ΜΠΔΣ</w:t>
      </w:r>
      <w:r>
        <w:rPr>
          <w:iCs/>
          <w:sz w:val="22"/>
          <w:szCs w:val="22"/>
        </w:rPr>
        <w:t xml:space="preserve"> 2019-2022</w:t>
      </w:r>
      <w:r w:rsidRPr="00087B26">
        <w:rPr>
          <w:iCs/>
          <w:sz w:val="22"/>
          <w:szCs w:val="22"/>
        </w:rPr>
        <w:t xml:space="preserve">, κυρίως λόγω της </w:t>
      </w:r>
      <w:r w:rsidR="004A0334">
        <w:rPr>
          <w:iCs/>
          <w:sz w:val="22"/>
          <w:szCs w:val="22"/>
        </w:rPr>
        <w:t>μεταφοράς</w:t>
      </w:r>
      <w:r w:rsidRPr="00087B26">
        <w:rPr>
          <w:iCs/>
          <w:sz w:val="22"/>
          <w:szCs w:val="22"/>
        </w:rPr>
        <w:t xml:space="preserve"> πιστώσεων προς τον ΟΠΕΚΑ για την </w:t>
      </w:r>
      <w:r w:rsidR="0000442E">
        <w:rPr>
          <w:iCs/>
          <w:sz w:val="22"/>
          <w:szCs w:val="22"/>
        </w:rPr>
        <w:t>υλοποίηση</w:t>
      </w:r>
      <w:r w:rsidRPr="00087B26">
        <w:rPr>
          <w:iCs/>
          <w:sz w:val="22"/>
          <w:szCs w:val="22"/>
        </w:rPr>
        <w:t xml:space="preserve"> του ΚΕΑ, της αυξημένης επιχορήγησης στον ΕΦΚΑ, καθώς και λόγω δράσεων όπως η επιδότηση στέγασης και η επιδότηση ασφαλιστικών εισφορών για νέους εργαζόμενους.</w:t>
      </w:r>
    </w:p>
    <w:p w:rsidR="00FB3CD2" w:rsidRPr="00FC2F0A" w:rsidRDefault="00FB3CD2" w:rsidP="00FB3CD2">
      <w:pPr>
        <w:jc w:val="both"/>
        <w:outlineLvl w:val="3"/>
        <w:rPr>
          <w:iCs/>
          <w:sz w:val="22"/>
          <w:szCs w:val="22"/>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Αγορές αγαθών και υπηρεσιών</w:t>
      </w:r>
    </w:p>
    <w:p w:rsidR="00FB3CD2" w:rsidRPr="00FC2F0A" w:rsidRDefault="00FB3CD2" w:rsidP="00FB3CD2">
      <w:pPr>
        <w:jc w:val="both"/>
        <w:outlineLvl w:val="3"/>
        <w:rPr>
          <w:bCs/>
          <w:sz w:val="22"/>
          <w:szCs w:val="22"/>
        </w:rPr>
      </w:pPr>
    </w:p>
    <w:p w:rsidR="00FB3CD2" w:rsidRPr="00FC2F0A" w:rsidRDefault="00FB3CD2" w:rsidP="00FB3CD2">
      <w:pPr>
        <w:jc w:val="both"/>
        <w:outlineLvl w:val="3"/>
        <w:rPr>
          <w:bCs/>
          <w:i/>
          <w:iCs/>
          <w:sz w:val="22"/>
          <w:szCs w:val="22"/>
        </w:rPr>
      </w:pPr>
      <w:r w:rsidRPr="00FC2F0A">
        <w:rPr>
          <w:bCs/>
          <w:sz w:val="22"/>
          <w:szCs w:val="22"/>
        </w:rPr>
        <w:t>Η πρόβλεψη για αυτή την κατη</w:t>
      </w:r>
      <w:r w:rsidR="002B7722">
        <w:rPr>
          <w:bCs/>
          <w:sz w:val="22"/>
          <w:szCs w:val="22"/>
        </w:rPr>
        <w:t>γορία για το έτος 2019 είναι 1.324</w:t>
      </w:r>
      <w:r w:rsidRPr="00FC2F0A">
        <w:rPr>
          <w:bCs/>
          <w:sz w:val="22"/>
          <w:szCs w:val="22"/>
        </w:rPr>
        <w:t xml:space="preserve"> εκατ. ευρώ, </w:t>
      </w:r>
      <w:r w:rsidR="002B7722">
        <w:rPr>
          <w:bCs/>
          <w:sz w:val="22"/>
          <w:szCs w:val="22"/>
        </w:rPr>
        <w:t>αυξημένη κατά 25</w:t>
      </w:r>
      <w:r w:rsidR="000735C1">
        <w:rPr>
          <w:bCs/>
          <w:sz w:val="22"/>
          <w:szCs w:val="22"/>
        </w:rPr>
        <w:t xml:space="preserve"> εκατ. ευρώ σε σχέση </w:t>
      </w:r>
      <w:r w:rsidRPr="00FC2F0A">
        <w:rPr>
          <w:bCs/>
          <w:sz w:val="22"/>
          <w:szCs w:val="22"/>
        </w:rPr>
        <w:t>με το</w:t>
      </w:r>
      <w:r w:rsidR="00174516">
        <w:rPr>
          <w:bCs/>
          <w:sz w:val="22"/>
          <w:szCs w:val="22"/>
        </w:rPr>
        <w:t>ν</w:t>
      </w:r>
      <w:r w:rsidRPr="00FC2F0A">
        <w:rPr>
          <w:bCs/>
          <w:sz w:val="22"/>
          <w:szCs w:val="22"/>
        </w:rPr>
        <w:t xml:space="preserve"> στόχο του ΜΠΔΣ</w:t>
      </w:r>
      <w:r w:rsidR="00392FEB">
        <w:rPr>
          <w:bCs/>
          <w:sz w:val="22"/>
          <w:szCs w:val="22"/>
        </w:rPr>
        <w:t xml:space="preserve"> 2019-2022</w:t>
      </w:r>
      <w:r w:rsidRPr="00FC2F0A">
        <w:rPr>
          <w:bCs/>
          <w:sz w:val="22"/>
          <w:szCs w:val="22"/>
        </w:rPr>
        <w:t>.</w:t>
      </w:r>
      <w:r w:rsidRPr="00FC2F0A">
        <w:rPr>
          <w:bCs/>
          <w:i/>
          <w:iCs/>
          <w:sz w:val="22"/>
          <w:szCs w:val="22"/>
        </w:rPr>
        <w:t xml:space="preserve"> </w:t>
      </w:r>
    </w:p>
    <w:p w:rsidR="000822FB" w:rsidRPr="002B7722" w:rsidRDefault="000822FB" w:rsidP="00FB3CD2">
      <w:pPr>
        <w:jc w:val="both"/>
        <w:outlineLvl w:val="3"/>
        <w:rPr>
          <w:bCs/>
          <w:iCs/>
          <w:sz w:val="22"/>
          <w:szCs w:val="22"/>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Επιδοτήσεις</w:t>
      </w:r>
    </w:p>
    <w:p w:rsidR="00FB3CD2" w:rsidRPr="00FC2F0A" w:rsidRDefault="00FB3CD2" w:rsidP="00FB3CD2">
      <w:pPr>
        <w:jc w:val="both"/>
        <w:outlineLvl w:val="3"/>
        <w:rPr>
          <w:bCs/>
          <w:sz w:val="22"/>
          <w:szCs w:val="22"/>
        </w:rPr>
      </w:pPr>
    </w:p>
    <w:p w:rsidR="00FB3CD2" w:rsidRPr="00FC2F0A" w:rsidRDefault="00FB3CD2" w:rsidP="00FB3CD2">
      <w:pPr>
        <w:jc w:val="both"/>
        <w:outlineLvl w:val="3"/>
        <w:rPr>
          <w:bCs/>
          <w:sz w:val="22"/>
          <w:szCs w:val="22"/>
        </w:rPr>
      </w:pPr>
      <w:r w:rsidRPr="00FC2F0A">
        <w:rPr>
          <w:bCs/>
          <w:sz w:val="22"/>
          <w:szCs w:val="22"/>
        </w:rPr>
        <w:t xml:space="preserve">Η πρόβλεψη για αυτή την κατηγορία για το έτος 2019 είναι 150 εκατ. ευρώ και </w:t>
      </w:r>
      <w:r w:rsidR="000735C1">
        <w:rPr>
          <w:bCs/>
          <w:sz w:val="22"/>
          <w:szCs w:val="22"/>
        </w:rPr>
        <w:t>δεν έχει διαφοροποι</w:t>
      </w:r>
      <w:r w:rsidR="000735C1">
        <w:rPr>
          <w:bCs/>
          <w:sz w:val="22"/>
          <w:szCs w:val="22"/>
        </w:rPr>
        <w:t>η</w:t>
      </w:r>
      <w:r w:rsidR="000735C1">
        <w:rPr>
          <w:bCs/>
          <w:sz w:val="22"/>
          <w:szCs w:val="22"/>
        </w:rPr>
        <w:t xml:space="preserve">θεί σε σχέση με </w:t>
      </w:r>
      <w:r w:rsidRPr="00FC2F0A">
        <w:rPr>
          <w:bCs/>
          <w:sz w:val="22"/>
          <w:szCs w:val="22"/>
        </w:rPr>
        <w:t>τον στόχο του ΜΠΔΣ</w:t>
      </w:r>
      <w:r w:rsidR="00392FEB">
        <w:rPr>
          <w:bCs/>
          <w:sz w:val="22"/>
          <w:szCs w:val="22"/>
        </w:rPr>
        <w:t xml:space="preserve"> 2019-2022</w:t>
      </w:r>
      <w:r w:rsidRPr="00FC2F0A">
        <w:rPr>
          <w:bCs/>
          <w:sz w:val="22"/>
          <w:szCs w:val="22"/>
        </w:rPr>
        <w:t>.</w:t>
      </w:r>
    </w:p>
    <w:p w:rsidR="006A084B" w:rsidRPr="00FC2F0A" w:rsidRDefault="006A084B" w:rsidP="00FB3CD2">
      <w:pPr>
        <w:jc w:val="both"/>
        <w:outlineLvl w:val="3"/>
        <w:rPr>
          <w:bCs/>
          <w:sz w:val="22"/>
          <w:szCs w:val="22"/>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Τόκοι (σε ακαθάριστη βάση)</w:t>
      </w:r>
    </w:p>
    <w:p w:rsidR="00FB3CD2" w:rsidRPr="00FC2F0A" w:rsidRDefault="00FB3CD2" w:rsidP="00FB3CD2">
      <w:pPr>
        <w:jc w:val="both"/>
        <w:outlineLvl w:val="3"/>
        <w:rPr>
          <w:iCs/>
          <w:sz w:val="22"/>
          <w:szCs w:val="22"/>
        </w:rPr>
      </w:pPr>
    </w:p>
    <w:p w:rsidR="002B7722" w:rsidRPr="00087B26" w:rsidRDefault="002B7722" w:rsidP="002B7722">
      <w:pPr>
        <w:jc w:val="both"/>
        <w:outlineLvl w:val="3"/>
        <w:rPr>
          <w:iCs/>
          <w:sz w:val="22"/>
          <w:szCs w:val="22"/>
        </w:rPr>
      </w:pPr>
      <w:r w:rsidRPr="00087B26">
        <w:rPr>
          <w:iCs/>
          <w:sz w:val="22"/>
          <w:szCs w:val="22"/>
        </w:rPr>
        <w:t xml:space="preserve">Η εκτίμηση για τις δαπάνες τόκων σε ακαθάριστη ταμειακή βάση, ανέρχεται σε 6.600 εκατ. ευρώ. </w:t>
      </w:r>
    </w:p>
    <w:p w:rsidR="0064178C" w:rsidRDefault="0064178C" w:rsidP="00231A6C">
      <w:pPr>
        <w:jc w:val="both"/>
        <w:outlineLvl w:val="3"/>
        <w:rPr>
          <w:rFonts w:ascii="Arial Narrow" w:hAnsi="Arial Narrow"/>
          <w:b/>
          <w:i/>
          <w:iCs/>
          <w:sz w:val="22"/>
          <w:szCs w:val="22"/>
          <w:lang w:bidi="en-US"/>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Λοιπές Δαπάνες</w:t>
      </w:r>
    </w:p>
    <w:p w:rsidR="00FB3CD2" w:rsidRPr="00FC2F0A" w:rsidRDefault="00FB3CD2" w:rsidP="00FB3CD2">
      <w:pPr>
        <w:jc w:val="both"/>
        <w:outlineLvl w:val="3"/>
        <w:rPr>
          <w:iCs/>
          <w:sz w:val="22"/>
          <w:szCs w:val="22"/>
        </w:rPr>
      </w:pPr>
    </w:p>
    <w:p w:rsidR="00FB3CD2" w:rsidRPr="00FC2F0A" w:rsidRDefault="007B0863" w:rsidP="00FB3CD2">
      <w:pPr>
        <w:jc w:val="both"/>
        <w:outlineLvl w:val="3"/>
        <w:rPr>
          <w:iCs/>
          <w:sz w:val="22"/>
          <w:szCs w:val="22"/>
        </w:rPr>
      </w:pPr>
      <w:r w:rsidRPr="00087B26">
        <w:rPr>
          <w:iCs/>
          <w:sz w:val="22"/>
          <w:szCs w:val="22"/>
        </w:rPr>
        <w:t>Στην κατηγορία αυτή περιλαμβάνεται η πρόβλεψη για τη δαπάνη από τις επιστροφές από ανεκτέλεστα προγράμματα στην ΕΕ ύψους 51 εκατ. ευρώ και παραμένει στα ίδια επί</w:t>
      </w:r>
      <w:r>
        <w:rPr>
          <w:iCs/>
          <w:sz w:val="22"/>
          <w:szCs w:val="22"/>
        </w:rPr>
        <w:t>πεδα με την αντίστοιχη του ΜΠΔΣ 2</w:t>
      </w:r>
      <w:r w:rsidR="00322C21">
        <w:rPr>
          <w:iCs/>
          <w:sz w:val="22"/>
          <w:szCs w:val="22"/>
        </w:rPr>
        <w:t>019-2022</w:t>
      </w:r>
      <w:r w:rsidR="00FB3CD2" w:rsidRPr="00FC2F0A">
        <w:rPr>
          <w:iCs/>
          <w:sz w:val="22"/>
          <w:szCs w:val="22"/>
        </w:rPr>
        <w:t>.</w:t>
      </w:r>
    </w:p>
    <w:p w:rsidR="00FB3CD2" w:rsidRDefault="00FB3CD2" w:rsidP="00FB3CD2">
      <w:pPr>
        <w:jc w:val="both"/>
        <w:outlineLvl w:val="3"/>
        <w:rPr>
          <w:iCs/>
          <w:sz w:val="22"/>
          <w:szCs w:val="22"/>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Πιστώσεις υπό κατανομή</w:t>
      </w:r>
    </w:p>
    <w:p w:rsidR="00FB3CD2" w:rsidRPr="00FC2F0A" w:rsidRDefault="00FB3CD2" w:rsidP="00FB3CD2">
      <w:pPr>
        <w:jc w:val="both"/>
        <w:outlineLvl w:val="3"/>
        <w:rPr>
          <w:bCs/>
          <w:sz w:val="22"/>
          <w:szCs w:val="22"/>
        </w:rPr>
      </w:pPr>
    </w:p>
    <w:p w:rsidR="007B0863" w:rsidRPr="00087B26" w:rsidRDefault="007B0863" w:rsidP="007B0863">
      <w:pPr>
        <w:jc w:val="both"/>
        <w:outlineLvl w:val="3"/>
        <w:rPr>
          <w:bCs/>
          <w:sz w:val="22"/>
          <w:szCs w:val="22"/>
        </w:rPr>
      </w:pPr>
      <w:r w:rsidRPr="00087B26">
        <w:rPr>
          <w:bCs/>
          <w:sz w:val="22"/>
          <w:szCs w:val="22"/>
        </w:rPr>
        <w:t xml:space="preserve">Στην κατηγορία αυτή περιλαμβάνονται κυρίως οι πιστώσεις του ΠΔΕ (με πρόβλεψη ύψους 6.750 </w:t>
      </w:r>
      <w:r w:rsidRPr="00087B26">
        <w:rPr>
          <w:bCs/>
          <w:sz w:val="22"/>
          <w:szCs w:val="22"/>
        </w:rPr>
        <w:t>ε</w:t>
      </w:r>
      <w:r w:rsidRPr="00087B26">
        <w:rPr>
          <w:bCs/>
          <w:sz w:val="22"/>
          <w:szCs w:val="22"/>
        </w:rPr>
        <w:t xml:space="preserve">κατ. ευρώ), το τακτικό αποθεματικό (ύψους 1.000 εκατ. ευρώ), οι υπό κατανομή πιστώσεις για τους ΟΚΑ και οι πιστώσεις για την αντιμετώπιση της ροής προσφύγων και μεταναστών. </w:t>
      </w:r>
      <w:r w:rsidRPr="00087B26">
        <w:rPr>
          <w:sz w:val="22"/>
          <w:szCs w:val="22"/>
        </w:rPr>
        <w:t>Σημειώνεται ότι η καθαρή επιβάρυνση του προϋπολογισμού για την τελευταία αυτή δράση (δαπάνες προσφυγικών/</w:t>
      </w:r>
      <w:r>
        <w:rPr>
          <w:sz w:val="22"/>
          <w:szCs w:val="22"/>
        </w:rPr>
        <w:t xml:space="preserve"> </w:t>
      </w:r>
      <w:r w:rsidRPr="00087B26">
        <w:rPr>
          <w:sz w:val="22"/>
          <w:szCs w:val="22"/>
        </w:rPr>
        <w:t>μ</w:t>
      </w:r>
      <w:r w:rsidRPr="00087B26">
        <w:rPr>
          <w:sz w:val="22"/>
          <w:szCs w:val="22"/>
        </w:rPr>
        <w:t>ε</w:t>
      </w:r>
      <w:r w:rsidRPr="00087B26">
        <w:rPr>
          <w:sz w:val="22"/>
          <w:szCs w:val="22"/>
        </w:rPr>
        <w:t>ταναστευτικών ροών τακτικού προϋπολογισμού μείον σχετικές εισροές από ΕΕ) εξαιρείται από το πρωτογενές αποτέλεσμα της Γενικής Κυβέρνησης σε όρους της ενισχυμένης εποπτείας.</w:t>
      </w:r>
      <w:r w:rsidRPr="00087B26">
        <w:rPr>
          <w:bCs/>
          <w:sz w:val="22"/>
          <w:szCs w:val="22"/>
        </w:rPr>
        <w:t xml:space="preserve"> </w:t>
      </w:r>
    </w:p>
    <w:p w:rsidR="007B0863" w:rsidRPr="00087B26" w:rsidRDefault="007B0863" w:rsidP="007B0863">
      <w:pPr>
        <w:jc w:val="both"/>
        <w:outlineLvl w:val="3"/>
        <w:rPr>
          <w:bCs/>
          <w:sz w:val="22"/>
          <w:szCs w:val="22"/>
        </w:rPr>
      </w:pPr>
    </w:p>
    <w:p w:rsidR="007B0863" w:rsidRPr="00087B26" w:rsidRDefault="007B0863" w:rsidP="007B0863">
      <w:pPr>
        <w:jc w:val="both"/>
        <w:outlineLvl w:val="3"/>
        <w:rPr>
          <w:bCs/>
          <w:sz w:val="22"/>
          <w:szCs w:val="22"/>
        </w:rPr>
      </w:pPr>
      <w:r w:rsidRPr="00087B26">
        <w:rPr>
          <w:bCs/>
          <w:sz w:val="22"/>
          <w:szCs w:val="22"/>
        </w:rPr>
        <w:t xml:space="preserve">Επιπλέον, στην κατηγορία «Πιστώσεις υπό Κατανομή» συμπεριλαμβάνονται και οι πιστώσεις για την ενίσχυση της ειδικής αγωγής. </w:t>
      </w:r>
    </w:p>
    <w:p w:rsidR="007B0863" w:rsidRPr="00087B26" w:rsidRDefault="007B0863" w:rsidP="007B0863">
      <w:pPr>
        <w:jc w:val="both"/>
        <w:outlineLvl w:val="3"/>
        <w:rPr>
          <w:bCs/>
          <w:sz w:val="22"/>
          <w:szCs w:val="22"/>
        </w:rPr>
      </w:pPr>
    </w:p>
    <w:p w:rsidR="007B0863" w:rsidRPr="00087B26" w:rsidRDefault="007B0863" w:rsidP="007B0863">
      <w:pPr>
        <w:jc w:val="both"/>
        <w:outlineLvl w:val="3"/>
        <w:rPr>
          <w:bCs/>
          <w:sz w:val="22"/>
          <w:szCs w:val="22"/>
        </w:rPr>
      </w:pPr>
      <w:r w:rsidRPr="00087B26">
        <w:rPr>
          <w:bCs/>
          <w:sz w:val="22"/>
          <w:szCs w:val="22"/>
        </w:rPr>
        <w:t>Τέλος στην κατηγορία αυτή έχει προβλεφθ</w:t>
      </w:r>
      <w:r w:rsidR="00E42D05">
        <w:rPr>
          <w:bCs/>
          <w:sz w:val="22"/>
          <w:szCs w:val="22"/>
        </w:rPr>
        <w:t>εί πίστωση ύψους 982 εκατ. ευρώ</w:t>
      </w:r>
      <w:r w:rsidRPr="00087B26">
        <w:rPr>
          <w:bCs/>
          <w:sz w:val="22"/>
          <w:szCs w:val="22"/>
        </w:rPr>
        <w:t xml:space="preserve"> για την περίπτωση κατά την οποία δεν ολοκληρωθούν εντός του 2018 οι διαδικασίες εξόφλησης των δικαιούχων</w:t>
      </w:r>
      <w:r w:rsidRPr="00087B26">
        <w:rPr>
          <w:bCs/>
          <w:iCs/>
          <w:sz w:val="22"/>
          <w:szCs w:val="22"/>
        </w:rPr>
        <w:t xml:space="preserve"> των άρθρων 10 - 15 του ν. 4575/2018. Η πρόβλεψη αυτή είναι δημοσιονομικά ουδέτερη κατά </w:t>
      </w:r>
      <w:r w:rsidRPr="00087B26">
        <w:rPr>
          <w:bCs/>
          <w:iCs/>
          <w:sz w:val="22"/>
          <w:szCs w:val="22"/>
          <w:lang w:val="en-US"/>
        </w:rPr>
        <w:t>ESA</w:t>
      </w:r>
      <w:r w:rsidR="00E42D05">
        <w:rPr>
          <w:bCs/>
          <w:iCs/>
          <w:sz w:val="22"/>
          <w:szCs w:val="22"/>
        </w:rPr>
        <w:t>,</w:t>
      </w:r>
      <w:r w:rsidRPr="00087B26">
        <w:rPr>
          <w:bCs/>
          <w:iCs/>
          <w:sz w:val="22"/>
          <w:szCs w:val="22"/>
        </w:rPr>
        <w:t xml:space="preserve"> καθότι το σχ</w:t>
      </w:r>
      <w:r w:rsidRPr="00087B26">
        <w:rPr>
          <w:bCs/>
          <w:iCs/>
          <w:sz w:val="22"/>
          <w:szCs w:val="22"/>
        </w:rPr>
        <w:t>ε</w:t>
      </w:r>
      <w:r w:rsidRPr="00087B26">
        <w:rPr>
          <w:bCs/>
          <w:iCs/>
          <w:sz w:val="22"/>
          <w:szCs w:val="22"/>
        </w:rPr>
        <w:t>τικό κόστος θα βαρύνει δημοσιονομικά το έτος 2018.</w:t>
      </w:r>
    </w:p>
    <w:p w:rsidR="007B0863" w:rsidRPr="00087B26" w:rsidRDefault="007B0863" w:rsidP="007B0863">
      <w:pPr>
        <w:jc w:val="both"/>
        <w:outlineLvl w:val="3"/>
        <w:rPr>
          <w:bCs/>
          <w:sz w:val="22"/>
          <w:szCs w:val="22"/>
        </w:rPr>
      </w:pPr>
    </w:p>
    <w:p w:rsidR="007B0863" w:rsidRPr="00087B26" w:rsidRDefault="007B0863" w:rsidP="007B0863">
      <w:pPr>
        <w:jc w:val="both"/>
        <w:outlineLvl w:val="3"/>
        <w:rPr>
          <w:bCs/>
          <w:sz w:val="22"/>
          <w:szCs w:val="22"/>
        </w:rPr>
      </w:pPr>
      <w:r w:rsidRPr="00087B26">
        <w:rPr>
          <w:bCs/>
          <w:sz w:val="22"/>
          <w:szCs w:val="22"/>
        </w:rPr>
        <w:t>Η πρόβλεψη για το σύνολο της κατηγορίας αυτής ανέρχεται στα 9.</w:t>
      </w:r>
      <w:r w:rsidR="008702D0">
        <w:rPr>
          <w:bCs/>
          <w:sz w:val="22"/>
          <w:szCs w:val="22"/>
        </w:rPr>
        <w:t>68</w:t>
      </w:r>
      <w:r w:rsidRPr="00087B26">
        <w:rPr>
          <w:bCs/>
          <w:sz w:val="22"/>
          <w:szCs w:val="22"/>
        </w:rPr>
        <w:t>7 εκατ. ευρώ αυξημένη κατά 1</w:t>
      </w:r>
      <w:r w:rsidR="008702D0">
        <w:rPr>
          <w:bCs/>
          <w:sz w:val="22"/>
          <w:szCs w:val="22"/>
        </w:rPr>
        <w:t>7</w:t>
      </w:r>
      <w:r w:rsidRPr="00087B26">
        <w:rPr>
          <w:bCs/>
          <w:sz w:val="22"/>
          <w:szCs w:val="22"/>
        </w:rPr>
        <w:t>8 εκατ. ευρώ, έναντι του στόχου του ΜΠΔΣ</w:t>
      </w:r>
      <w:r>
        <w:rPr>
          <w:bCs/>
          <w:sz w:val="22"/>
          <w:szCs w:val="22"/>
        </w:rPr>
        <w:t xml:space="preserve"> 2019-2022</w:t>
      </w:r>
      <w:r w:rsidRPr="00087B26">
        <w:rPr>
          <w:bCs/>
          <w:sz w:val="22"/>
          <w:szCs w:val="22"/>
        </w:rPr>
        <w:t>.</w:t>
      </w:r>
    </w:p>
    <w:p w:rsidR="00A36EE8" w:rsidRPr="00FC2F0A" w:rsidRDefault="00A36EE8" w:rsidP="00FB3CD2">
      <w:pPr>
        <w:jc w:val="both"/>
        <w:outlineLvl w:val="3"/>
        <w:rPr>
          <w:bCs/>
          <w:sz w:val="22"/>
          <w:szCs w:val="22"/>
        </w:rPr>
      </w:pPr>
    </w:p>
    <w:p w:rsidR="00FB3CD2" w:rsidRPr="00231A6C" w:rsidRDefault="00A36EE8"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Αγορές παγίων περιουσιακών στοιχείων</w:t>
      </w:r>
    </w:p>
    <w:p w:rsidR="00FB3CD2" w:rsidRPr="00FC2F0A" w:rsidRDefault="00FB3CD2" w:rsidP="00764E1A">
      <w:pPr>
        <w:jc w:val="both"/>
        <w:outlineLvl w:val="3"/>
        <w:rPr>
          <w:rFonts w:ascii="Arial Narrow" w:hAnsi="Arial Narrow"/>
          <w:b/>
          <w:iCs/>
          <w:sz w:val="22"/>
          <w:szCs w:val="22"/>
          <w:lang w:bidi="en-US"/>
        </w:rPr>
      </w:pPr>
    </w:p>
    <w:p w:rsidR="00FB3CD2" w:rsidRPr="00FC2F0A" w:rsidRDefault="00FB3CD2" w:rsidP="00FB3CD2">
      <w:pPr>
        <w:jc w:val="both"/>
        <w:outlineLvl w:val="3"/>
        <w:rPr>
          <w:bCs/>
          <w:sz w:val="22"/>
          <w:szCs w:val="22"/>
        </w:rPr>
      </w:pPr>
      <w:r w:rsidRPr="00FC2F0A">
        <w:rPr>
          <w:bCs/>
          <w:sz w:val="22"/>
          <w:szCs w:val="22"/>
        </w:rPr>
        <w:t xml:space="preserve">Στην κατηγορία αυτή περιλαμβάνονται κυρίως οι ταμειακές δαπάνες αγοράς οπλικών συστημάτων ύψους 530 εκατ. ευρώ. Οι φυσικές παραλαβές των εξοπλιστικών προγραμμάτων προβλέπεται να </w:t>
      </w:r>
      <w:r w:rsidRPr="00FC2F0A">
        <w:rPr>
          <w:bCs/>
          <w:sz w:val="22"/>
          <w:szCs w:val="22"/>
        </w:rPr>
        <w:t>α</w:t>
      </w:r>
      <w:r w:rsidRPr="00FC2F0A">
        <w:rPr>
          <w:bCs/>
          <w:sz w:val="22"/>
          <w:szCs w:val="22"/>
        </w:rPr>
        <w:t>νέλθουν σε 336 εκατ. ευρώ.</w:t>
      </w:r>
    </w:p>
    <w:p w:rsidR="008746FB" w:rsidRPr="00764E1A" w:rsidRDefault="008746FB" w:rsidP="00FB3CD2">
      <w:pPr>
        <w:tabs>
          <w:tab w:val="left" w:pos="180"/>
        </w:tabs>
        <w:spacing w:line="235" w:lineRule="auto"/>
        <w:jc w:val="both"/>
        <w:rPr>
          <w:sz w:val="22"/>
          <w:szCs w:val="22"/>
        </w:rPr>
      </w:pPr>
    </w:p>
    <w:p w:rsidR="00EA5621" w:rsidRPr="00231A6C" w:rsidRDefault="00EA5621" w:rsidP="00EA5621">
      <w:pPr>
        <w:jc w:val="both"/>
        <w:outlineLvl w:val="3"/>
        <w:rPr>
          <w:rFonts w:ascii="Arial Narrow" w:hAnsi="Arial Narrow"/>
          <w:b/>
          <w:i/>
          <w:iCs/>
          <w:sz w:val="22"/>
          <w:szCs w:val="22"/>
          <w:lang w:bidi="en-US"/>
        </w:rPr>
      </w:pPr>
      <w:r>
        <w:rPr>
          <w:rFonts w:ascii="Arial Narrow" w:hAnsi="Arial Narrow"/>
          <w:b/>
          <w:i/>
          <w:iCs/>
          <w:sz w:val="22"/>
          <w:szCs w:val="22"/>
          <w:lang w:bidi="en-US"/>
        </w:rPr>
        <w:t>Δαπάνες ΠΔΕ</w:t>
      </w:r>
    </w:p>
    <w:p w:rsidR="0064178C" w:rsidRPr="00301426" w:rsidRDefault="0064178C" w:rsidP="0064178C">
      <w:pPr>
        <w:spacing w:line="235" w:lineRule="auto"/>
        <w:jc w:val="both"/>
        <w:rPr>
          <w:rFonts w:ascii="Arial Narrow" w:hAnsi="Arial Narrow"/>
          <w:b/>
          <w:color w:val="000080"/>
        </w:rPr>
      </w:pPr>
    </w:p>
    <w:p w:rsidR="0064178C" w:rsidRPr="00034A5D" w:rsidRDefault="0064178C" w:rsidP="0064178C">
      <w:pPr>
        <w:contextualSpacing/>
        <w:jc w:val="both"/>
        <w:outlineLvl w:val="3"/>
        <w:rPr>
          <w:sz w:val="22"/>
          <w:szCs w:val="22"/>
        </w:rPr>
      </w:pPr>
      <w:r w:rsidRPr="00034A5D">
        <w:rPr>
          <w:sz w:val="22"/>
          <w:szCs w:val="22"/>
        </w:rPr>
        <w:t>Το ΠΔΕ χρηματοδοτεί την αναπτυξιακή πολιτική της χώρας με δράσεις που συμβάλλουν στην αύξηση του ιδιωτικού και δημόσιου κεφαλαίου της οικονομίας και στηρίζουν την αναπτυξιακή διαδικασία και τον εκσυγχρονισμό της χώρας σε μακροχρόνια βάση.</w:t>
      </w:r>
    </w:p>
    <w:p w:rsidR="0064178C" w:rsidRPr="00034A5D" w:rsidRDefault="0064178C" w:rsidP="0064178C">
      <w:pPr>
        <w:contextualSpacing/>
        <w:jc w:val="both"/>
        <w:outlineLvl w:val="3"/>
        <w:rPr>
          <w:sz w:val="22"/>
          <w:szCs w:val="22"/>
        </w:rPr>
      </w:pPr>
    </w:p>
    <w:p w:rsidR="0064178C" w:rsidRPr="00034A5D" w:rsidRDefault="0064178C" w:rsidP="0064178C">
      <w:pPr>
        <w:contextualSpacing/>
        <w:jc w:val="both"/>
        <w:outlineLvl w:val="3"/>
        <w:rPr>
          <w:sz w:val="22"/>
          <w:szCs w:val="22"/>
        </w:rPr>
      </w:pPr>
      <w:r w:rsidRPr="00034A5D">
        <w:rPr>
          <w:sz w:val="22"/>
          <w:szCs w:val="22"/>
        </w:rPr>
        <w:t xml:space="preserve">Για το έτος 2019 προβλέπεται η διάθεση πόρων </w:t>
      </w:r>
      <w:r>
        <w:rPr>
          <w:sz w:val="22"/>
          <w:szCs w:val="22"/>
        </w:rPr>
        <w:t>6.</w:t>
      </w:r>
      <w:r w:rsidRPr="00034A5D">
        <w:rPr>
          <w:sz w:val="22"/>
          <w:szCs w:val="22"/>
        </w:rPr>
        <w:t>75</w:t>
      </w:r>
      <w:r>
        <w:rPr>
          <w:sz w:val="22"/>
          <w:szCs w:val="22"/>
        </w:rPr>
        <w:t>0</w:t>
      </w:r>
      <w:r w:rsidRPr="00034A5D">
        <w:rPr>
          <w:sz w:val="22"/>
          <w:szCs w:val="22"/>
        </w:rPr>
        <w:t xml:space="preserve"> </w:t>
      </w:r>
      <w:r>
        <w:rPr>
          <w:sz w:val="22"/>
          <w:szCs w:val="22"/>
        </w:rPr>
        <w:t xml:space="preserve">εκατ. ευρώ από </w:t>
      </w:r>
      <w:r w:rsidRPr="00034A5D">
        <w:rPr>
          <w:sz w:val="22"/>
          <w:szCs w:val="22"/>
        </w:rPr>
        <w:t xml:space="preserve">το ΠΔΕ, </w:t>
      </w:r>
      <w:r>
        <w:rPr>
          <w:sz w:val="22"/>
          <w:szCs w:val="22"/>
        </w:rPr>
        <w:t>που αντιπροσωπεύει το 3,5</w:t>
      </w:r>
      <w:r w:rsidRPr="00034A5D">
        <w:rPr>
          <w:sz w:val="22"/>
          <w:szCs w:val="22"/>
        </w:rPr>
        <w:t>% του προβλεπόμενου ΑΕΠ της χώρας.</w:t>
      </w:r>
    </w:p>
    <w:p w:rsidR="0064178C" w:rsidRPr="00034A5D" w:rsidRDefault="0064178C" w:rsidP="0064178C">
      <w:pPr>
        <w:contextualSpacing/>
        <w:jc w:val="both"/>
        <w:outlineLvl w:val="3"/>
        <w:rPr>
          <w:sz w:val="22"/>
          <w:szCs w:val="22"/>
        </w:rPr>
      </w:pPr>
    </w:p>
    <w:p w:rsidR="0064178C" w:rsidRPr="00034A5D" w:rsidRDefault="0064178C" w:rsidP="0064178C">
      <w:pPr>
        <w:contextualSpacing/>
        <w:jc w:val="both"/>
        <w:outlineLvl w:val="3"/>
        <w:rPr>
          <w:sz w:val="22"/>
          <w:szCs w:val="22"/>
        </w:rPr>
      </w:pPr>
      <w:r w:rsidRPr="00034A5D">
        <w:rPr>
          <w:sz w:val="22"/>
          <w:szCs w:val="22"/>
        </w:rPr>
        <w:t xml:space="preserve">Από το ανωτέρω ποσό, τμήμα ύψους </w:t>
      </w:r>
      <w:r>
        <w:rPr>
          <w:sz w:val="22"/>
          <w:szCs w:val="22"/>
        </w:rPr>
        <w:t>5.</w:t>
      </w:r>
      <w:r w:rsidRPr="00034A5D">
        <w:rPr>
          <w:sz w:val="22"/>
          <w:szCs w:val="22"/>
        </w:rPr>
        <w:t>75</w:t>
      </w:r>
      <w:r>
        <w:rPr>
          <w:sz w:val="22"/>
          <w:szCs w:val="22"/>
        </w:rPr>
        <w:t>0</w:t>
      </w:r>
      <w:r w:rsidRPr="00034A5D">
        <w:rPr>
          <w:sz w:val="22"/>
          <w:szCs w:val="22"/>
        </w:rPr>
        <w:t xml:space="preserve"> </w:t>
      </w:r>
      <w:r>
        <w:rPr>
          <w:sz w:val="22"/>
          <w:szCs w:val="22"/>
        </w:rPr>
        <w:t>εκατ</w:t>
      </w:r>
      <w:r w:rsidRPr="00034A5D">
        <w:rPr>
          <w:sz w:val="22"/>
          <w:szCs w:val="22"/>
        </w:rPr>
        <w:t>. ευρώ, αφορά συγχρηματοδοτούμενα έργα, με περα</w:t>
      </w:r>
      <w:r w:rsidRPr="00034A5D">
        <w:rPr>
          <w:sz w:val="22"/>
          <w:szCs w:val="22"/>
        </w:rPr>
        <w:t>ι</w:t>
      </w:r>
      <w:r w:rsidRPr="00034A5D">
        <w:rPr>
          <w:sz w:val="22"/>
          <w:szCs w:val="22"/>
        </w:rPr>
        <w:t xml:space="preserve">τέρω διάκριση σε </w:t>
      </w:r>
      <w:r>
        <w:rPr>
          <w:sz w:val="22"/>
          <w:szCs w:val="22"/>
        </w:rPr>
        <w:t>3.</w:t>
      </w:r>
      <w:r w:rsidRPr="00034A5D">
        <w:rPr>
          <w:sz w:val="22"/>
          <w:szCs w:val="22"/>
        </w:rPr>
        <w:t>87</w:t>
      </w:r>
      <w:r>
        <w:rPr>
          <w:sz w:val="22"/>
          <w:szCs w:val="22"/>
        </w:rPr>
        <w:t>0</w:t>
      </w:r>
      <w:r w:rsidRPr="00034A5D">
        <w:rPr>
          <w:sz w:val="22"/>
          <w:szCs w:val="22"/>
        </w:rPr>
        <w:t xml:space="preserve"> </w:t>
      </w:r>
      <w:r>
        <w:rPr>
          <w:sz w:val="22"/>
          <w:szCs w:val="22"/>
        </w:rPr>
        <w:t>εκατ</w:t>
      </w:r>
      <w:r w:rsidRPr="00034A5D">
        <w:rPr>
          <w:sz w:val="22"/>
          <w:szCs w:val="22"/>
        </w:rPr>
        <w:t xml:space="preserve">. ευρώ για έργα ΕΣΠΑ 2014-2020 και </w:t>
      </w:r>
      <w:r>
        <w:rPr>
          <w:sz w:val="22"/>
          <w:szCs w:val="22"/>
        </w:rPr>
        <w:t>1.</w:t>
      </w:r>
      <w:r w:rsidRPr="00034A5D">
        <w:rPr>
          <w:sz w:val="22"/>
          <w:szCs w:val="22"/>
        </w:rPr>
        <w:t>88</w:t>
      </w:r>
      <w:r>
        <w:rPr>
          <w:sz w:val="22"/>
          <w:szCs w:val="22"/>
        </w:rPr>
        <w:t>0</w:t>
      </w:r>
      <w:r w:rsidRPr="00034A5D">
        <w:rPr>
          <w:sz w:val="22"/>
          <w:szCs w:val="22"/>
        </w:rPr>
        <w:t xml:space="preserve"> </w:t>
      </w:r>
      <w:r>
        <w:rPr>
          <w:sz w:val="22"/>
          <w:szCs w:val="22"/>
        </w:rPr>
        <w:t>εκατ</w:t>
      </w:r>
      <w:r w:rsidRPr="00034A5D">
        <w:rPr>
          <w:sz w:val="22"/>
          <w:szCs w:val="22"/>
        </w:rPr>
        <w:t>. ευρώ για λοιπά συ</w:t>
      </w:r>
      <w:r w:rsidRPr="00034A5D">
        <w:rPr>
          <w:sz w:val="22"/>
          <w:szCs w:val="22"/>
        </w:rPr>
        <w:t>γ</w:t>
      </w:r>
      <w:r w:rsidRPr="00034A5D">
        <w:rPr>
          <w:sz w:val="22"/>
          <w:szCs w:val="22"/>
        </w:rPr>
        <w:t xml:space="preserve">χρηματοδοτούμενα προγράμματα. </w:t>
      </w:r>
      <w:r w:rsidRPr="00034A5D">
        <w:rPr>
          <w:bCs/>
          <w:sz w:val="22"/>
          <w:szCs w:val="22"/>
        </w:rPr>
        <w:t xml:space="preserve">Σταθερή επιδίωξη για την υλοποίηση </w:t>
      </w:r>
      <w:r w:rsidRPr="00034A5D">
        <w:rPr>
          <w:sz w:val="22"/>
          <w:szCs w:val="22"/>
        </w:rPr>
        <w:t>του συγχρηματοδοτούμενου σκέλους του ΠΔΕ και για το 2019 παραμένει η απορρόφηση των πόρων, έτσι ώστε να εξασφαλιστεί η εισροή της αναλογούσας κοινο</w:t>
      </w:r>
      <w:r w:rsidR="00E42D05">
        <w:rPr>
          <w:sz w:val="22"/>
          <w:szCs w:val="22"/>
        </w:rPr>
        <w:t>τικής συνδρομής. Ο στόχος αυτός</w:t>
      </w:r>
      <w:r w:rsidRPr="00034A5D">
        <w:rPr>
          <w:sz w:val="22"/>
          <w:szCs w:val="22"/>
        </w:rPr>
        <w:t xml:space="preserve"> θα συνδράμει στην προώθηση της αναπτυξιακής πολιτικής και θα απαιτήσει την εντατικοποίηση των ενεργειών για την επίσπευση της υλοποίησης των προγραμμάτων. Στο πλαίσιο αυτό</w:t>
      </w:r>
      <w:r>
        <w:rPr>
          <w:sz w:val="22"/>
          <w:szCs w:val="22"/>
        </w:rPr>
        <w:t>,</w:t>
      </w:r>
      <w:r w:rsidRPr="00034A5D">
        <w:rPr>
          <w:sz w:val="22"/>
          <w:szCs w:val="22"/>
        </w:rPr>
        <w:t xml:space="preserve"> εξακολουθούν να αποτελούν προτεραιότητα οι τομείς των μεγάλων έργων υποδομών, η προώθηση της επιχειρηματικότητας, η ενίσχυση της απασχ</w:t>
      </w:r>
      <w:r w:rsidRPr="00034A5D">
        <w:rPr>
          <w:sz w:val="22"/>
          <w:szCs w:val="22"/>
        </w:rPr>
        <w:t>ό</w:t>
      </w:r>
      <w:r w:rsidRPr="00034A5D">
        <w:rPr>
          <w:sz w:val="22"/>
          <w:szCs w:val="22"/>
        </w:rPr>
        <w:t>λησης, η εκπαίδευση και κατάρτιση, οι τομείς της υγείας και της πρόνοιας, η προστασία του περιβά</w:t>
      </w:r>
      <w:r w:rsidRPr="00034A5D">
        <w:rPr>
          <w:sz w:val="22"/>
          <w:szCs w:val="22"/>
        </w:rPr>
        <w:t>λ</w:t>
      </w:r>
      <w:r w:rsidRPr="00034A5D">
        <w:rPr>
          <w:sz w:val="22"/>
          <w:szCs w:val="22"/>
        </w:rPr>
        <w:t>λοντος, τα έργα υποδομών των ΟΤΑ όλης της χώρας και οι δράσεις για τη διοικητική μεταρρύθμιση.</w:t>
      </w:r>
    </w:p>
    <w:p w:rsidR="0064178C" w:rsidRDefault="0064178C" w:rsidP="0064178C">
      <w:pPr>
        <w:contextualSpacing/>
        <w:jc w:val="both"/>
        <w:outlineLvl w:val="3"/>
        <w:rPr>
          <w:sz w:val="22"/>
          <w:szCs w:val="22"/>
        </w:rPr>
      </w:pPr>
    </w:p>
    <w:p w:rsidR="0064178C" w:rsidRPr="00034A5D" w:rsidRDefault="0064178C" w:rsidP="0064178C">
      <w:pPr>
        <w:contextualSpacing/>
        <w:jc w:val="both"/>
        <w:outlineLvl w:val="3"/>
        <w:rPr>
          <w:sz w:val="22"/>
          <w:szCs w:val="22"/>
        </w:rPr>
      </w:pPr>
      <w:r w:rsidRPr="00034A5D">
        <w:rPr>
          <w:sz w:val="22"/>
          <w:szCs w:val="22"/>
        </w:rPr>
        <w:t>Σε ό,τι αφορά τέλος το σκέλος του ΠΔΕ που χρηματοδοτείται από αμιγώς εθνικούς πόρους, οι σχετ</w:t>
      </w:r>
      <w:r w:rsidRPr="00034A5D">
        <w:rPr>
          <w:sz w:val="22"/>
          <w:szCs w:val="22"/>
        </w:rPr>
        <w:t>ι</w:t>
      </w:r>
      <w:r w:rsidRPr="00034A5D">
        <w:rPr>
          <w:sz w:val="22"/>
          <w:szCs w:val="22"/>
        </w:rPr>
        <w:t xml:space="preserve">κές πιστώσεις ύψους </w:t>
      </w:r>
      <w:r>
        <w:rPr>
          <w:sz w:val="22"/>
          <w:szCs w:val="22"/>
        </w:rPr>
        <w:t>1.</w:t>
      </w:r>
      <w:r w:rsidRPr="00034A5D">
        <w:rPr>
          <w:sz w:val="22"/>
          <w:szCs w:val="22"/>
        </w:rPr>
        <w:t>00</w:t>
      </w:r>
      <w:r>
        <w:rPr>
          <w:sz w:val="22"/>
          <w:szCs w:val="22"/>
        </w:rPr>
        <w:t>0 εκατ</w:t>
      </w:r>
      <w:r w:rsidRPr="00034A5D">
        <w:rPr>
          <w:sz w:val="22"/>
          <w:szCs w:val="22"/>
        </w:rPr>
        <w:t>. ευρώ θα διατεθούν για την ενίσχυση των πολιτικών και δράσεων των Υπουργείων και των Περιφερειών</w:t>
      </w:r>
      <w:r>
        <w:rPr>
          <w:sz w:val="22"/>
          <w:szCs w:val="22"/>
        </w:rPr>
        <w:t>,</w:t>
      </w:r>
      <w:r w:rsidRPr="00034A5D">
        <w:rPr>
          <w:sz w:val="22"/>
          <w:szCs w:val="22"/>
        </w:rPr>
        <w:t xml:space="preserve"> καθώς και την αντιμετώπιση έκτακτων αναγκών.</w:t>
      </w:r>
    </w:p>
    <w:p w:rsidR="0064178C" w:rsidRDefault="0064178C" w:rsidP="0064178C">
      <w:pPr>
        <w:spacing w:before="100" w:beforeAutospacing="1" w:after="100" w:afterAutospacing="1"/>
        <w:contextualSpacing/>
        <w:jc w:val="both"/>
        <w:rPr>
          <w:sz w:val="22"/>
          <w:szCs w:val="22"/>
        </w:rPr>
      </w:pPr>
    </w:p>
    <w:p w:rsidR="00944C65" w:rsidRDefault="00944C65" w:rsidP="0064178C">
      <w:pPr>
        <w:spacing w:before="100" w:beforeAutospacing="1" w:after="100" w:afterAutospacing="1"/>
        <w:contextualSpacing/>
        <w:jc w:val="both"/>
        <w:rPr>
          <w:sz w:val="22"/>
          <w:szCs w:val="22"/>
        </w:rPr>
      </w:pPr>
    </w:p>
    <w:p w:rsidR="00E42D05" w:rsidRDefault="00E42D05" w:rsidP="0064178C">
      <w:pPr>
        <w:spacing w:before="100" w:beforeAutospacing="1" w:after="100" w:afterAutospacing="1"/>
        <w:contextualSpacing/>
        <w:jc w:val="both"/>
        <w:rPr>
          <w:sz w:val="22"/>
          <w:szCs w:val="22"/>
        </w:rPr>
      </w:pPr>
    </w:p>
    <w:p w:rsidR="00E42D05" w:rsidRPr="00F54EA6" w:rsidRDefault="00E42D05" w:rsidP="0064178C">
      <w:pPr>
        <w:spacing w:before="100" w:beforeAutospacing="1" w:after="100" w:afterAutospacing="1"/>
        <w:contextualSpacing/>
        <w:jc w:val="both"/>
        <w:rPr>
          <w:sz w:val="22"/>
          <w:szCs w:val="22"/>
        </w:rPr>
      </w:pPr>
    </w:p>
    <w:tbl>
      <w:tblPr>
        <w:tblW w:w="0" w:type="auto"/>
        <w:jc w:val="center"/>
        <w:tblLook w:val="00BF"/>
      </w:tblPr>
      <w:tblGrid>
        <w:gridCol w:w="1332"/>
        <w:gridCol w:w="1417"/>
        <w:gridCol w:w="1774"/>
        <w:gridCol w:w="1488"/>
      </w:tblGrid>
      <w:tr w:rsidR="0064178C" w:rsidRPr="00F54EA6" w:rsidTr="00D77C59">
        <w:trPr>
          <w:jc w:val="center"/>
        </w:trPr>
        <w:tc>
          <w:tcPr>
            <w:tcW w:w="6011" w:type="dxa"/>
            <w:gridSpan w:val="4"/>
            <w:tcBorders>
              <w:top w:val="single" w:sz="4" w:space="0" w:color="auto"/>
              <w:left w:val="single" w:sz="4" w:space="0" w:color="auto"/>
              <w:right w:val="single" w:sz="4" w:space="0" w:color="auto"/>
            </w:tcBorders>
            <w:shd w:val="clear" w:color="auto" w:fill="404040" w:themeFill="text1" w:themeFillTint="BF"/>
            <w:tcMar>
              <w:left w:w="28" w:type="dxa"/>
              <w:right w:w="28" w:type="dxa"/>
            </w:tcMar>
            <w:vAlign w:val="center"/>
          </w:tcPr>
          <w:p w:rsidR="0064178C" w:rsidRPr="00F54EA6" w:rsidRDefault="0064178C" w:rsidP="00D77C59">
            <w:pPr>
              <w:spacing w:before="80"/>
              <w:jc w:val="center"/>
              <w:rPr>
                <w:rFonts w:ascii="Arial Narrow" w:hAnsi="Arial Narrow"/>
                <w:b/>
                <w:color w:val="FFFFFF"/>
                <w:sz w:val="22"/>
                <w:szCs w:val="22"/>
              </w:rPr>
            </w:pPr>
            <w:r>
              <w:rPr>
                <w:rFonts w:ascii="Arial Narrow" w:hAnsi="Arial Narrow"/>
                <w:b/>
                <w:color w:val="FFFFFF"/>
                <w:sz w:val="22"/>
                <w:szCs w:val="22"/>
              </w:rPr>
              <w:lastRenderedPageBreak/>
              <w:t>Πίνακας 3</w:t>
            </w:r>
            <w:r w:rsidR="006950CA">
              <w:rPr>
                <w:rFonts w:ascii="Arial Narrow" w:hAnsi="Arial Narrow"/>
                <w:b/>
                <w:color w:val="FFFFFF"/>
                <w:sz w:val="22"/>
                <w:szCs w:val="22"/>
              </w:rPr>
              <w:t>.9</w:t>
            </w:r>
            <w:r>
              <w:rPr>
                <w:rFonts w:ascii="Arial Narrow" w:hAnsi="Arial Narrow"/>
                <w:b/>
                <w:color w:val="FFFFFF"/>
                <w:sz w:val="22"/>
                <w:szCs w:val="22"/>
              </w:rPr>
              <w:t xml:space="preserve"> </w:t>
            </w:r>
            <w:r w:rsidRPr="00F54EA6">
              <w:rPr>
                <w:rFonts w:ascii="Arial Narrow" w:hAnsi="Arial Narrow"/>
                <w:b/>
                <w:color w:val="FFFFFF"/>
                <w:sz w:val="22"/>
                <w:szCs w:val="22"/>
              </w:rPr>
              <w:t>Διαχ</w:t>
            </w:r>
            <w:r>
              <w:rPr>
                <w:rFonts w:ascii="Arial Narrow" w:hAnsi="Arial Narrow"/>
                <w:b/>
                <w:color w:val="FFFFFF"/>
                <w:sz w:val="22"/>
                <w:szCs w:val="22"/>
              </w:rPr>
              <w:t>ρονική εξέλιξη δαπανών ΠΔΕ (2009-2019</w:t>
            </w:r>
            <w:r w:rsidRPr="00F54EA6">
              <w:rPr>
                <w:rFonts w:ascii="Arial Narrow" w:hAnsi="Arial Narrow"/>
                <w:b/>
                <w:color w:val="FFFFFF"/>
                <w:sz w:val="22"/>
                <w:szCs w:val="22"/>
              </w:rPr>
              <w:t>)</w:t>
            </w:r>
          </w:p>
          <w:p w:rsidR="0064178C" w:rsidRPr="00F54EA6" w:rsidRDefault="0064178C" w:rsidP="00D77C59">
            <w:pPr>
              <w:spacing w:after="80"/>
              <w:jc w:val="center"/>
              <w:rPr>
                <w:rFonts w:ascii="Arial Narrow" w:hAnsi="Arial Narrow"/>
                <w:b/>
                <w:color w:val="FFFFFF"/>
                <w:sz w:val="22"/>
                <w:szCs w:val="22"/>
              </w:rPr>
            </w:pPr>
            <w:r w:rsidRPr="00F54EA6">
              <w:rPr>
                <w:rFonts w:ascii="Arial Narrow" w:hAnsi="Arial Narrow"/>
                <w:b/>
                <w:color w:val="FFFFFF"/>
                <w:sz w:val="22"/>
                <w:szCs w:val="22"/>
              </w:rPr>
              <w:t>(σε εκατ. ευρώ)</w:t>
            </w:r>
          </w:p>
        </w:tc>
      </w:tr>
      <w:tr w:rsidR="0064178C" w:rsidRPr="00F54EA6" w:rsidTr="00D77C59">
        <w:trPr>
          <w:jc w:val="center"/>
        </w:trPr>
        <w:tc>
          <w:tcPr>
            <w:tcW w:w="6011" w:type="dxa"/>
            <w:gridSpan w:val="4"/>
            <w:tcBorders>
              <w:left w:val="single" w:sz="4" w:space="0" w:color="auto"/>
              <w:bottom w:val="single" w:sz="4" w:space="0" w:color="auto"/>
              <w:right w:val="single" w:sz="4" w:space="0" w:color="auto"/>
            </w:tcBorders>
            <w:shd w:val="clear" w:color="auto" w:fill="auto"/>
            <w:tcMar>
              <w:left w:w="28" w:type="dxa"/>
              <w:right w:w="28" w:type="dxa"/>
            </w:tcMar>
            <w:vAlign w:val="center"/>
          </w:tcPr>
          <w:p w:rsidR="0064178C" w:rsidRPr="00F54EA6" w:rsidRDefault="0064178C" w:rsidP="00D77C59">
            <w:pPr>
              <w:jc w:val="center"/>
              <w:rPr>
                <w:rFonts w:ascii="Arial Narrow" w:hAnsi="Arial Narrow"/>
                <w:b/>
                <w:sz w:val="22"/>
                <w:szCs w:val="22"/>
              </w:rPr>
            </w:pPr>
          </w:p>
        </w:tc>
      </w:tr>
      <w:tr w:rsidR="0064178C" w:rsidRPr="00EC191C" w:rsidTr="00D77C59">
        <w:trPr>
          <w:jc w:val="center"/>
        </w:trPr>
        <w:tc>
          <w:tcPr>
            <w:tcW w:w="133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64178C" w:rsidRPr="00EC191C" w:rsidRDefault="0064178C" w:rsidP="00D77C59">
            <w:pPr>
              <w:jc w:val="center"/>
              <w:rPr>
                <w:rFonts w:ascii="Arial Narrow" w:hAnsi="Arial Narrow"/>
                <w:b/>
                <w:sz w:val="16"/>
                <w:szCs w:val="16"/>
              </w:rPr>
            </w:pPr>
            <w:r w:rsidRPr="00EC191C">
              <w:rPr>
                <w:rFonts w:ascii="Arial Narrow" w:hAnsi="Arial Narrow"/>
                <w:b/>
                <w:sz w:val="16"/>
                <w:szCs w:val="16"/>
              </w:rPr>
              <w:t>Έτη</w:t>
            </w:r>
          </w:p>
        </w:tc>
        <w:tc>
          <w:tcPr>
            <w:tcW w:w="467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178C" w:rsidRPr="00EC191C" w:rsidRDefault="0064178C" w:rsidP="00D77C59">
            <w:pPr>
              <w:jc w:val="center"/>
              <w:rPr>
                <w:rFonts w:ascii="Arial Narrow" w:hAnsi="Arial Narrow"/>
                <w:b/>
                <w:sz w:val="16"/>
                <w:szCs w:val="16"/>
              </w:rPr>
            </w:pPr>
            <w:r w:rsidRPr="00EC191C">
              <w:rPr>
                <w:rFonts w:ascii="Arial Narrow" w:hAnsi="Arial Narrow"/>
                <w:b/>
                <w:sz w:val="16"/>
                <w:szCs w:val="16"/>
              </w:rPr>
              <w:t>ΠΔΕ</w:t>
            </w:r>
          </w:p>
        </w:tc>
      </w:tr>
      <w:tr w:rsidR="0064178C" w:rsidRPr="00EC191C" w:rsidTr="00D77C59">
        <w:trPr>
          <w:jc w:val="center"/>
        </w:trPr>
        <w:tc>
          <w:tcPr>
            <w:tcW w:w="1332" w:type="dxa"/>
            <w:vMerge/>
            <w:tcBorders>
              <w:left w:val="single" w:sz="4" w:space="0" w:color="auto"/>
              <w:bottom w:val="single" w:sz="4" w:space="0" w:color="auto"/>
              <w:right w:val="single" w:sz="4" w:space="0" w:color="auto"/>
            </w:tcBorders>
            <w:shd w:val="clear" w:color="auto" w:fill="auto"/>
            <w:tcMar>
              <w:left w:w="28" w:type="dxa"/>
              <w:right w:w="28" w:type="dxa"/>
            </w:tcMar>
          </w:tcPr>
          <w:p w:rsidR="0064178C" w:rsidRPr="00EC191C" w:rsidRDefault="0064178C" w:rsidP="00D77C59">
            <w:pPr>
              <w:jc w:val="center"/>
              <w:rPr>
                <w:rFonts w:ascii="Arial Narrow" w:hAnsi="Arial Narrow"/>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178C" w:rsidRPr="00EC191C" w:rsidRDefault="0064178C" w:rsidP="00D77C59">
            <w:pPr>
              <w:jc w:val="center"/>
              <w:rPr>
                <w:rFonts w:ascii="Arial Narrow" w:hAnsi="Arial Narrow"/>
                <w:b/>
                <w:sz w:val="16"/>
                <w:szCs w:val="16"/>
              </w:rPr>
            </w:pPr>
            <w:r w:rsidRPr="00EC191C">
              <w:rPr>
                <w:rFonts w:ascii="Arial Narrow" w:hAnsi="Arial Narrow"/>
                <w:b/>
                <w:sz w:val="16"/>
                <w:szCs w:val="16"/>
              </w:rPr>
              <w:t>Λοιποί</w:t>
            </w:r>
          </w:p>
          <w:p w:rsidR="0064178C" w:rsidRPr="00EC191C" w:rsidRDefault="0064178C" w:rsidP="00D77C59">
            <w:pPr>
              <w:jc w:val="center"/>
              <w:rPr>
                <w:rFonts w:ascii="Arial Narrow" w:hAnsi="Arial Narrow"/>
                <w:b/>
                <w:sz w:val="16"/>
                <w:szCs w:val="16"/>
              </w:rPr>
            </w:pPr>
            <w:r w:rsidRPr="00EC191C">
              <w:rPr>
                <w:rFonts w:ascii="Arial Narrow" w:hAnsi="Arial Narrow"/>
                <w:b/>
                <w:sz w:val="16"/>
                <w:szCs w:val="16"/>
              </w:rPr>
              <w:t>εθνικοί πόροι</w:t>
            </w:r>
          </w:p>
        </w:tc>
        <w:tc>
          <w:tcPr>
            <w:tcW w:w="17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4178C" w:rsidRPr="00EC191C" w:rsidRDefault="0064178C" w:rsidP="00D77C59">
            <w:pPr>
              <w:jc w:val="center"/>
              <w:rPr>
                <w:rFonts w:ascii="Arial Narrow" w:hAnsi="Arial Narrow"/>
                <w:b/>
                <w:sz w:val="16"/>
                <w:szCs w:val="16"/>
              </w:rPr>
            </w:pPr>
            <w:r w:rsidRPr="00EC191C">
              <w:rPr>
                <w:rFonts w:ascii="Arial Narrow" w:hAnsi="Arial Narrow"/>
                <w:b/>
                <w:sz w:val="16"/>
                <w:szCs w:val="16"/>
              </w:rPr>
              <w:t>Συγχρηματοδοτούμενο</w:t>
            </w:r>
          </w:p>
        </w:tc>
        <w:tc>
          <w:tcPr>
            <w:tcW w:w="14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4178C" w:rsidRPr="00EC191C" w:rsidRDefault="0064178C" w:rsidP="00D77C59">
            <w:pPr>
              <w:jc w:val="center"/>
              <w:rPr>
                <w:rFonts w:ascii="Arial Narrow" w:hAnsi="Arial Narrow"/>
                <w:b/>
                <w:sz w:val="16"/>
                <w:szCs w:val="16"/>
              </w:rPr>
            </w:pPr>
            <w:r w:rsidRPr="00EC191C">
              <w:rPr>
                <w:rFonts w:ascii="Arial Narrow" w:hAnsi="Arial Narrow"/>
                <w:b/>
                <w:sz w:val="16"/>
                <w:szCs w:val="16"/>
              </w:rPr>
              <w:t>Σύνολο</w:t>
            </w:r>
          </w:p>
        </w:tc>
      </w:tr>
      <w:tr w:rsidR="0064178C" w:rsidRPr="00EC191C" w:rsidTr="00D77C59">
        <w:tblPrEx>
          <w:tblLook w:val="01E0"/>
        </w:tblPrEx>
        <w:trPr>
          <w:jc w:val="center"/>
        </w:trPr>
        <w:tc>
          <w:tcPr>
            <w:tcW w:w="1332" w:type="dxa"/>
            <w:tcBorders>
              <w:top w:val="nil"/>
              <w:left w:val="single" w:sz="4" w:space="0" w:color="auto"/>
              <w:bottom w:val="nil"/>
            </w:tcBorders>
            <w:shd w:val="clear" w:color="auto" w:fill="D9D9D9" w:themeFill="background1" w:themeFillShade="D9"/>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2009</w:t>
            </w:r>
          </w:p>
        </w:tc>
        <w:tc>
          <w:tcPr>
            <w:tcW w:w="1417" w:type="dxa"/>
            <w:tcBorders>
              <w:top w:val="nil"/>
              <w:bottom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2.455</w:t>
            </w:r>
          </w:p>
        </w:tc>
        <w:tc>
          <w:tcPr>
            <w:tcW w:w="1774" w:type="dxa"/>
            <w:tcBorders>
              <w:top w:val="nil"/>
              <w:bottom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7.133</w:t>
            </w:r>
          </w:p>
        </w:tc>
        <w:tc>
          <w:tcPr>
            <w:tcW w:w="1488" w:type="dxa"/>
            <w:tcBorders>
              <w:top w:val="nil"/>
              <w:bottom w:val="nil"/>
              <w:right w:val="single" w:sz="4" w:space="0" w:color="auto"/>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9.588</w:t>
            </w:r>
          </w:p>
        </w:tc>
      </w:tr>
      <w:tr w:rsidR="0064178C" w:rsidRPr="00EC191C" w:rsidTr="00D77C59">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2010</w:t>
            </w:r>
          </w:p>
        </w:tc>
        <w:tc>
          <w:tcPr>
            <w:tcW w:w="1417" w:type="dxa"/>
            <w:tcBorders>
              <w:top w:val="nil"/>
              <w:bottom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2.218</w:t>
            </w:r>
          </w:p>
        </w:tc>
        <w:tc>
          <w:tcPr>
            <w:tcW w:w="1774" w:type="dxa"/>
            <w:tcBorders>
              <w:top w:val="nil"/>
              <w:bottom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6.236</w:t>
            </w:r>
          </w:p>
        </w:tc>
        <w:tc>
          <w:tcPr>
            <w:tcW w:w="1488" w:type="dxa"/>
            <w:tcBorders>
              <w:top w:val="nil"/>
              <w:bottom w:val="nil"/>
              <w:right w:val="single" w:sz="4" w:space="0" w:color="auto"/>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8.454</w:t>
            </w:r>
          </w:p>
        </w:tc>
      </w:tr>
      <w:tr w:rsidR="0064178C" w:rsidRPr="00EC191C" w:rsidTr="00D77C59">
        <w:tblPrEx>
          <w:tblLook w:val="01E0"/>
        </w:tblPrEx>
        <w:trPr>
          <w:jc w:val="center"/>
        </w:trPr>
        <w:tc>
          <w:tcPr>
            <w:tcW w:w="1332" w:type="dxa"/>
            <w:tcBorders>
              <w:top w:val="nil"/>
              <w:left w:val="single" w:sz="4" w:space="0" w:color="auto"/>
              <w:bottom w:val="nil"/>
            </w:tcBorders>
            <w:shd w:val="clear" w:color="auto" w:fill="D9D9D9" w:themeFill="background1" w:themeFillShade="D9"/>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2011</w:t>
            </w:r>
          </w:p>
        </w:tc>
        <w:tc>
          <w:tcPr>
            <w:tcW w:w="1417" w:type="dxa"/>
            <w:tcBorders>
              <w:top w:val="nil"/>
              <w:bottom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1.885</w:t>
            </w:r>
          </w:p>
        </w:tc>
        <w:tc>
          <w:tcPr>
            <w:tcW w:w="1774" w:type="dxa"/>
            <w:tcBorders>
              <w:top w:val="nil"/>
              <w:bottom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4.722</w:t>
            </w:r>
          </w:p>
        </w:tc>
        <w:tc>
          <w:tcPr>
            <w:tcW w:w="1488" w:type="dxa"/>
            <w:tcBorders>
              <w:top w:val="nil"/>
              <w:bottom w:val="nil"/>
              <w:right w:val="single" w:sz="4" w:space="0" w:color="auto"/>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6.608</w:t>
            </w:r>
          </w:p>
        </w:tc>
      </w:tr>
      <w:tr w:rsidR="0064178C" w:rsidRPr="00EC191C" w:rsidTr="00D77C59">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2012</w:t>
            </w:r>
          </w:p>
        </w:tc>
        <w:tc>
          <w:tcPr>
            <w:tcW w:w="1417" w:type="dxa"/>
            <w:tcBorders>
              <w:top w:val="nil"/>
              <w:bottom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1.412</w:t>
            </w:r>
          </w:p>
        </w:tc>
        <w:tc>
          <w:tcPr>
            <w:tcW w:w="1774" w:type="dxa"/>
            <w:tcBorders>
              <w:top w:val="nil"/>
              <w:bottom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4.710</w:t>
            </w:r>
          </w:p>
        </w:tc>
        <w:tc>
          <w:tcPr>
            <w:tcW w:w="1488" w:type="dxa"/>
            <w:tcBorders>
              <w:top w:val="nil"/>
              <w:bottom w:val="nil"/>
              <w:right w:val="single" w:sz="4" w:space="0" w:color="auto"/>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6.122</w:t>
            </w:r>
          </w:p>
        </w:tc>
      </w:tr>
      <w:tr w:rsidR="0064178C" w:rsidRPr="00EC191C" w:rsidTr="00D77C59">
        <w:tblPrEx>
          <w:tblLook w:val="01E0"/>
        </w:tblPrEx>
        <w:trPr>
          <w:jc w:val="center"/>
        </w:trPr>
        <w:tc>
          <w:tcPr>
            <w:tcW w:w="1332" w:type="dxa"/>
            <w:tcBorders>
              <w:top w:val="nil"/>
              <w:left w:val="single" w:sz="4" w:space="0" w:color="auto"/>
              <w:bottom w:val="nil"/>
            </w:tcBorders>
            <w:shd w:val="clear" w:color="auto" w:fill="D9D9D9" w:themeFill="background1" w:themeFillShade="D9"/>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sidRPr="00EC191C">
              <w:rPr>
                <w:rFonts w:ascii="Arial Narrow" w:hAnsi="Arial Narrow"/>
                <w:sz w:val="16"/>
                <w:szCs w:val="16"/>
              </w:rPr>
              <w:t>20</w:t>
            </w:r>
            <w:r>
              <w:rPr>
                <w:rFonts w:ascii="Arial Narrow" w:hAnsi="Arial Narrow"/>
                <w:sz w:val="16"/>
                <w:szCs w:val="16"/>
              </w:rPr>
              <w:t>13</w:t>
            </w:r>
          </w:p>
        </w:tc>
        <w:tc>
          <w:tcPr>
            <w:tcW w:w="1417" w:type="dxa"/>
            <w:tcBorders>
              <w:top w:val="nil"/>
              <w:bottom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783</w:t>
            </w:r>
          </w:p>
        </w:tc>
        <w:tc>
          <w:tcPr>
            <w:tcW w:w="1774" w:type="dxa"/>
            <w:tcBorders>
              <w:top w:val="nil"/>
              <w:bottom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5.867</w:t>
            </w:r>
          </w:p>
        </w:tc>
        <w:tc>
          <w:tcPr>
            <w:tcW w:w="1488" w:type="dxa"/>
            <w:tcBorders>
              <w:top w:val="nil"/>
              <w:bottom w:val="nil"/>
              <w:right w:val="single" w:sz="4" w:space="0" w:color="auto"/>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6.650</w:t>
            </w:r>
          </w:p>
        </w:tc>
      </w:tr>
      <w:tr w:rsidR="0064178C" w:rsidRPr="00EC191C" w:rsidTr="00D77C59">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2014</w:t>
            </w:r>
          </w:p>
        </w:tc>
        <w:tc>
          <w:tcPr>
            <w:tcW w:w="1417" w:type="dxa"/>
            <w:tcBorders>
              <w:top w:val="nil"/>
              <w:bottom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710</w:t>
            </w:r>
          </w:p>
        </w:tc>
        <w:tc>
          <w:tcPr>
            <w:tcW w:w="1774" w:type="dxa"/>
            <w:tcBorders>
              <w:top w:val="nil"/>
              <w:bottom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5.882</w:t>
            </w:r>
          </w:p>
        </w:tc>
        <w:tc>
          <w:tcPr>
            <w:tcW w:w="1488" w:type="dxa"/>
            <w:tcBorders>
              <w:top w:val="nil"/>
              <w:bottom w:val="nil"/>
              <w:right w:val="single" w:sz="4" w:space="0" w:color="auto"/>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6.592</w:t>
            </w:r>
          </w:p>
        </w:tc>
      </w:tr>
      <w:tr w:rsidR="0064178C" w:rsidRPr="00EC191C" w:rsidTr="00D77C59">
        <w:tblPrEx>
          <w:tblLook w:val="01E0"/>
        </w:tblPrEx>
        <w:trPr>
          <w:jc w:val="center"/>
        </w:trPr>
        <w:tc>
          <w:tcPr>
            <w:tcW w:w="1332" w:type="dxa"/>
            <w:tcBorders>
              <w:top w:val="nil"/>
              <w:left w:val="single" w:sz="4" w:space="0" w:color="auto"/>
              <w:bottom w:val="nil"/>
            </w:tcBorders>
            <w:shd w:val="clear" w:color="auto" w:fill="D9D9D9" w:themeFill="background1" w:themeFillShade="D9"/>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2015</w:t>
            </w:r>
          </w:p>
        </w:tc>
        <w:tc>
          <w:tcPr>
            <w:tcW w:w="1417" w:type="dxa"/>
            <w:tcBorders>
              <w:top w:val="nil"/>
              <w:bottom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681</w:t>
            </w:r>
          </w:p>
        </w:tc>
        <w:tc>
          <w:tcPr>
            <w:tcW w:w="1774" w:type="dxa"/>
            <w:tcBorders>
              <w:top w:val="nil"/>
              <w:bottom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5.725</w:t>
            </w:r>
          </w:p>
        </w:tc>
        <w:tc>
          <w:tcPr>
            <w:tcW w:w="1488" w:type="dxa"/>
            <w:tcBorders>
              <w:top w:val="nil"/>
              <w:bottom w:val="nil"/>
              <w:right w:val="single" w:sz="4" w:space="0" w:color="auto"/>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6.406</w:t>
            </w:r>
          </w:p>
        </w:tc>
      </w:tr>
      <w:tr w:rsidR="0064178C" w:rsidRPr="00EC191C" w:rsidTr="00D77C59">
        <w:tblPrEx>
          <w:tblLook w:val="01E0"/>
        </w:tblPrEx>
        <w:trPr>
          <w:jc w:val="center"/>
        </w:trPr>
        <w:tc>
          <w:tcPr>
            <w:tcW w:w="1332" w:type="dxa"/>
            <w:tcBorders>
              <w:top w:val="nil"/>
              <w:left w:val="single" w:sz="4" w:space="0" w:color="auto"/>
            </w:tcBorders>
            <w:shd w:val="clear" w:color="auto" w:fill="auto"/>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2016</w:t>
            </w:r>
          </w:p>
        </w:tc>
        <w:tc>
          <w:tcPr>
            <w:tcW w:w="1417" w:type="dxa"/>
            <w:tcBorders>
              <w:top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833</w:t>
            </w:r>
          </w:p>
        </w:tc>
        <w:tc>
          <w:tcPr>
            <w:tcW w:w="1774" w:type="dxa"/>
            <w:tcBorders>
              <w:top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sz w:val="16"/>
                <w:szCs w:val="16"/>
              </w:rPr>
            </w:pPr>
            <w:r>
              <w:rPr>
                <w:rFonts w:ascii="Arial Narrow" w:hAnsi="Arial Narrow"/>
                <w:sz w:val="16"/>
                <w:szCs w:val="16"/>
              </w:rPr>
              <w:t>5.454</w:t>
            </w:r>
          </w:p>
        </w:tc>
        <w:tc>
          <w:tcPr>
            <w:tcW w:w="1488" w:type="dxa"/>
            <w:tcBorders>
              <w:top w:val="nil"/>
              <w:right w:val="single" w:sz="4" w:space="0" w:color="auto"/>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sz w:val="16"/>
                <w:szCs w:val="16"/>
              </w:rPr>
            </w:pPr>
            <w:r>
              <w:rPr>
                <w:rFonts w:ascii="Arial Narrow" w:hAnsi="Arial Narrow"/>
                <w:sz w:val="16"/>
                <w:szCs w:val="16"/>
              </w:rPr>
              <w:t>6.288</w:t>
            </w:r>
          </w:p>
        </w:tc>
      </w:tr>
      <w:tr w:rsidR="0064178C" w:rsidRPr="00EC191C" w:rsidTr="00D77C59">
        <w:tblPrEx>
          <w:tblLook w:val="01E0"/>
        </w:tblPrEx>
        <w:trPr>
          <w:jc w:val="center"/>
        </w:trPr>
        <w:tc>
          <w:tcPr>
            <w:tcW w:w="1332" w:type="dxa"/>
            <w:tcBorders>
              <w:top w:val="nil"/>
              <w:left w:val="single" w:sz="4" w:space="0" w:color="auto"/>
            </w:tcBorders>
            <w:shd w:val="clear" w:color="auto" w:fill="D9D9D9" w:themeFill="background1" w:themeFillShade="D9"/>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2017</w:t>
            </w:r>
          </w:p>
        </w:tc>
        <w:tc>
          <w:tcPr>
            <w:tcW w:w="1417" w:type="dxa"/>
            <w:tcBorders>
              <w:top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1.327</w:t>
            </w:r>
          </w:p>
        </w:tc>
        <w:tc>
          <w:tcPr>
            <w:tcW w:w="1774" w:type="dxa"/>
            <w:tcBorders>
              <w:top w:val="nil"/>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4.623</w:t>
            </w:r>
          </w:p>
        </w:tc>
        <w:tc>
          <w:tcPr>
            <w:tcW w:w="1488" w:type="dxa"/>
            <w:tcBorders>
              <w:top w:val="nil"/>
              <w:right w:val="single" w:sz="4" w:space="0" w:color="auto"/>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5.950</w:t>
            </w:r>
          </w:p>
        </w:tc>
      </w:tr>
      <w:tr w:rsidR="0064178C" w:rsidRPr="00EC191C" w:rsidTr="00D77C59">
        <w:tblPrEx>
          <w:tblLook w:val="01E0"/>
        </w:tblPrEx>
        <w:trPr>
          <w:jc w:val="center"/>
        </w:trPr>
        <w:tc>
          <w:tcPr>
            <w:tcW w:w="1332" w:type="dxa"/>
            <w:tcBorders>
              <w:top w:val="nil"/>
              <w:left w:val="single" w:sz="4" w:space="0" w:color="auto"/>
            </w:tcBorders>
            <w:shd w:val="clear" w:color="auto" w:fill="auto"/>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2018*</w:t>
            </w:r>
          </w:p>
        </w:tc>
        <w:tc>
          <w:tcPr>
            <w:tcW w:w="1417" w:type="dxa"/>
            <w:tcBorders>
              <w:top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1.000</w:t>
            </w:r>
          </w:p>
        </w:tc>
        <w:tc>
          <w:tcPr>
            <w:tcW w:w="1774" w:type="dxa"/>
            <w:tcBorders>
              <w:top w:val="nil"/>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sz w:val="16"/>
                <w:szCs w:val="16"/>
              </w:rPr>
            </w:pPr>
            <w:r>
              <w:rPr>
                <w:rFonts w:ascii="Arial Narrow" w:hAnsi="Arial Narrow"/>
                <w:sz w:val="16"/>
                <w:szCs w:val="16"/>
              </w:rPr>
              <w:t>5.750</w:t>
            </w:r>
          </w:p>
        </w:tc>
        <w:tc>
          <w:tcPr>
            <w:tcW w:w="1488" w:type="dxa"/>
            <w:tcBorders>
              <w:top w:val="nil"/>
              <w:right w:val="single" w:sz="4" w:space="0" w:color="auto"/>
            </w:tcBorders>
            <w:shd w:val="clear" w:color="auto" w:fill="auto"/>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6.750</w:t>
            </w:r>
          </w:p>
        </w:tc>
      </w:tr>
      <w:tr w:rsidR="0064178C" w:rsidRPr="00EC191C" w:rsidTr="00D77C59">
        <w:tblPrEx>
          <w:tblLook w:val="01E0"/>
        </w:tblPrEx>
        <w:trPr>
          <w:jc w:val="center"/>
        </w:trPr>
        <w:tc>
          <w:tcPr>
            <w:tcW w:w="1332" w:type="dxa"/>
            <w:tcBorders>
              <w:top w:val="nil"/>
              <w:left w:val="single" w:sz="4" w:space="0" w:color="auto"/>
              <w:bottom w:val="single" w:sz="4" w:space="0" w:color="auto"/>
            </w:tcBorders>
            <w:shd w:val="clear" w:color="auto" w:fill="D9D9D9" w:themeFill="background1" w:themeFillShade="D9"/>
            <w:tcMar>
              <w:left w:w="28" w:type="dxa"/>
              <w:right w:w="28" w:type="dxa"/>
            </w:tcMar>
            <w:vAlign w:val="center"/>
          </w:tcPr>
          <w:p w:rsidR="0064178C" w:rsidRPr="00EC191C" w:rsidRDefault="0064178C" w:rsidP="0064178C">
            <w:pPr>
              <w:tabs>
                <w:tab w:val="decimal" w:pos="755"/>
              </w:tabs>
              <w:spacing w:before="20" w:after="20"/>
              <w:jc w:val="both"/>
              <w:rPr>
                <w:rFonts w:ascii="Arial Narrow" w:hAnsi="Arial Narrow"/>
                <w:sz w:val="16"/>
                <w:szCs w:val="16"/>
              </w:rPr>
            </w:pPr>
            <w:r>
              <w:rPr>
                <w:rFonts w:ascii="Arial Narrow" w:hAnsi="Arial Narrow"/>
                <w:sz w:val="16"/>
                <w:szCs w:val="16"/>
              </w:rPr>
              <w:t>2019*</w:t>
            </w:r>
          </w:p>
        </w:tc>
        <w:tc>
          <w:tcPr>
            <w:tcW w:w="1417" w:type="dxa"/>
            <w:tcBorders>
              <w:top w:val="nil"/>
              <w:bottom w:val="single" w:sz="4" w:space="0" w:color="auto"/>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1.000</w:t>
            </w:r>
          </w:p>
        </w:tc>
        <w:tc>
          <w:tcPr>
            <w:tcW w:w="1774" w:type="dxa"/>
            <w:tcBorders>
              <w:top w:val="nil"/>
              <w:bottom w:val="single" w:sz="4" w:space="0" w:color="auto"/>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5.750</w:t>
            </w:r>
          </w:p>
        </w:tc>
        <w:tc>
          <w:tcPr>
            <w:tcW w:w="1488" w:type="dxa"/>
            <w:tcBorders>
              <w:top w:val="nil"/>
              <w:bottom w:val="single" w:sz="4" w:space="0" w:color="auto"/>
              <w:right w:val="single" w:sz="4" w:space="0" w:color="auto"/>
            </w:tcBorders>
            <w:shd w:val="clear" w:color="auto" w:fill="D9D9D9" w:themeFill="background1" w:themeFillShade="D9"/>
            <w:tcMar>
              <w:left w:w="28" w:type="dxa"/>
              <w:right w:w="28" w:type="dxa"/>
            </w:tcMar>
            <w:vAlign w:val="center"/>
          </w:tcPr>
          <w:p w:rsidR="0064178C" w:rsidRDefault="0064178C" w:rsidP="0064178C">
            <w:pPr>
              <w:spacing w:before="20" w:after="20"/>
              <w:ind w:right="541"/>
              <w:jc w:val="right"/>
              <w:rPr>
                <w:rFonts w:ascii="Arial Narrow" w:hAnsi="Arial Narrow"/>
                <w:color w:val="000000"/>
                <w:sz w:val="16"/>
                <w:szCs w:val="16"/>
              </w:rPr>
            </w:pPr>
            <w:r>
              <w:rPr>
                <w:rFonts w:ascii="Arial Narrow" w:hAnsi="Arial Narrow"/>
                <w:color w:val="000000"/>
                <w:sz w:val="16"/>
                <w:szCs w:val="16"/>
              </w:rPr>
              <w:t>6.750</w:t>
            </w:r>
          </w:p>
        </w:tc>
      </w:tr>
    </w:tbl>
    <w:p w:rsidR="0064178C" w:rsidRPr="00EC191C" w:rsidRDefault="0064178C" w:rsidP="0064178C">
      <w:pPr>
        <w:tabs>
          <w:tab w:val="left" w:pos="1843"/>
        </w:tabs>
        <w:spacing w:before="100" w:beforeAutospacing="1" w:after="100" w:afterAutospacing="1"/>
        <w:ind w:firstLine="1560"/>
        <w:contextualSpacing/>
        <w:jc w:val="both"/>
        <w:rPr>
          <w:rFonts w:ascii="Arial Narrow" w:hAnsi="Arial Narrow"/>
          <w:sz w:val="16"/>
          <w:szCs w:val="16"/>
        </w:rPr>
      </w:pPr>
      <w:r>
        <w:rPr>
          <w:rFonts w:ascii="Arial Narrow" w:hAnsi="Arial Narrow"/>
          <w:sz w:val="16"/>
          <w:szCs w:val="16"/>
        </w:rPr>
        <w:t>*</w:t>
      </w:r>
      <w:r>
        <w:rPr>
          <w:rFonts w:ascii="Arial Narrow" w:hAnsi="Arial Narrow"/>
          <w:sz w:val="16"/>
          <w:szCs w:val="16"/>
        </w:rPr>
        <w:tab/>
        <w:t>Τα ποσά των ετών 2018 και 2019 αποτελούν εκτιμήσεις και προβλέψεις αντίστοιχα.</w:t>
      </w:r>
    </w:p>
    <w:p w:rsidR="0064178C" w:rsidRDefault="0064178C" w:rsidP="0064178C">
      <w:pPr>
        <w:spacing w:before="100" w:beforeAutospacing="1" w:after="100" w:afterAutospacing="1"/>
        <w:ind w:firstLine="1560"/>
        <w:contextualSpacing/>
        <w:jc w:val="both"/>
        <w:rPr>
          <w:rFonts w:ascii="Arial Narrow" w:hAnsi="Arial Narrow"/>
          <w:sz w:val="16"/>
          <w:szCs w:val="16"/>
        </w:rPr>
      </w:pPr>
      <w:r>
        <w:rPr>
          <w:rFonts w:ascii="Arial Narrow" w:hAnsi="Arial Narrow"/>
          <w:sz w:val="16"/>
          <w:szCs w:val="16"/>
        </w:rPr>
        <w:t>Πηγή: Διεύθυνση Δημοσίων Επενδύσεων Υπουργείου Οικονομίας και Ανάπτυξης.</w:t>
      </w:r>
    </w:p>
    <w:p w:rsidR="0064178C" w:rsidRDefault="0064178C" w:rsidP="0064178C">
      <w:pPr>
        <w:rPr>
          <w:sz w:val="22"/>
          <w:szCs w:val="22"/>
          <w:highlight w:val="lightGray"/>
        </w:rPr>
      </w:pPr>
    </w:p>
    <w:p w:rsidR="0064178C" w:rsidRDefault="0064178C" w:rsidP="0064178C">
      <w:pPr>
        <w:jc w:val="both"/>
        <w:rPr>
          <w:sz w:val="22"/>
          <w:szCs w:val="22"/>
        </w:rPr>
      </w:pPr>
    </w:p>
    <w:p w:rsidR="00944C65" w:rsidRDefault="00944C65" w:rsidP="0064178C">
      <w:pPr>
        <w:jc w:val="both"/>
        <w:rPr>
          <w:sz w:val="22"/>
          <w:szCs w:val="22"/>
        </w:rPr>
      </w:pPr>
    </w:p>
    <w:p w:rsidR="0064178C" w:rsidRPr="0064178C" w:rsidRDefault="0064178C" w:rsidP="0064178C">
      <w:pPr>
        <w:jc w:val="both"/>
        <w:rPr>
          <w:b/>
          <w:sz w:val="22"/>
          <w:szCs w:val="22"/>
        </w:rPr>
      </w:pPr>
      <w:r w:rsidRPr="0064178C">
        <w:rPr>
          <w:b/>
          <w:sz w:val="22"/>
          <w:szCs w:val="22"/>
        </w:rPr>
        <w:t>Συγχρηματοδοτούμενο σκέλος ΠΔΕ</w:t>
      </w:r>
    </w:p>
    <w:p w:rsidR="0064178C" w:rsidRPr="00171E53" w:rsidRDefault="0064178C" w:rsidP="0064178C">
      <w:pPr>
        <w:jc w:val="both"/>
        <w:rPr>
          <w:sz w:val="22"/>
          <w:szCs w:val="22"/>
        </w:rPr>
      </w:pPr>
    </w:p>
    <w:p w:rsidR="0064178C" w:rsidRPr="00171E53" w:rsidRDefault="0064178C" w:rsidP="0064178C">
      <w:pPr>
        <w:jc w:val="both"/>
        <w:rPr>
          <w:sz w:val="22"/>
          <w:szCs w:val="22"/>
        </w:rPr>
      </w:pPr>
      <w:r w:rsidRPr="00171E53">
        <w:rPr>
          <w:sz w:val="22"/>
          <w:szCs w:val="22"/>
        </w:rPr>
        <w:t>Κύρια πηγή εσόδων για τη χρηματοδότηση των έργων του ΠΔΕ αποτελούν οι εισροές από την ΕΕ</w:t>
      </w:r>
      <w:r>
        <w:rPr>
          <w:sz w:val="22"/>
          <w:szCs w:val="22"/>
        </w:rPr>
        <w:t>,</w:t>
      </w:r>
      <w:r w:rsidRPr="00171E53">
        <w:rPr>
          <w:sz w:val="22"/>
          <w:szCs w:val="22"/>
        </w:rPr>
        <w:t xml:space="preserve"> μέσω κυρίως των Ευρωπαϊκών Διαρθρωτικών και Επενδυτικών Ταμείων (ΕΔΕΤ). Βασικός στόχος στην παρούσα χρονική στιγμή είναι η αποτελεσματική υλοποίηση του ΕΣΠΑ 2014–2020, αλλά και η ολοκλήρωση όλων των ημιτελών έργων της προηγούμενης προγραμματικής περιόδου 2007–2013.</w:t>
      </w:r>
    </w:p>
    <w:p w:rsidR="0064178C" w:rsidRPr="00171E53" w:rsidRDefault="0064178C" w:rsidP="0064178C">
      <w:pPr>
        <w:jc w:val="both"/>
        <w:rPr>
          <w:sz w:val="22"/>
          <w:szCs w:val="22"/>
        </w:rPr>
      </w:pPr>
    </w:p>
    <w:p w:rsidR="0064178C" w:rsidRPr="00171E53" w:rsidRDefault="0064178C" w:rsidP="0064178C">
      <w:pPr>
        <w:tabs>
          <w:tab w:val="left" w:pos="284"/>
        </w:tabs>
        <w:ind w:left="284" w:hanging="284"/>
        <w:jc w:val="both"/>
        <w:rPr>
          <w:rFonts w:ascii="Arial Narrow" w:hAnsi="Arial Narrow" w:cs="Arial"/>
          <w:b/>
          <w:sz w:val="20"/>
          <w:szCs w:val="22"/>
        </w:rPr>
      </w:pPr>
      <w:r>
        <w:rPr>
          <w:rFonts w:ascii="Arial Narrow" w:hAnsi="Arial Narrow" w:cs="Arial"/>
          <w:b/>
          <w:sz w:val="20"/>
          <w:szCs w:val="22"/>
        </w:rPr>
        <w:t>-</w:t>
      </w:r>
      <w:r>
        <w:rPr>
          <w:rFonts w:ascii="Arial Narrow" w:hAnsi="Arial Narrow" w:cs="Arial"/>
          <w:b/>
          <w:sz w:val="20"/>
          <w:szCs w:val="22"/>
        </w:rPr>
        <w:tab/>
      </w:r>
      <w:r w:rsidRPr="00171E53">
        <w:rPr>
          <w:rFonts w:ascii="Arial Narrow" w:hAnsi="Arial Narrow" w:cs="Arial"/>
          <w:b/>
          <w:sz w:val="20"/>
          <w:szCs w:val="22"/>
        </w:rPr>
        <w:t>Ημιτελή έργα ΕΣΠΑ 2007-2013</w:t>
      </w:r>
    </w:p>
    <w:p w:rsidR="0064178C" w:rsidRPr="00171E53" w:rsidRDefault="0064178C" w:rsidP="0064178C">
      <w:pPr>
        <w:tabs>
          <w:tab w:val="left" w:pos="284"/>
        </w:tabs>
        <w:ind w:left="284" w:hanging="284"/>
        <w:jc w:val="both"/>
        <w:rPr>
          <w:sz w:val="22"/>
          <w:szCs w:val="22"/>
        </w:rPr>
      </w:pPr>
      <w:r>
        <w:rPr>
          <w:sz w:val="22"/>
          <w:szCs w:val="22"/>
        </w:rPr>
        <w:tab/>
      </w:r>
      <w:r w:rsidRPr="00171E53">
        <w:rPr>
          <w:sz w:val="22"/>
          <w:szCs w:val="22"/>
        </w:rPr>
        <w:t>Στις τελικές εκθέσεις των ΕΠ του ΕΣΠΑ 2007-2013, όπως αυτές επανυποβλήθηκαν στην ΕΕ τον Δεκέμβριο του 2017, περιλαμβάνονται 80 πράξεις, συνολικού προϋπολογισμού 1.900 εκατ. ευρώ, οι οποίες χαρακτηρίστηκαν ως ημιτελείς. Οι δικαιούχοι έχουν την υποχρέωση να ολοκληρώσουν τα δηλωθέντα ως ημιτελή έργα του ΕΣΠΑ 2007-2013 μέχρι 31.03.2019 και οι σχετικές προσπάθε</w:t>
      </w:r>
      <w:r w:rsidRPr="00171E53">
        <w:rPr>
          <w:sz w:val="22"/>
          <w:szCs w:val="22"/>
        </w:rPr>
        <w:t>ι</w:t>
      </w:r>
      <w:r w:rsidRPr="00171E53">
        <w:rPr>
          <w:sz w:val="22"/>
          <w:szCs w:val="22"/>
        </w:rPr>
        <w:t>ες εντατικοποιούνται από όλα τα εμπλεκόμενα μέρη.</w:t>
      </w:r>
    </w:p>
    <w:p w:rsidR="0064178C" w:rsidRDefault="0064178C" w:rsidP="0064178C">
      <w:pPr>
        <w:tabs>
          <w:tab w:val="left" w:pos="284"/>
        </w:tabs>
        <w:ind w:left="284" w:hanging="284"/>
        <w:jc w:val="both"/>
        <w:rPr>
          <w:sz w:val="22"/>
          <w:szCs w:val="22"/>
        </w:rPr>
      </w:pPr>
      <w:bookmarkStart w:id="3" w:name="_Toc497856341"/>
      <w:bookmarkStart w:id="4" w:name="_Toc497856995"/>
      <w:bookmarkStart w:id="5" w:name="_Toc530051845"/>
    </w:p>
    <w:p w:rsidR="0064178C" w:rsidRPr="00171E53" w:rsidRDefault="0064178C" w:rsidP="0064178C">
      <w:pPr>
        <w:tabs>
          <w:tab w:val="left" w:pos="284"/>
        </w:tabs>
        <w:ind w:left="284" w:hanging="284"/>
        <w:jc w:val="both"/>
        <w:rPr>
          <w:rFonts w:ascii="Arial Narrow" w:hAnsi="Arial Narrow" w:cs="Arial"/>
          <w:b/>
          <w:sz w:val="20"/>
          <w:szCs w:val="22"/>
        </w:rPr>
      </w:pPr>
      <w:r>
        <w:rPr>
          <w:rFonts w:ascii="Arial Narrow" w:hAnsi="Arial Narrow" w:cs="Arial"/>
          <w:b/>
          <w:sz w:val="20"/>
          <w:szCs w:val="22"/>
        </w:rPr>
        <w:t>-</w:t>
      </w:r>
      <w:r>
        <w:rPr>
          <w:rFonts w:ascii="Arial Narrow" w:hAnsi="Arial Narrow" w:cs="Arial"/>
          <w:b/>
          <w:sz w:val="20"/>
          <w:szCs w:val="22"/>
        </w:rPr>
        <w:tab/>
      </w:r>
      <w:r w:rsidRPr="00171E53">
        <w:rPr>
          <w:rFonts w:ascii="Arial Narrow" w:hAnsi="Arial Narrow" w:cs="Arial"/>
          <w:b/>
          <w:sz w:val="20"/>
          <w:szCs w:val="22"/>
        </w:rPr>
        <w:t>ΕΣΠΑ 2014-2020</w:t>
      </w:r>
      <w:bookmarkEnd w:id="3"/>
      <w:bookmarkEnd w:id="4"/>
      <w:bookmarkEnd w:id="5"/>
    </w:p>
    <w:p w:rsidR="0064178C" w:rsidRDefault="0064178C" w:rsidP="0064178C">
      <w:pPr>
        <w:tabs>
          <w:tab w:val="left" w:pos="284"/>
        </w:tabs>
        <w:ind w:left="284" w:hanging="284"/>
        <w:jc w:val="both"/>
        <w:rPr>
          <w:sz w:val="22"/>
          <w:szCs w:val="22"/>
        </w:rPr>
      </w:pPr>
      <w:r>
        <w:rPr>
          <w:sz w:val="22"/>
          <w:szCs w:val="22"/>
        </w:rPr>
        <w:tab/>
      </w:r>
      <w:r w:rsidRPr="00171E53">
        <w:rPr>
          <w:sz w:val="22"/>
          <w:szCs w:val="22"/>
        </w:rPr>
        <w:t>Μετά την ενδιάμεση αναθεώρηση του Πολυετούς Δημοσιονομικού Πλαισίου 2014-2020 και την τεχνική προσαρμογή των συνολικών κονδυλίων της Πολιτικής Συνοχής περιόδου 2017-2020</w:t>
      </w:r>
      <w:r>
        <w:rPr>
          <w:sz w:val="22"/>
          <w:szCs w:val="22"/>
        </w:rPr>
        <w:t>,</w:t>
      </w:r>
      <w:r w:rsidRPr="00171E53">
        <w:rPr>
          <w:sz w:val="22"/>
          <w:szCs w:val="22"/>
        </w:rPr>
        <w:t xml:space="preserve"> με βάση τα στοιχεία ΑΕΠ των ετών 2011-2014 όλων των κρατών μελών, η Ελλάδα επωφελήθηκε με επιπλέον πόρους ύψους 970 εκατ. ευρώ. Αυτή η αύξηση των κοινοτικών κονδυλίων οδήγησε στην αναθεώρηση των Προγραμμάτων, για την κατανομή του ποσού αυτού. Ύστερα από τη διαδικασία αυτή, η χώρα μας έχει εξασφαλίσει για την περίοδο 2014-2020 αναπτυξιακούς πόρους από την Ε</w:t>
      </w:r>
      <w:r w:rsidRPr="00171E53">
        <w:rPr>
          <w:sz w:val="22"/>
          <w:szCs w:val="22"/>
        </w:rPr>
        <w:t>υ</w:t>
      </w:r>
      <w:r w:rsidRPr="00171E53">
        <w:rPr>
          <w:sz w:val="22"/>
          <w:szCs w:val="22"/>
        </w:rPr>
        <w:t>ρωπαϊκή Ένωση ύψους 21.000 εκατ. ευρώ, προερχόμενους από τα Ευρωπαϊκά Διαρθρωτικά και Επενδυτικά Ταμεία (ΕΔΕΤ). Το ποσό αυτό αθροιζόμενο με την αναλογούσα εθνική συμμετοχή ε</w:t>
      </w:r>
      <w:r w:rsidRPr="00171E53">
        <w:rPr>
          <w:sz w:val="22"/>
          <w:szCs w:val="22"/>
        </w:rPr>
        <w:t>κ</w:t>
      </w:r>
      <w:r w:rsidRPr="00171E53">
        <w:rPr>
          <w:sz w:val="22"/>
          <w:szCs w:val="22"/>
        </w:rPr>
        <w:t>τιμάται ότι θα ανέλθει στο ύψος των 27.000 εκατ. ευρώ. Το σημαντικότερο τμήμα των πόρων α</w:t>
      </w:r>
      <w:r w:rsidRPr="00171E53">
        <w:rPr>
          <w:sz w:val="22"/>
          <w:szCs w:val="22"/>
        </w:rPr>
        <w:t>υ</w:t>
      </w:r>
      <w:r w:rsidRPr="00171E53">
        <w:rPr>
          <w:sz w:val="22"/>
          <w:szCs w:val="22"/>
        </w:rPr>
        <w:t>τών αναμένεται να απορροφηθεί κατά την εκτέλεση του ΠΔΕ 2018-2021, με τη χρηματοδότηση των αναπτυξιακών δράσεων που σχεδιάστηκαν και θα υλοποιηθούν στο πλαίσιο του ΕΣΠΑ 2014-2020.</w:t>
      </w:r>
    </w:p>
    <w:p w:rsidR="0064178C" w:rsidRPr="00171E53" w:rsidRDefault="0064178C" w:rsidP="0064178C">
      <w:pPr>
        <w:tabs>
          <w:tab w:val="left" w:pos="284"/>
        </w:tabs>
        <w:ind w:left="284" w:hanging="284"/>
        <w:jc w:val="both"/>
        <w:rPr>
          <w:sz w:val="22"/>
          <w:szCs w:val="22"/>
        </w:rPr>
      </w:pPr>
    </w:p>
    <w:p w:rsidR="0064178C" w:rsidRDefault="0064178C" w:rsidP="0064178C">
      <w:pPr>
        <w:tabs>
          <w:tab w:val="left" w:pos="284"/>
        </w:tabs>
        <w:ind w:left="284" w:hanging="284"/>
        <w:jc w:val="both"/>
        <w:rPr>
          <w:sz w:val="22"/>
          <w:szCs w:val="22"/>
        </w:rPr>
      </w:pPr>
      <w:r>
        <w:rPr>
          <w:sz w:val="22"/>
          <w:szCs w:val="22"/>
        </w:rPr>
        <w:tab/>
        <w:t>Ως προς την πρόοδο υλοποίησή</w:t>
      </w:r>
      <w:r w:rsidRPr="00171E53">
        <w:rPr>
          <w:sz w:val="22"/>
          <w:szCs w:val="22"/>
        </w:rPr>
        <w:t>ς του</w:t>
      </w:r>
      <w:r>
        <w:rPr>
          <w:sz w:val="22"/>
          <w:szCs w:val="22"/>
        </w:rPr>
        <w:t>,</w:t>
      </w:r>
      <w:r w:rsidRPr="00171E53">
        <w:rPr>
          <w:sz w:val="22"/>
          <w:szCs w:val="22"/>
        </w:rPr>
        <w:t xml:space="preserve"> το ΕΣΠΑ 2014-2020 εμφανίζει υψηλά ποσοστά ενεργοποί</w:t>
      </w:r>
      <w:r w:rsidRPr="00171E53">
        <w:rPr>
          <w:sz w:val="22"/>
          <w:szCs w:val="22"/>
        </w:rPr>
        <w:t>η</w:t>
      </w:r>
      <w:r w:rsidRPr="00171E53">
        <w:rPr>
          <w:sz w:val="22"/>
          <w:szCs w:val="22"/>
        </w:rPr>
        <w:t>σης των δράσεων</w:t>
      </w:r>
      <w:r>
        <w:rPr>
          <w:sz w:val="22"/>
          <w:szCs w:val="22"/>
        </w:rPr>
        <w:t>,</w:t>
      </w:r>
      <w:r w:rsidRPr="00171E53">
        <w:rPr>
          <w:sz w:val="22"/>
          <w:szCs w:val="22"/>
        </w:rPr>
        <w:t xml:space="preserve"> με τις εκδοθείσες προσκλήσεις και τις εντάξεις να καλύπτουν ένα μεγάλο π</w:t>
      </w:r>
      <w:r w:rsidRPr="00171E53">
        <w:rPr>
          <w:sz w:val="22"/>
          <w:szCs w:val="22"/>
        </w:rPr>
        <w:t>ο</w:t>
      </w:r>
      <w:r w:rsidRPr="00171E53">
        <w:rPr>
          <w:sz w:val="22"/>
          <w:szCs w:val="22"/>
        </w:rPr>
        <w:t>σοστό των διαθέσιμων πόρων. Ειδικότερα, με βάση πρόσφατη αναφορά (15.10.2018), για το σύν</w:t>
      </w:r>
      <w:r w:rsidRPr="00171E53">
        <w:rPr>
          <w:sz w:val="22"/>
          <w:szCs w:val="22"/>
        </w:rPr>
        <w:t>ο</w:t>
      </w:r>
      <w:r w:rsidRPr="00171E53">
        <w:rPr>
          <w:sz w:val="22"/>
          <w:szCs w:val="22"/>
        </w:rPr>
        <w:t>λο του ΕΣΠΑ 2014-2020, έχουν δημοσιευθεί προσκλήσεις ύψους 21.800 εκατ. ευρώ, έχουν εντα</w:t>
      </w:r>
      <w:r w:rsidRPr="00171E53">
        <w:rPr>
          <w:sz w:val="22"/>
          <w:szCs w:val="22"/>
        </w:rPr>
        <w:t>χ</w:t>
      </w:r>
      <w:r w:rsidRPr="00171E53">
        <w:rPr>
          <w:sz w:val="22"/>
          <w:szCs w:val="22"/>
        </w:rPr>
        <w:t xml:space="preserve">θεί στο ΠΔΕ έργα προϋπολογισμού 16.700 εκατ. ευρώ, έχουν αναληφθεί νομικές δεσμεύσεις (συμβάσεις κ.λπ.) σε ύψος 11.500 εκατ. ευρώ, ενώ οι μέχρι τώρα </w:t>
      </w:r>
      <w:r>
        <w:rPr>
          <w:sz w:val="22"/>
          <w:szCs w:val="22"/>
        </w:rPr>
        <w:t>πληρωμές</w:t>
      </w:r>
      <w:r w:rsidRPr="00171E53">
        <w:rPr>
          <w:sz w:val="22"/>
          <w:szCs w:val="22"/>
        </w:rPr>
        <w:t xml:space="preserve"> ανέρχονται στα 5.200 εκατ. ευρώ.</w:t>
      </w:r>
    </w:p>
    <w:p w:rsidR="0064178C" w:rsidRPr="00171E53" w:rsidRDefault="0064178C" w:rsidP="0064178C">
      <w:pPr>
        <w:tabs>
          <w:tab w:val="left" w:pos="284"/>
        </w:tabs>
        <w:ind w:left="284" w:hanging="284"/>
        <w:jc w:val="both"/>
        <w:rPr>
          <w:sz w:val="22"/>
          <w:szCs w:val="22"/>
        </w:rPr>
      </w:pPr>
    </w:p>
    <w:p w:rsidR="0064178C" w:rsidRPr="00171E53" w:rsidRDefault="0064178C" w:rsidP="0064178C">
      <w:pPr>
        <w:tabs>
          <w:tab w:val="left" w:pos="284"/>
        </w:tabs>
        <w:ind w:left="284" w:hanging="284"/>
        <w:jc w:val="both"/>
        <w:rPr>
          <w:sz w:val="22"/>
          <w:szCs w:val="22"/>
        </w:rPr>
      </w:pPr>
      <w:r>
        <w:rPr>
          <w:sz w:val="22"/>
          <w:szCs w:val="22"/>
        </w:rPr>
        <w:tab/>
      </w:r>
      <w:r w:rsidRPr="00171E53">
        <w:rPr>
          <w:sz w:val="22"/>
          <w:szCs w:val="22"/>
        </w:rPr>
        <w:t>Με βάση επίσημα στοιχεία της Ευρωπαϊκής Επιτροπής (https://cohesiondata.ec.europa.eu/ overview), η Ελλάδα κατατάσσεται στις πρώτες θέσεις σε όλη την Ευρώπη, στην απορρόφηση των πόρων του ΕΣΠΑ 2014-2020 (συνολικές εισροές από ΕΕ).</w:t>
      </w:r>
    </w:p>
    <w:p w:rsidR="0064178C" w:rsidRPr="00171E53" w:rsidRDefault="0064178C" w:rsidP="0064178C">
      <w:pPr>
        <w:jc w:val="both"/>
        <w:rPr>
          <w:sz w:val="22"/>
          <w:szCs w:val="22"/>
        </w:rPr>
      </w:pPr>
    </w:p>
    <w:tbl>
      <w:tblPr>
        <w:tblW w:w="10095" w:type="dxa"/>
        <w:jc w:val="center"/>
        <w:tblLayout w:type="fixed"/>
        <w:tblCellMar>
          <w:left w:w="28" w:type="dxa"/>
          <w:right w:w="28" w:type="dxa"/>
        </w:tblCellMar>
        <w:tblLook w:val="0000"/>
      </w:tblPr>
      <w:tblGrid>
        <w:gridCol w:w="2619"/>
        <w:gridCol w:w="681"/>
        <w:gridCol w:w="608"/>
        <w:gridCol w:w="631"/>
        <w:gridCol w:w="553"/>
        <w:gridCol w:w="705"/>
        <w:gridCol w:w="578"/>
        <w:gridCol w:w="601"/>
        <w:gridCol w:w="571"/>
        <w:gridCol w:w="708"/>
        <w:gridCol w:w="603"/>
        <w:gridCol w:w="660"/>
        <w:gridCol w:w="577"/>
      </w:tblGrid>
      <w:tr w:rsidR="0064178C" w:rsidRPr="00221A99" w:rsidTr="00D77C59">
        <w:trPr>
          <w:cantSplit/>
          <w:jc w:val="center"/>
        </w:trPr>
        <w:tc>
          <w:tcPr>
            <w:tcW w:w="10095" w:type="dxa"/>
            <w:gridSpan w:val="1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64178C" w:rsidRPr="00221A99" w:rsidRDefault="0064178C" w:rsidP="00D77C59">
            <w:pPr>
              <w:spacing w:before="60"/>
              <w:jc w:val="center"/>
              <w:rPr>
                <w:rFonts w:ascii="Arial Narrow" w:hAnsi="Arial Narrow"/>
                <w:b/>
                <w:color w:val="FFFFFF"/>
              </w:rPr>
            </w:pPr>
            <w:r>
              <w:rPr>
                <w:rFonts w:ascii="Arial Narrow" w:hAnsi="Arial Narrow"/>
                <w:b/>
                <w:color w:val="FFFFFF"/>
              </w:rPr>
              <w:t>Πίνακας 3</w:t>
            </w:r>
            <w:r w:rsidR="00B2758C">
              <w:rPr>
                <w:rFonts w:ascii="Arial Narrow" w:hAnsi="Arial Narrow"/>
                <w:b/>
                <w:color w:val="FFFFFF"/>
              </w:rPr>
              <w:t>.10</w:t>
            </w:r>
            <w:r>
              <w:rPr>
                <w:rFonts w:ascii="Arial Narrow" w:hAnsi="Arial Narrow"/>
                <w:b/>
                <w:color w:val="FFFFFF"/>
              </w:rPr>
              <w:t xml:space="preserve">  Δαπάνες ΠΔΕ κατά φορέα 2017-2019</w:t>
            </w:r>
          </w:p>
          <w:p w:rsidR="0064178C" w:rsidRPr="00221A99" w:rsidRDefault="0064178C" w:rsidP="00D77C59">
            <w:pPr>
              <w:spacing w:after="60"/>
              <w:jc w:val="center"/>
              <w:rPr>
                <w:rFonts w:ascii="Arial Narrow" w:hAnsi="Arial Narrow" w:cs="Arial"/>
                <w:b/>
                <w:sz w:val="15"/>
                <w:szCs w:val="15"/>
              </w:rPr>
            </w:pPr>
            <w:r w:rsidRPr="00221A99">
              <w:rPr>
                <w:rFonts w:ascii="Arial Narrow" w:hAnsi="Arial Narrow"/>
                <w:b/>
                <w:color w:val="FFFFFF"/>
              </w:rPr>
              <w:t>(σε εκατ. ευρώ)</w:t>
            </w:r>
          </w:p>
        </w:tc>
      </w:tr>
      <w:tr w:rsidR="0064178C" w:rsidRPr="00221A99" w:rsidTr="00D77C59">
        <w:trPr>
          <w:cantSplit/>
          <w:jc w:val="center"/>
        </w:trPr>
        <w:tc>
          <w:tcPr>
            <w:tcW w:w="1009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spacing w:before="60"/>
              <w:jc w:val="center"/>
              <w:rPr>
                <w:rFonts w:ascii="Arial Narrow" w:hAnsi="Arial Narrow" w:cs="Arial"/>
                <w:b/>
                <w:sz w:val="15"/>
                <w:szCs w:val="15"/>
              </w:rPr>
            </w:pPr>
          </w:p>
        </w:tc>
      </w:tr>
      <w:tr w:rsidR="0064178C" w:rsidRPr="00221A99" w:rsidTr="00D77C59">
        <w:trPr>
          <w:cantSplit/>
          <w:jc w:val="center"/>
        </w:trPr>
        <w:tc>
          <w:tcPr>
            <w:tcW w:w="26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widowControl w:val="0"/>
              <w:spacing w:before="60" w:after="60"/>
              <w:jc w:val="center"/>
              <w:rPr>
                <w:rFonts w:ascii="Arial Narrow" w:hAnsi="Arial Narrow"/>
                <w:b/>
                <w:sz w:val="15"/>
                <w:szCs w:val="15"/>
              </w:rPr>
            </w:pPr>
            <w:r w:rsidRPr="00221A99">
              <w:rPr>
                <w:rFonts w:ascii="Arial Narrow" w:hAnsi="Arial Narrow"/>
                <w:b/>
                <w:sz w:val="15"/>
                <w:szCs w:val="15"/>
              </w:rPr>
              <w:t xml:space="preserve">Υπουργείο </w:t>
            </w:r>
            <w:r>
              <w:rPr>
                <w:rFonts w:ascii="Arial Narrow" w:hAnsi="Arial Narrow"/>
                <w:b/>
                <w:sz w:val="15"/>
                <w:szCs w:val="15"/>
              </w:rPr>
              <w:t>–</w:t>
            </w:r>
            <w:r w:rsidRPr="00221A99">
              <w:rPr>
                <w:rFonts w:ascii="Arial Narrow" w:hAnsi="Arial Narrow"/>
                <w:b/>
                <w:sz w:val="15"/>
                <w:szCs w:val="15"/>
              </w:rPr>
              <w:t xml:space="preserve"> Φορέας</w:t>
            </w:r>
          </w:p>
        </w:tc>
        <w:tc>
          <w:tcPr>
            <w:tcW w:w="24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0346C2" w:rsidRDefault="0064178C" w:rsidP="00D77C59">
            <w:pPr>
              <w:spacing w:before="60"/>
              <w:jc w:val="center"/>
              <w:rPr>
                <w:rFonts w:ascii="Arial Narrow" w:hAnsi="Arial Narrow" w:cs="Arial"/>
                <w:b/>
                <w:sz w:val="15"/>
                <w:szCs w:val="15"/>
              </w:rPr>
            </w:pPr>
            <w:r w:rsidRPr="00221A99">
              <w:rPr>
                <w:rFonts w:ascii="Arial Narrow" w:hAnsi="Arial Narrow" w:cs="Arial"/>
                <w:b/>
                <w:sz w:val="15"/>
                <w:szCs w:val="15"/>
              </w:rPr>
              <w:t>201</w:t>
            </w:r>
            <w:r>
              <w:rPr>
                <w:rFonts w:ascii="Arial Narrow" w:hAnsi="Arial Narrow" w:cs="Arial"/>
                <w:b/>
                <w:sz w:val="15"/>
                <w:szCs w:val="15"/>
              </w:rPr>
              <w:t>7*</w:t>
            </w:r>
          </w:p>
        </w:tc>
        <w:tc>
          <w:tcPr>
            <w:tcW w:w="24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0346C2" w:rsidRDefault="0064178C" w:rsidP="00D77C59">
            <w:pPr>
              <w:spacing w:before="60"/>
              <w:jc w:val="center"/>
              <w:rPr>
                <w:rFonts w:ascii="Arial Narrow" w:hAnsi="Arial Narrow" w:cs="Arial"/>
                <w:b/>
                <w:sz w:val="15"/>
                <w:szCs w:val="15"/>
              </w:rPr>
            </w:pPr>
            <w:r w:rsidRPr="00221A99">
              <w:rPr>
                <w:rFonts w:ascii="Arial Narrow" w:hAnsi="Arial Narrow" w:cs="Arial"/>
                <w:b/>
                <w:sz w:val="15"/>
                <w:szCs w:val="15"/>
              </w:rPr>
              <w:t>201</w:t>
            </w:r>
            <w:r>
              <w:rPr>
                <w:rFonts w:ascii="Arial Narrow" w:hAnsi="Arial Narrow" w:cs="Arial"/>
                <w:b/>
                <w:sz w:val="15"/>
                <w:szCs w:val="15"/>
              </w:rPr>
              <w:t>8</w:t>
            </w: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64178C" w:rsidRPr="000346C2" w:rsidRDefault="0064178C" w:rsidP="00D77C59">
            <w:pPr>
              <w:spacing w:before="60"/>
              <w:jc w:val="center"/>
              <w:rPr>
                <w:rFonts w:ascii="Arial Narrow" w:hAnsi="Arial Narrow" w:cs="Arial"/>
                <w:b/>
                <w:sz w:val="15"/>
                <w:szCs w:val="15"/>
              </w:rPr>
            </w:pPr>
            <w:r w:rsidRPr="00221A99">
              <w:rPr>
                <w:rFonts w:ascii="Arial Narrow" w:hAnsi="Arial Narrow" w:cs="Arial"/>
                <w:b/>
                <w:sz w:val="15"/>
                <w:szCs w:val="15"/>
              </w:rPr>
              <w:t>201</w:t>
            </w:r>
            <w:r>
              <w:rPr>
                <w:rFonts w:ascii="Arial Narrow" w:hAnsi="Arial Narrow" w:cs="Arial"/>
                <w:b/>
                <w:sz w:val="15"/>
                <w:szCs w:val="15"/>
              </w:rPr>
              <w:t>9</w:t>
            </w:r>
          </w:p>
        </w:tc>
      </w:tr>
      <w:tr w:rsidR="0064178C" w:rsidRPr="00221A99" w:rsidTr="00D77C59">
        <w:trPr>
          <w:cantSplit/>
          <w:jc w:val="center"/>
        </w:trPr>
        <w:tc>
          <w:tcPr>
            <w:tcW w:w="26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widowControl w:val="0"/>
              <w:spacing w:before="60" w:after="60"/>
              <w:jc w:val="center"/>
              <w:rPr>
                <w:rFonts w:ascii="Arial Narrow" w:hAnsi="Arial Narrow"/>
                <w:b/>
                <w:sz w:val="15"/>
                <w:szCs w:val="15"/>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spacing w:before="60"/>
              <w:jc w:val="center"/>
              <w:rPr>
                <w:rFonts w:ascii="Arial Narrow" w:hAnsi="Arial Narrow" w:cs="Arial"/>
                <w:b/>
                <w:bCs/>
                <w:sz w:val="15"/>
                <w:szCs w:val="15"/>
              </w:rPr>
            </w:pPr>
            <w:r w:rsidRPr="00221A99">
              <w:rPr>
                <w:rFonts w:ascii="Arial Narrow" w:hAnsi="Arial Narrow" w:cs="Arial"/>
                <w:b/>
                <w:sz w:val="15"/>
                <w:szCs w:val="15"/>
              </w:rPr>
              <w:t>Πραγματοποιήσεις</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4178C" w:rsidRPr="00221A99" w:rsidRDefault="0064178C" w:rsidP="00D77C59">
            <w:pPr>
              <w:spacing w:before="60"/>
              <w:ind w:left="113" w:right="113"/>
              <w:jc w:val="center"/>
              <w:rPr>
                <w:rFonts w:ascii="Arial Narrow" w:hAnsi="Arial Narrow" w:cs="Arial"/>
                <w:b/>
                <w:sz w:val="15"/>
                <w:szCs w:val="15"/>
              </w:rPr>
            </w:pPr>
            <w:r w:rsidRPr="00221A99">
              <w:rPr>
                <w:rFonts w:ascii="Arial Narrow" w:hAnsi="Arial Narrow" w:cs="Arial"/>
                <w:b/>
                <w:sz w:val="15"/>
                <w:szCs w:val="15"/>
              </w:rPr>
              <w:t>Συμμετοχή %</w:t>
            </w:r>
          </w:p>
        </w:tc>
        <w:tc>
          <w:tcPr>
            <w:tcW w:w="18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spacing w:before="60"/>
              <w:jc w:val="center"/>
              <w:rPr>
                <w:rFonts w:ascii="Arial Narrow" w:hAnsi="Arial Narrow" w:cs="Arial"/>
                <w:b/>
                <w:sz w:val="15"/>
                <w:szCs w:val="15"/>
              </w:rPr>
            </w:pPr>
            <w:r w:rsidRPr="00221A99">
              <w:rPr>
                <w:rFonts w:ascii="Arial Narrow" w:hAnsi="Arial Narrow" w:cs="Arial"/>
                <w:b/>
                <w:sz w:val="15"/>
                <w:szCs w:val="15"/>
              </w:rPr>
              <w:t>Εκτιμήσεις Πραγμ/σεων</w:t>
            </w:r>
          </w:p>
        </w:tc>
        <w:tc>
          <w:tcPr>
            <w:tcW w:w="571" w:type="dxa"/>
            <w:vMerge w:val="restart"/>
            <w:tcBorders>
              <w:top w:val="single" w:sz="4" w:space="0" w:color="auto"/>
              <w:left w:val="single" w:sz="4" w:space="0" w:color="auto"/>
              <w:right w:val="single" w:sz="4" w:space="0" w:color="auto"/>
            </w:tcBorders>
            <w:shd w:val="clear" w:color="auto" w:fill="FFFFFF"/>
            <w:textDirection w:val="btLr"/>
            <w:vAlign w:val="center"/>
          </w:tcPr>
          <w:p w:rsidR="0064178C" w:rsidRPr="00221A99" w:rsidRDefault="0064178C" w:rsidP="00D77C59">
            <w:pPr>
              <w:spacing w:before="60"/>
              <w:ind w:left="113" w:right="113"/>
              <w:jc w:val="center"/>
              <w:rPr>
                <w:rFonts w:ascii="Arial Narrow" w:hAnsi="Arial Narrow" w:cs="Arial"/>
                <w:b/>
                <w:sz w:val="15"/>
                <w:szCs w:val="15"/>
              </w:rPr>
            </w:pPr>
            <w:r w:rsidRPr="00221A99">
              <w:rPr>
                <w:rFonts w:ascii="Arial Narrow" w:hAnsi="Arial Narrow" w:cs="Arial"/>
                <w:b/>
                <w:sz w:val="15"/>
                <w:szCs w:val="15"/>
              </w:rPr>
              <w:t>Συμμετοχή %</w:t>
            </w:r>
          </w:p>
        </w:tc>
        <w:tc>
          <w:tcPr>
            <w:tcW w:w="1971" w:type="dxa"/>
            <w:gridSpan w:val="3"/>
            <w:tcBorders>
              <w:top w:val="single" w:sz="4" w:space="0" w:color="auto"/>
              <w:bottom w:val="single" w:sz="4" w:space="0" w:color="auto"/>
              <w:right w:val="single" w:sz="4" w:space="0" w:color="auto"/>
            </w:tcBorders>
            <w:vAlign w:val="center"/>
          </w:tcPr>
          <w:p w:rsidR="0064178C" w:rsidRPr="00221A99" w:rsidRDefault="0064178C" w:rsidP="00D77C59">
            <w:pPr>
              <w:spacing w:before="60"/>
              <w:jc w:val="center"/>
              <w:rPr>
                <w:rFonts w:ascii="Arial Narrow" w:hAnsi="Arial Narrow" w:cs="Arial"/>
                <w:b/>
                <w:sz w:val="15"/>
                <w:szCs w:val="15"/>
              </w:rPr>
            </w:pPr>
            <w:r w:rsidRPr="00221A99">
              <w:rPr>
                <w:rFonts w:ascii="Arial Narrow" w:hAnsi="Arial Narrow" w:cs="Arial"/>
                <w:b/>
                <w:sz w:val="15"/>
                <w:szCs w:val="15"/>
              </w:rPr>
              <w:t>Προϋπολογισμός</w:t>
            </w:r>
          </w:p>
        </w:tc>
        <w:tc>
          <w:tcPr>
            <w:tcW w:w="577" w:type="dxa"/>
            <w:vMerge w:val="restart"/>
            <w:tcBorders>
              <w:top w:val="single" w:sz="4" w:space="0" w:color="auto"/>
              <w:right w:val="single" w:sz="4" w:space="0" w:color="auto"/>
            </w:tcBorders>
            <w:textDirection w:val="btLr"/>
            <w:vAlign w:val="center"/>
          </w:tcPr>
          <w:p w:rsidR="0064178C" w:rsidRPr="00221A99" w:rsidRDefault="0064178C" w:rsidP="00D77C59">
            <w:pPr>
              <w:spacing w:before="60"/>
              <w:ind w:left="113" w:right="113"/>
              <w:jc w:val="center"/>
              <w:rPr>
                <w:rFonts w:ascii="Arial Narrow" w:hAnsi="Arial Narrow" w:cs="Arial"/>
                <w:b/>
                <w:sz w:val="15"/>
                <w:szCs w:val="15"/>
              </w:rPr>
            </w:pPr>
            <w:r w:rsidRPr="00221A99">
              <w:rPr>
                <w:rFonts w:ascii="Arial Narrow" w:hAnsi="Arial Narrow" w:cs="Arial"/>
                <w:b/>
                <w:sz w:val="15"/>
                <w:szCs w:val="15"/>
              </w:rPr>
              <w:t>Συμμετοχή %</w:t>
            </w:r>
          </w:p>
        </w:tc>
      </w:tr>
      <w:tr w:rsidR="0064178C" w:rsidRPr="00221A99" w:rsidTr="00D77C59">
        <w:trPr>
          <w:cantSplit/>
          <w:trHeight w:val="678"/>
          <w:jc w:val="center"/>
        </w:trPr>
        <w:tc>
          <w:tcPr>
            <w:tcW w:w="26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widowControl w:val="0"/>
              <w:spacing w:before="60" w:after="60"/>
              <w:jc w:val="center"/>
              <w:rPr>
                <w:rFonts w:ascii="Arial Narrow" w:hAnsi="Arial Narrow"/>
                <w:b/>
                <w:sz w:val="15"/>
                <w:szCs w:val="15"/>
              </w:rPr>
            </w:pP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Συγχρ/νες</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Λοιπές από</w:t>
            </w:r>
          </w:p>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εθνικούς</w:t>
            </w:r>
          </w:p>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πόρους</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jc w:val="center"/>
              <w:rPr>
                <w:rFonts w:ascii="Arial Narrow" w:hAnsi="Arial Narrow" w:cs="Arial"/>
                <w:b/>
                <w:bCs/>
                <w:sz w:val="15"/>
                <w:szCs w:val="15"/>
              </w:rPr>
            </w:pPr>
            <w:r w:rsidRPr="00221A99">
              <w:rPr>
                <w:rFonts w:ascii="Arial Narrow" w:hAnsi="Arial Narrow" w:cs="Arial"/>
                <w:b/>
                <w:bCs/>
                <w:sz w:val="15"/>
                <w:szCs w:val="15"/>
              </w:rPr>
              <w:t>Σύνολο</w:t>
            </w:r>
          </w:p>
        </w:tc>
        <w:tc>
          <w:tcPr>
            <w:tcW w:w="5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jc w:val="center"/>
              <w:rPr>
                <w:rFonts w:ascii="Arial Narrow" w:hAnsi="Arial Narrow" w:cs="Arial"/>
                <w:b/>
                <w:sz w:val="15"/>
                <w:szCs w:val="15"/>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Συγχρ/νες</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Λοιπές από</w:t>
            </w:r>
          </w:p>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εθνικούς πόρους</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4178C" w:rsidRPr="00221A99" w:rsidRDefault="0064178C" w:rsidP="00D77C59">
            <w:pPr>
              <w:jc w:val="center"/>
              <w:rPr>
                <w:rFonts w:ascii="Arial Narrow" w:hAnsi="Arial Narrow" w:cs="Arial"/>
                <w:b/>
                <w:bCs/>
                <w:sz w:val="15"/>
                <w:szCs w:val="15"/>
              </w:rPr>
            </w:pPr>
            <w:r w:rsidRPr="00221A99">
              <w:rPr>
                <w:rFonts w:ascii="Arial Narrow" w:hAnsi="Arial Narrow" w:cs="Arial"/>
                <w:b/>
                <w:bCs/>
                <w:sz w:val="15"/>
                <w:szCs w:val="15"/>
              </w:rPr>
              <w:t>Σύνολο</w:t>
            </w:r>
          </w:p>
        </w:tc>
        <w:tc>
          <w:tcPr>
            <w:tcW w:w="571" w:type="dxa"/>
            <w:vMerge/>
            <w:tcBorders>
              <w:left w:val="single" w:sz="4" w:space="0" w:color="auto"/>
              <w:bottom w:val="single" w:sz="4" w:space="0" w:color="auto"/>
              <w:right w:val="single" w:sz="4" w:space="0" w:color="auto"/>
            </w:tcBorders>
            <w:shd w:val="clear" w:color="auto" w:fill="FFFFFF"/>
            <w:textDirection w:val="btLr"/>
            <w:vAlign w:val="center"/>
          </w:tcPr>
          <w:p w:rsidR="0064178C" w:rsidRPr="00221A99" w:rsidRDefault="0064178C" w:rsidP="00D77C59">
            <w:pPr>
              <w:spacing w:before="60"/>
              <w:ind w:left="113" w:right="113"/>
              <w:jc w:val="center"/>
              <w:rPr>
                <w:rFonts w:ascii="Arial Narrow" w:hAnsi="Arial Narrow" w:cs="Arial"/>
                <w:b/>
                <w:sz w:val="15"/>
                <w:szCs w:val="15"/>
              </w:rPr>
            </w:pPr>
          </w:p>
        </w:tc>
        <w:tc>
          <w:tcPr>
            <w:tcW w:w="708" w:type="dxa"/>
            <w:tcBorders>
              <w:top w:val="single" w:sz="4" w:space="0" w:color="auto"/>
              <w:bottom w:val="single" w:sz="4" w:space="0" w:color="auto"/>
              <w:right w:val="single" w:sz="4" w:space="0" w:color="auto"/>
            </w:tcBorders>
            <w:vAlign w:val="center"/>
          </w:tcPr>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Συγχρ/νες</w:t>
            </w:r>
          </w:p>
        </w:tc>
        <w:tc>
          <w:tcPr>
            <w:tcW w:w="603" w:type="dxa"/>
            <w:tcBorders>
              <w:top w:val="single" w:sz="4" w:space="0" w:color="auto"/>
              <w:left w:val="single" w:sz="4" w:space="0" w:color="auto"/>
              <w:bottom w:val="single" w:sz="4" w:space="0" w:color="auto"/>
              <w:right w:val="single" w:sz="4" w:space="0" w:color="auto"/>
            </w:tcBorders>
            <w:vAlign w:val="center"/>
          </w:tcPr>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Λοιπές από</w:t>
            </w:r>
          </w:p>
          <w:p w:rsidR="0064178C" w:rsidRPr="00221A99" w:rsidRDefault="0064178C" w:rsidP="00D77C59">
            <w:pPr>
              <w:jc w:val="center"/>
              <w:rPr>
                <w:rFonts w:ascii="Arial Narrow" w:hAnsi="Arial Narrow" w:cs="Arial"/>
                <w:b/>
                <w:sz w:val="15"/>
                <w:szCs w:val="15"/>
              </w:rPr>
            </w:pPr>
            <w:r w:rsidRPr="00221A99">
              <w:rPr>
                <w:rFonts w:ascii="Arial Narrow" w:hAnsi="Arial Narrow" w:cs="Arial"/>
                <w:b/>
                <w:sz w:val="15"/>
                <w:szCs w:val="15"/>
              </w:rPr>
              <w:t>εθνικούς πόρους</w:t>
            </w:r>
          </w:p>
        </w:tc>
        <w:tc>
          <w:tcPr>
            <w:tcW w:w="660" w:type="dxa"/>
            <w:tcBorders>
              <w:top w:val="single" w:sz="4" w:space="0" w:color="auto"/>
              <w:left w:val="single" w:sz="4" w:space="0" w:color="auto"/>
              <w:bottom w:val="single" w:sz="4" w:space="0" w:color="auto"/>
              <w:right w:val="single" w:sz="4" w:space="0" w:color="auto"/>
            </w:tcBorders>
            <w:vAlign w:val="center"/>
          </w:tcPr>
          <w:p w:rsidR="0064178C" w:rsidRPr="00221A99" w:rsidRDefault="0064178C" w:rsidP="00D77C59">
            <w:pPr>
              <w:jc w:val="center"/>
              <w:rPr>
                <w:rFonts w:ascii="Arial Narrow" w:hAnsi="Arial Narrow" w:cs="Arial"/>
                <w:b/>
                <w:bCs/>
                <w:sz w:val="15"/>
                <w:szCs w:val="15"/>
              </w:rPr>
            </w:pPr>
            <w:r w:rsidRPr="00221A99">
              <w:rPr>
                <w:rFonts w:ascii="Arial Narrow" w:hAnsi="Arial Narrow" w:cs="Arial"/>
                <w:b/>
                <w:bCs/>
                <w:sz w:val="15"/>
                <w:szCs w:val="15"/>
              </w:rPr>
              <w:t>Σύνολο</w:t>
            </w:r>
          </w:p>
        </w:tc>
        <w:tc>
          <w:tcPr>
            <w:tcW w:w="577" w:type="dxa"/>
            <w:vMerge/>
            <w:tcBorders>
              <w:left w:val="single" w:sz="4" w:space="0" w:color="auto"/>
              <w:bottom w:val="single" w:sz="4" w:space="0" w:color="auto"/>
              <w:right w:val="single" w:sz="4" w:space="0" w:color="auto"/>
            </w:tcBorders>
            <w:textDirection w:val="btLr"/>
            <w:vAlign w:val="center"/>
          </w:tcPr>
          <w:p w:rsidR="0064178C" w:rsidRPr="00221A99" w:rsidRDefault="0064178C" w:rsidP="00D77C59">
            <w:pPr>
              <w:spacing w:before="60"/>
              <w:ind w:left="113" w:right="113"/>
              <w:jc w:val="center"/>
              <w:rPr>
                <w:rFonts w:ascii="Arial Narrow" w:hAnsi="Arial Narrow" w:cs="Arial"/>
                <w:b/>
                <w:sz w:val="15"/>
                <w:szCs w:val="15"/>
              </w:rPr>
            </w:pPr>
          </w:p>
        </w:tc>
      </w:tr>
      <w:tr w:rsidR="0064178C" w:rsidRPr="00221A99" w:rsidTr="00D77C59">
        <w:trPr>
          <w:cantSplit/>
          <w:jc w:val="center"/>
        </w:trPr>
        <w:tc>
          <w:tcPr>
            <w:tcW w:w="2619" w:type="dxa"/>
            <w:tcBorders>
              <w:top w:val="single" w:sz="4" w:space="0" w:color="auto"/>
              <w:left w:val="single" w:sz="4" w:space="0" w:color="auto"/>
            </w:tcBorders>
            <w:shd w:val="clear" w:color="auto" w:fill="D9D9D9" w:themeFill="background1" w:themeFillShade="D9"/>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Βουλή των Ελλήνων</w:t>
            </w:r>
          </w:p>
        </w:tc>
        <w:tc>
          <w:tcPr>
            <w:tcW w:w="681"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608"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 </w:t>
            </w:r>
          </w:p>
        </w:tc>
        <w:tc>
          <w:tcPr>
            <w:tcW w:w="631"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553"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0,00</w:t>
            </w:r>
          </w:p>
        </w:tc>
        <w:tc>
          <w:tcPr>
            <w:tcW w:w="705"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w:t>
            </w:r>
          </w:p>
        </w:tc>
        <w:tc>
          <w:tcPr>
            <w:tcW w:w="578"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 </w:t>
            </w:r>
          </w:p>
        </w:tc>
        <w:tc>
          <w:tcPr>
            <w:tcW w:w="601"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w:t>
            </w:r>
          </w:p>
        </w:tc>
        <w:tc>
          <w:tcPr>
            <w:tcW w:w="571"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0,01</w:t>
            </w:r>
          </w:p>
        </w:tc>
        <w:tc>
          <w:tcPr>
            <w:tcW w:w="708"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w:t>
            </w:r>
          </w:p>
        </w:tc>
        <w:tc>
          <w:tcPr>
            <w:tcW w:w="603"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 </w:t>
            </w:r>
          </w:p>
        </w:tc>
        <w:tc>
          <w:tcPr>
            <w:tcW w:w="660" w:type="dxa"/>
            <w:tcBorders>
              <w:top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w:t>
            </w:r>
          </w:p>
        </w:tc>
        <w:tc>
          <w:tcPr>
            <w:tcW w:w="577" w:type="dxa"/>
            <w:tcBorders>
              <w:top w:val="single" w:sz="4" w:space="0" w:color="auto"/>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0,01</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Pr>
                <w:rFonts w:ascii="Arial Narrow" w:hAnsi="Arial Narrow"/>
                <w:sz w:val="15"/>
                <w:szCs w:val="15"/>
              </w:rPr>
              <w:t>Διοικητικής Ανασυγκρότησης</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82</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85</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1,42</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45</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48</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0,71</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85</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88</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1,30</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Εσωτερικών</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103</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257</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360</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6,05</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104</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31</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135</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2,00</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115</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31</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146</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2,16</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Pr>
                <w:rFonts w:ascii="Arial Narrow" w:hAnsi="Arial Narrow"/>
                <w:sz w:val="15"/>
                <w:szCs w:val="15"/>
              </w:rPr>
              <w:t>Εξωτερικών</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0,03</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0,07</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0,04</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Pr="00221A99" w:rsidRDefault="0064178C" w:rsidP="00D77C59">
            <w:pPr>
              <w:widowControl w:val="0"/>
              <w:rPr>
                <w:rFonts w:ascii="Arial Narrow" w:hAnsi="Arial Narrow"/>
                <w:sz w:val="15"/>
                <w:szCs w:val="15"/>
              </w:rPr>
            </w:pPr>
            <w:r>
              <w:rPr>
                <w:rFonts w:ascii="Arial Narrow" w:hAnsi="Arial Narrow"/>
                <w:sz w:val="15"/>
                <w:szCs w:val="15"/>
              </w:rPr>
              <w:t>Εθνικής Άμυνας</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7</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0,12</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30</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40</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0,59</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30</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0,44</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Υγείας</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34</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34</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0,57</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45</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65</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0,96</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40</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60</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0,89</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Δικαιοσύνης, Διαφάνειας και Ανθρωπίνων Δικαιωμάτων</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0,08</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11</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0,16</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7</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0,10</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Παιδείας</w:t>
            </w:r>
            <w:r>
              <w:rPr>
                <w:rFonts w:ascii="Arial Narrow" w:hAnsi="Arial Narrow"/>
                <w:sz w:val="15"/>
                <w:szCs w:val="15"/>
              </w:rPr>
              <w:t>, Έρευνας</w:t>
            </w:r>
            <w:r w:rsidRPr="00221A99">
              <w:rPr>
                <w:rFonts w:ascii="Arial Narrow" w:hAnsi="Arial Narrow"/>
                <w:sz w:val="15"/>
                <w:szCs w:val="15"/>
              </w:rPr>
              <w:t xml:space="preserve"> και Θρησκευμάτων</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376</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86</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462</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7,76</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455</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165</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620</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9,19</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400</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165</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565</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8,37</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Πολιτισμού και Αθλητισμού</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19</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24</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0,40</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33</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53</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0,79</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24</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44</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0,65</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Pr>
                <w:rFonts w:ascii="Arial Narrow" w:hAnsi="Arial Narrow"/>
                <w:sz w:val="15"/>
                <w:szCs w:val="15"/>
              </w:rPr>
              <w:t>Οικονομικών</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 </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0,01</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0,12</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22</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0,33</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Αγροτικής Ανάπτυξης και Τροφίμων</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630</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634</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10,66</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730</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732</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10,84</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850</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852</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12,62</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Περιβάλλοντος</w:t>
            </w:r>
            <w:r>
              <w:rPr>
                <w:rFonts w:ascii="Arial Narrow" w:hAnsi="Arial Narrow"/>
                <w:sz w:val="15"/>
                <w:szCs w:val="15"/>
              </w:rPr>
              <w:t xml:space="preserve"> και Ενέργειας</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164</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34</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198</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3,33</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395</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415</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6,15</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380</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40</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420</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6,22</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Pr="00221A99" w:rsidRDefault="0064178C" w:rsidP="00D77C59">
            <w:pPr>
              <w:widowControl w:val="0"/>
              <w:rPr>
                <w:rFonts w:ascii="Arial Narrow" w:hAnsi="Arial Narrow"/>
                <w:sz w:val="15"/>
                <w:szCs w:val="15"/>
              </w:rPr>
            </w:pPr>
            <w:r w:rsidRPr="00221A99">
              <w:rPr>
                <w:rFonts w:ascii="Arial Narrow" w:hAnsi="Arial Narrow"/>
                <w:sz w:val="15"/>
                <w:szCs w:val="15"/>
              </w:rPr>
              <w:t xml:space="preserve">Εργασίας, Κοιν. Ασφάλισης και </w:t>
            </w:r>
            <w:r>
              <w:rPr>
                <w:rFonts w:ascii="Arial Narrow" w:hAnsi="Arial Narrow"/>
                <w:sz w:val="15"/>
                <w:szCs w:val="15"/>
              </w:rPr>
              <w:t>Κοιν.Αλληλ.</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217</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11</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228</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3,83</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350</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35</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385</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5,70</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320</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340</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5,04</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Pr>
                <w:rFonts w:ascii="Arial Narrow" w:hAnsi="Arial Narrow"/>
                <w:sz w:val="15"/>
                <w:szCs w:val="15"/>
              </w:rPr>
              <w:t>Οικονομίας</w:t>
            </w:r>
            <w:r>
              <w:rPr>
                <w:rFonts w:ascii="Arial Narrow" w:hAnsi="Arial Narrow"/>
                <w:sz w:val="15"/>
                <w:szCs w:val="15"/>
                <w:lang w:val="en-US"/>
              </w:rPr>
              <w:t xml:space="preserve"> </w:t>
            </w:r>
            <w:r>
              <w:rPr>
                <w:rFonts w:ascii="Arial Narrow" w:hAnsi="Arial Narrow"/>
                <w:sz w:val="15"/>
                <w:szCs w:val="15"/>
              </w:rPr>
              <w:t xml:space="preserve">και Ανάπτυξης </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904</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657</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1.560</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26,22</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1.694</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399</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2.093</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31,01</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1.768</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405</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2.173</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32,19</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tabs>
                <w:tab w:val="left" w:pos="216"/>
              </w:tabs>
              <w:rPr>
                <w:rFonts w:ascii="Arial Narrow" w:hAnsi="Arial Narrow"/>
                <w:sz w:val="15"/>
                <w:szCs w:val="15"/>
              </w:rPr>
            </w:pPr>
            <w:r>
              <w:rPr>
                <w:rFonts w:ascii="Arial Narrow" w:hAnsi="Arial Narrow"/>
                <w:sz w:val="15"/>
                <w:szCs w:val="15"/>
              </w:rPr>
              <w:t xml:space="preserve">  εκ των οποίων </w:t>
            </w:r>
            <w:r w:rsidRPr="00221A99">
              <w:rPr>
                <w:rFonts w:ascii="Arial Narrow" w:hAnsi="Arial Narrow"/>
                <w:sz w:val="15"/>
                <w:szCs w:val="15"/>
              </w:rPr>
              <w:t>Περιφερειακά προγράμματα</w:t>
            </w:r>
          </w:p>
        </w:tc>
        <w:tc>
          <w:tcPr>
            <w:tcW w:w="681" w:type="dxa"/>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445</w:t>
            </w:r>
          </w:p>
        </w:tc>
        <w:tc>
          <w:tcPr>
            <w:tcW w:w="608" w:type="dxa"/>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434</w:t>
            </w:r>
          </w:p>
        </w:tc>
        <w:tc>
          <w:tcPr>
            <w:tcW w:w="631" w:type="dxa"/>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879</w:t>
            </w:r>
          </w:p>
        </w:tc>
        <w:tc>
          <w:tcPr>
            <w:tcW w:w="553" w:type="dxa"/>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14,76</w:t>
            </w:r>
          </w:p>
        </w:tc>
        <w:tc>
          <w:tcPr>
            <w:tcW w:w="705" w:type="dxa"/>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1.020</w:t>
            </w:r>
          </w:p>
        </w:tc>
        <w:tc>
          <w:tcPr>
            <w:tcW w:w="578" w:type="dxa"/>
            <w:shd w:val="clear" w:color="auto" w:fill="auto"/>
            <w:vAlign w:val="center"/>
          </w:tcPr>
          <w:p w:rsidR="0064178C" w:rsidRDefault="00A56F4F" w:rsidP="00D77C59">
            <w:pPr>
              <w:ind w:right="113"/>
              <w:jc w:val="right"/>
              <w:rPr>
                <w:rFonts w:ascii="Arial Narrow" w:hAnsi="Arial Narrow"/>
                <w:i/>
                <w:iCs/>
                <w:color w:val="000000"/>
                <w:sz w:val="15"/>
                <w:szCs w:val="15"/>
              </w:rPr>
            </w:pPr>
            <w:r>
              <w:rPr>
                <w:rFonts w:ascii="Arial Narrow" w:hAnsi="Arial Narrow"/>
                <w:i/>
                <w:iCs/>
                <w:color w:val="000000"/>
                <w:sz w:val="15"/>
                <w:szCs w:val="15"/>
              </w:rPr>
              <w:t>360</w:t>
            </w:r>
          </w:p>
        </w:tc>
        <w:tc>
          <w:tcPr>
            <w:tcW w:w="601" w:type="dxa"/>
            <w:shd w:val="clear" w:color="auto" w:fill="auto"/>
            <w:vAlign w:val="center"/>
          </w:tcPr>
          <w:p w:rsidR="0064178C" w:rsidRDefault="0064178C" w:rsidP="00A56F4F">
            <w:pPr>
              <w:ind w:right="113"/>
              <w:jc w:val="right"/>
              <w:rPr>
                <w:rFonts w:ascii="Arial Narrow" w:hAnsi="Arial Narrow"/>
                <w:i/>
                <w:iCs/>
                <w:color w:val="000000"/>
                <w:sz w:val="15"/>
                <w:szCs w:val="15"/>
              </w:rPr>
            </w:pPr>
            <w:r>
              <w:rPr>
                <w:rFonts w:ascii="Arial Narrow" w:hAnsi="Arial Narrow"/>
                <w:i/>
                <w:iCs/>
                <w:color w:val="000000"/>
                <w:sz w:val="15"/>
                <w:szCs w:val="15"/>
              </w:rPr>
              <w:t>1.</w:t>
            </w:r>
            <w:r w:rsidR="00A56F4F">
              <w:rPr>
                <w:rFonts w:ascii="Arial Narrow" w:hAnsi="Arial Narrow"/>
                <w:i/>
                <w:iCs/>
                <w:color w:val="000000"/>
                <w:sz w:val="15"/>
                <w:szCs w:val="15"/>
              </w:rPr>
              <w:t>380</w:t>
            </w:r>
          </w:p>
        </w:tc>
        <w:tc>
          <w:tcPr>
            <w:tcW w:w="571" w:type="dxa"/>
            <w:shd w:val="clear" w:color="auto" w:fill="auto"/>
            <w:vAlign w:val="center"/>
          </w:tcPr>
          <w:p w:rsidR="0064178C" w:rsidRDefault="00A56F4F" w:rsidP="00D77C59">
            <w:pPr>
              <w:ind w:right="113"/>
              <w:jc w:val="right"/>
              <w:rPr>
                <w:rFonts w:ascii="Arial Narrow" w:hAnsi="Arial Narrow"/>
                <w:i/>
                <w:iCs/>
                <w:color w:val="000000"/>
                <w:sz w:val="15"/>
                <w:szCs w:val="15"/>
              </w:rPr>
            </w:pPr>
            <w:r>
              <w:rPr>
                <w:rFonts w:ascii="Arial Narrow" w:hAnsi="Arial Narrow"/>
                <w:i/>
                <w:iCs/>
                <w:color w:val="000000"/>
                <w:sz w:val="15"/>
                <w:szCs w:val="15"/>
              </w:rPr>
              <w:t>20,44</w:t>
            </w:r>
          </w:p>
        </w:tc>
        <w:tc>
          <w:tcPr>
            <w:tcW w:w="708" w:type="dxa"/>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1.150</w:t>
            </w:r>
          </w:p>
        </w:tc>
        <w:tc>
          <w:tcPr>
            <w:tcW w:w="603" w:type="dxa"/>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200</w:t>
            </w:r>
          </w:p>
        </w:tc>
        <w:tc>
          <w:tcPr>
            <w:tcW w:w="660" w:type="dxa"/>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1.350</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i/>
                <w:iCs/>
                <w:color w:val="000000"/>
                <w:sz w:val="15"/>
                <w:szCs w:val="15"/>
              </w:rPr>
            </w:pPr>
            <w:r>
              <w:rPr>
                <w:rFonts w:ascii="Arial Narrow" w:hAnsi="Arial Narrow"/>
                <w:i/>
                <w:iCs/>
                <w:color w:val="000000"/>
                <w:sz w:val="15"/>
                <w:szCs w:val="15"/>
              </w:rPr>
              <w:t>20,00</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Pr="00221A99" w:rsidRDefault="0064178C" w:rsidP="00D77C59">
            <w:pPr>
              <w:widowControl w:val="0"/>
              <w:tabs>
                <w:tab w:val="left" w:pos="216"/>
              </w:tabs>
              <w:rPr>
                <w:rFonts w:ascii="Arial Narrow" w:hAnsi="Arial Narrow"/>
                <w:sz w:val="15"/>
                <w:szCs w:val="15"/>
              </w:rPr>
            </w:pPr>
            <w:r>
              <w:rPr>
                <w:rFonts w:ascii="Arial Narrow" w:hAnsi="Arial Narrow"/>
                <w:sz w:val="15"/>
                <w:szCs w:val="15"/>
              </w:rPr>
              <w:t>Υποδομών και</w:t>
            </w:r>
            <w:r w:rsidRPr="00221A99">
              <w:rPr>
                <w:rFonts w:ascii="Arial Narrow" w:hAnsi="Arial Narrow"/>
                <w:sz w:val="15"/>
                <w:szCs w:val="15"/>
              </w:rPr>
              <w:t xml:space="preserve"> Μεταφορών</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2.045</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211</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2.256</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37,92</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1.750</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214</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1.964</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29,10</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1.600</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204</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1.804</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26,73</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Pr>
                <w:rFonts w:ascii="Arial Narrow" w:hAnsi="Arial Narrow"/>
                <w:sz w:val="15"/>
                <w:szCs w:val="15"/>
              </w:rPr>
              <w:t>Ναυτιλίας και Νησιωτικής Πολιτικής</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12</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0,33</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22</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42</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0,62</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26</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46</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0,68</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Default="0064178C" w:rsidP="00D77C59">
            <w:pPr>
              <w:widowControl w:val="0"/>
              <w:rPr>
                <w:rFonts w:ascii="Arial Narrow" w:hAnsi="Arial Narrow"/>
                <w:sz w:val="15"/>
                <w:szCs w:val="15"/>
              </w:rPr>
            </w:pPr>
            <w:r>
              <w:rPr>
                <w:rFonts w:ascii="Arial Narrow" w:hAnsi="Arial Narrow"/>
                <w:sz w:val="15"/>
                <w:szCs w:val="15"/>
              </w:rPr>
              <w:t>Προστασίας του Πολίτη</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32</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4</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36</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0,61</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63</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69</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1,02</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55</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61</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0,90</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Pr>
                <w:rFonts w:ascii="Arial Narrow" w:hAnsi="Arial Narrow"/>
                <w:sz w:val="15"/>
                <w:szCs w:val="15"/>
              </w:rPr>
              <w:t>Τουρισμού</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22</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0,37</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22</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27</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0,40</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15</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8</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23</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0,34</w:t>
            </w:r>
          </w:p>
        </w:tc>
      </w:tr>
      <w:tr w:rsidR="0064178C" w:rsidRPr="00221A99" w:rsidTr="00D77C59">
        <w:trPr>
          <w:cantSplit/>
          <w:jc w:val="center"/>
        </w:trPr>
        <w:tc>
          <w:tcPr>
            <w:tcW w:w="2619" w:type="dxa"/>
            <w:tcBorders>
              <w:left w:val="single" w:sz="4" w:space="0" w:color="auto"/>
            </w:tcBorders>
            <w:shd w:val="clear" w:color="auto" w:fill="D9D9D9" w:themeFill="background1" w:themeFillShade="D9"/>
          </w:tcPr>
          <w:p w:rsidR="0064178C" w:rsidRPr="00221A99" w:rsidRDefault="0064178C" w:rsidP="00D77C59">
            <w:pPr>
              <w:widowControl w:val="0"/>
              <w:rPr>
                <w:rFonts w:ascii="Arial Narrow" w:hAnsi="Arial Narrow"/>
                <w:sz w:val="15"/>
                <w:szCs w:val="15"/>
              </w:rPr>
            </w:pPr>
            <w:r>
              <w:rPr>
                <w:rFonts w:ascii="Arial Narrow" w:hAnsi="Arial Narrow"/>
                <w:sz w:val="15"/>
                <w:szCs w:val="15"/>
              </w:rPr>
              <w:t>Μεταναστευτικής Πολιτικής</w:t>
            </w:r>
          </w:p>
        </w:tc>
        <w:tc>
          <w:tcPr>
            <w:tcW w:w="68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17</w:t>
            </w:r>
          </w:p>
        </w:tc>
        <w:tc>
          <w:tcPr>
            <w:tcW w:w="6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63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17</w:t>
            </w:r>
          </w:p>
        </w:tc>
        <w:tc>
          <w:tcPr>
            <w:tcW w:w="55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0,28</w:t>
            </w:r>
          </w:p>
        </w:tc>
        <w:tc>
          <w:tcPr>
            <w:tcW w:w="705"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22</w:t>
            </w:r>
          </w:p>
        </w:tc>
        <w:tc>
          <w:tcPr>
            <w:tcW w:w="57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w:t>
            </w:r>
          </w:p>
        </w:tc>
        <w:tc>
          <w:tcPr>
            <w:tcW w:w="60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27</w:t>
            </w:r>
          </w:p>
        </w:tc>
        <w:tc>
          <w:tcPr>
            <w:tcW w:w="571"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0,40</w:t>
            </w:r>
          </w:p>
        </w:tc>
        <w:tc>
          <w:tcPr>
            <w:tcW w:w="708"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30</w:t>
            </w:r>
          </w:p>
        </w:tc>
        <w:tc>
          <w:tcPr>
            <w:tcW w:w="603"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5</w:t>
            </w:r>
          </w:p>
        </w:tc>
        <w:tc>
          <w:tcPr>
            <w:tcW w:w="660" w:type="dxa"/>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35</w:t>
            </w:r>
          </w:p>
        </w:tc>
        <w:tc>
          <w:tcPr>
            <w:tcW w:w="577" w:type="dxa"/>
            <w:tcBorders>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0,52</w:t>
            </w:r>
          </w:p>
        </w:tc>
      </w:tr>
      <w:tr w:rsidR="0064178C" w:rsidRPr="00221A99" w:rsidTr="00D77C59">
        <w:trPr>
          <w:cantSplit/>
          <w:jc w:val="center"/>
        </w:trPr>
        <w:tc>
          <w:tcPr>
            <w:tcW w:w="2619" w:type="dxa"/>
            <w:tcBorders>
              <w:left w:val="single" w:sz="4" w:space="0" w:color="auto"/>
            </w:tcBorders>
            <w:shd w:val="clear" w:color="auto" w:fill="auto"/>
          </w:tcPr>
          <w:p w:rsidR="0064178C" w:rsidRPr="00221A99" w:rsidRDefault="0064178C" w:rsidP="00D77C59">
            <w:pPr>
              <w:widowControl w:val="0"/>
              <w:rPr>
                <w:rFonts w:ascii="Arial Narrow" w:hAnsi="Arial Narrow"/>
                <w:sz w:val="15"/>
                <w:szCs w:val="15"/>
              </w:rPr>
            </w:pPr>
            <w:r>
              <w:rPr>
                <w:rFonts w:ascii="Arial Narrow" w:hAnsi="Arial Narrow"/>
                <w:sz w:val="15"/>
                <w:szCs w:val="15"/>
              </w:rPr>
              <w:t>Ψηφιακής Πολιτικής, Τηλεπικοινωνιών και Ενημέρωσης</w:t>
            </w:r>
          </w:p>
        </w:tc>
        <w:tc>
          <w:tcPr>
            <w:tcW w:w="68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6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63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w:t>
            </w:r>
          </w:p>
        </w:tc>
        <w:tc>
          <w:tcPr>
            <w:tcW w:w="55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0,00</w:t>
            </w:r>
          </w:p>
        </w:tc>
        <w:tc>
          <w:tcPr>
            <w:tcW w:w="705"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w:t>
            </w:r>
          </w:p>
        </w:tc>
        <w:tc>
          <w:tcPr>
            <w:tcW w:w="57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7</w:t>
            </w:r>
          </w:p>
        </w:tc>
        <w:tc>
          <w:tcPr>
            <w:tcW w:w="60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w:t>
            </w:r>
          </w:p>
        </w:tc>
        <w:tc>
          <w:tcPr>
            <w:tcW w:w="571"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0,15</w:t>
            </w:r>
          </w:p>
        </w:tc>
        <w:tc>
          <w:tcPr>
            <w:tcW w:w="708"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10</w:t>
            </w:r>
          </w:p>
        </w:tc>
        <w:tc>
          <w:tcPr>
            <w:tcW w:w="603"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20</w:t>
            </w:r>
          </w:p>
        </w:tc>
        <w:tc>
          <w:tcPr>
            <w:tcW w:w="660" w:type="dxa"/>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30</w:t>
            </w:r>
          </w:p>
        </w:tc>
        <w:tc>
          <w:tcPr>
            <w:tcW w:w="577" w:type="dxa"/>
            <w:tcBorders>
              <w:right w:val="single" w:sz="4" w:space="0" w:color="auto"/>
            </w:tcBorders>
            <w:shd w:val="clear" w:color="auto" w:fill="auto"/>
            <w:vAlign w:val="center"/>
          </w:tcPr>
          <w:p w:rsidR="0064178C" w:rsidRDefault="0064178C" w:rsidP="00D77C59">
            <w:pPr>
              <w:ind w:right="113"/>
              <w:jc w:val="right"/>
              <w:rPr>
                <w:rFonts w:ascii="Arial Narrow" w:hAnsi="Arial Narrow"/>
                <w:color w:val="000000"/>
                <w:sz w:val="15"/>
                <w:szCs w:val="15"/>
              </w:rPr>
            </w:pPr>
            <w:r>
              <w:rPr>
                <w:rFonts w:ascii="Arial Narrow" w:hAnsi="Arial Narrow"/>
                <w:color w:val="000000"/>
                <w:sz w:val="15"/>
                <w:szCs w:val="15"/>
              </w:rPr>
              <w:t>0,44</w:t>
            </w:r>
          </w:p>
        </w:tc>
      </w:tr>
      <w:tr w:rsidR="0064178C" w:rsidRPr="00221A99" w:rsidTr="00D77C59">
        <w:trPr>
          <w:cantSplit/>
          <w:jc w:val="center"/>
        </w:trPr>
        <w:tc>
          <w:tcPr>
            <w:tcW w:w="2619" w:type="dxa"/>
            <w:tcBorders>
              <w:left w:val="single" w:sz="4" w:space="0" w:color="auto"/>
              <w:bottom w:val="single" w:sz="4" w:space="0" w:color="auto"/>
            </w:tcBorders>
            <w:shd w:val="clear" w:color="auto" w:fill="D9D9D9" w:themeFill="background1" w:themeFillShade="D9"/>
          </w:tcPr>
          <w:p w:rsidR="0064178C" w:rsidRPr="00221A99" w:rsidRDefault="0064178C" w:rsidP="00D77C59">
            <w:pPr>
              <w:widowControl w:val="0"/>
              <w:spacing w:before="120" w:after="120"/>
              <w:rPr>
                <w:rFonts w:ascii="Arial Narrow" w:hAnsi="Arial Narrow"/>
                <w:b/>
                <w:sz w:val="15"/>
                <w:szCs w:val="15"/>
              </w:rPr>
            </w:pPr>
            <w:r w:rsidRPr="00221A99">
              <w:rPr>
                <w:rFonts w:ascii="Arial Narrow" w:hAnsi="Arial Narrow"/>
                <w:b/>
                <w:sz w:val="15"/>
                <w:szCs w:val="15"/>
              </w:rPr>
              <w:t>Σύνολο</w:t>
            </w:r>
          </w:p>
        </w:tc>
        <w:tc>
          <w:tcPr>
            <w:tcW w:w="681"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4.623</w:t>
            </w:r>
          </w:p>
        </w:tc>
        <w:tc>
          <w:tcPr>
            <w:tcW w:w="608"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1.327</w:t>
            </w:r>
          </w:p>
        </w:tc>
        <w:tc>
          <w:tcPr>
            <w:tcW w:w="631"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5.950</w:t>
            </w:r>
          </w:p>
        </w:tc>
        <w:tc>
          <w:tcPr>
            <w:tcW w:w="553"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100</w:t>
            </w:r>
          </w:p>
        </w:tc>
        <w:tc>
          <w:tcPr>
            <w:tcW w:w="705"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5.750</w:t>
            </w:r>
          </w:p>
        </w:tc>
        <w:tc>
          <w:tcPr>
            <w:tcW w:w="578"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1.000</w:t>
            </w:r>
          </w:p>
        </w:tc>
        <w:tc>
          <w:tcPr>
            <w:tcW w:w="601"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6.750</w:t>
            </w:r>
          </w:p>
        </w:tc>
        <w:tc>
          <w:tcPr>
            <w:tcW w:w="571"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100</w:t>
            </w:r>
          </w:p>
        </w:tc>
        <w:tc>
          <w:tcPr>
            <w:tcW w:w="708"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5.750</w:t>
            </w:r>
          </w:p>
        </w:tc>
        <w:tc>
          <w:tcPr>
            <w:tcW w:w="603"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1.000</w:t>
            </w:r>
          </w:p>
        </w:tc>
        <w:tc>
          <w:tcPr>
            <w:tcW w:w="660" w:type="dxa"/>
            <w:tcBorders>
              <w:bottom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6.750</w:t>
            </w:r>
          </w:p>
        </w:tc>
        <w:tc>
          <w:tcPr>
            <w:tcW w:w="577" w:type="dxa"/>
            <w:tcBorders>
              <w:bottom w:val="single" w:sz="4" w:space="0" w:color="auto"/>
              <w:right w:val="single" w:sz="4" w:space="0" w:color="auto"/>
            </w:tcBorders>
            <w:shd w:val="clear" w:color="auto" w:fill="D9D9D9" w:themeFill="background1" w:themeFillShade="D9"/>
            <w:vAlign w:val="center"/>
          </w:tcPr>
          <w:p w:rsidR="0064178C" w:rsidRDefault="0064178C" w:rsidP="00D77C59">
            <w:pPr>
              <w:ind w:right="113"/>
              <w:jc w:val="right"/>
              <w:rPr>
                <w:rFonts w:ascii="Arial Narrow" w:hAnsi="Arial Narrow"/>
                <w:b/>
                <w:bCs/>
                <w:color w:val="000000"/>
                <w:sz w:val="15"/>
                <w:szCs w:val="15"/>
              </w:rPr>
            </w:pPr>
            <w:r>
              <w:rPr>
                <w:rFonts w:ascii="Arial Narrow" w:hAnsi="Arial Narrow"/>
                <w:b/>
                <w:bCs/>
                <w:color w:val="000000"/>
                <w:sz w:val="15"/>
                <w:szCs w:val="15"/>
              </w:rPr>
              <w:t>100</w:t>
            </w:r>
          </w:p>
        </w:tc>
      </w:tr>
    </w:tbl>
    <w:p w:rsidR="0064178C" w:rsidRPr="005E50B2" w:rsidRDefault="0064178C" w:rsidP="0064178C">
      <w:pPr>
        <w:ind w:left="-426" w:right="-427"/>
        <w:jc w:val="both"/>
        <w:rPr>
          <w:rFonts w:ascii="Arial Narrow" w:hAnsi="Arial Narrow"/>
          <w:sz w:val="16"/>
          <w:szCs w:val="16"/>
        </w:rPr>
      </w:pPr>
      <w:r>
        <w:rPr>
          <w:rFonts w:ascii="Arial Narrow" w:hAnsi="Arial Narrow"/>
          <w:sz w:val="16"/>
          <w:szCs w:val="16"/>
        </w:rPr>
        <w:t>* Οι δαπάνες για το 2017</w:t>
      </w:r>
      <w:r w:rsidRPr="005E50B2">
        <w:rPr>
          <w:rFonts w:ascii="Arial Narrow" w:hAnsi="Arial Narrow"/>
          <w:sz w:val="16"/>
          <w:szCs w:val="16"/>
        </w:rPr>
        <w:t xml:space="preserve"> έχουν περιληφθεί με βάση τα στοιχεία το</w:t>
      </w:r>
      <w:r>
        <w:rPr>
          <w:rFonts w:ascii="Arial Narrow" w:hAnsi="Arial Narrow"/>
          <w:sz w:val="16"/>
          <w:szCs w:val="16"/>
        </w:rPr>
        <w:t>υ</w:t>
      </w:r>
      <w:r w:rsidRPr="005E50B2">
        <w:rPr>
          <w:rFonts w:ascii="Arial Narrow" w:hAnsi="Arial Narrow"/>
          <w:sz w:val="16"/>
          <w:szCs w:val="16"/>
        </w:rPr>
        <w:t xml:space="preserve"> Υπουργείο</w:t>
      </w:r>
      <w:r>
        <w:rPr>
          <w:rFonts w:ascii="Arial Narrow" w:hAnsi="Arial Narrow"/>
          <w:sz w:val="16"/>
          <w:szCs w:val="16"/>
        </w:rPr>
        <w:t>υ</w:t>
      </w:r>
      <w:r w:rsidRPr="005E50B2">
        <w:rPr>
          <w:rFonts w:ascii="Arial Narrow" w:hAnsi="Arial Narrow"/>
          <w:sz w:val="16"/>
          <w:szCs w:val="16"/>
        </w:rPr>
        <w:t xml:space="preserve"> Οικονομίας και Ανάπτυξης</w:t>
      </w:r>
    </w:p>
    <w:p w:rsidR="0064178C" w:rsidRDefault="0064178C" w:rsidP="00FB3CD2">
      <w:pPr>
        <w:tabs>
          <w:tab w:val="left" w:pos="180"/>
        </w:tabs>
        <w:spacing w:line="235" w:lineRule="auto"/>
        <w:jc w:val="both"/>
        <w:rPr>
          <w:sz w:val="22"/>
          <w:szCs w:val="22"/>
        </w:rPr>
      </w:pPr>
    </w:p>
    <w:p w:rsidR="00C752D5" w:rsidRPr="00171E53" w:rsidRDefault="00C752D5" w:rsidP="00C752D5">
      <w:pPr>
        <w:jc w:val="both"/>
        <w:rPr>
          <w:b/>
          <w:sz w:val="22"/>
          <w:szCs w:val="22"/>
        </w:rPr>
      </w:pPr>
      <w:bookmarkStart w:id="6" w:name="_Toc497856342"/>
      <w:bookmarkStart w:id="7" w:name="_Toc497856997"/>
      <w:bookmarkStart w:id="8" w:name="_Toc530051848"/>
      <w:r w:rsidRPr="0064178C">
        <w:rPr>
          <w:b/>
          <w:sz w:val="22"/>
          <w:szCs w:val="22"/>
        </w:rPr>
        <w:t>ΠΔΕ χρηματοδοτούμενο αμιγώς από εθνικούς πόρους</w:t>
      </w:r>
      <w:bookmarkEnd w:id="6"/>
      <w:bookmarkEnd w:id="7"/>
      <w:bookmarkEnd w:id="8"/>
    </w:p>
    <w:p w:rsidR="00C752D5" w:rsidRDefault="00C752D5" w:rsidP="00C752D5">
      <w:pPr>
        <w:jc w:val="both"/>
        <w:rPr>
          <w:sz w:val="22"/>
          <w:szCs w:val="22"/>
        </w:rPr>
      </w:pPr>
    </w:p>
    <w:p w:rsidR="00C752D5" w:rsidRPr="00171E53" w:rsidRDefault="00C752D5" w:rsidP="00C752D5">
      <w:pPr>
        <w:jc w:val="both"/>
        <w:rPr>
          <w:sz w:val="22"/>
          <w:szCs w:val="22"/>
        </w:rPr>
      </w:pPr>
      <w:r w:rsidRPr="00171E53">
        <w:rPr>
          <w:sz w:val="22"/>
          <w:szCs w:val="22"/>
        </w:rPr>
        <w:t>Οι κατηγορίες έργων που θα χρηματοδοτηθούν από το εθνικό σκέλος του ΠΔΕ περιλαμβάνουν κ</w:t>
      </w:r>
      <w:r>
        <w:rPr>
          <w:sz w:val="22"/>
          <w:szCs w:val="22"/>
        </w:rPr>
        <w:t>υρίως</w:t>
      </w:r>
      <w:r w:rsidRPr="00171E53">
        <w:rPr>
          <w:sz w:val="22"/>
          <w:szCs w:val="22"/>
        </w:rPr>
        <w:t xml:space="preserve"> επενδυτικές δραστηριότητες των ΟΤΑ β΄ βαθμού σε όλη τη χώρα, συντηρήσεις υποδομών, ενισχύσεις των ιδιωτικών επενδύσεων στο πλαίσιο υλοποίησης των αναπτυξιακών νόμων, δαπάνες για την απ</w:t>
      </w:r>
      <w:r w:rsidRPr="00171E53">
        <w:rPr>
          <w:sz w:val="22"/>
          <w:szCs w:val="22"/>
        </w:rPr>
        <w:t>ο</w:t>
      </w:r>
      <w:r w:rsidRPr="00171E53">
        <w:rPr>
          <w:sz w:val="22"/>
          <w:szCs w:val="22"/>
        </w:rPr>
        <w:t xml:space="preserve">κατάσταση ζημιών σε έργα υποδομής από σεισμούς, πυρκαγιές και άλλες φυσικές καταστροφές. </w:t>
      </w:r>
    </w:p>
    <w:p w:rsidR="00C752D5" w:rsidRDefault="00C752D5" w:rsidP="00C752D5">
      <w:pPr>
        <w:jc w:val="both"/>
        <w:rPr>
          <w:sz w:val="22"/>
          <w:szCs w:val="22"/>
        </w:rPr>
      </w:pPr>
    </w:p>
    <w:p w:rsidR="00C752D5" w:rsidRPr="00171E53" w:rsidRDefault="00C752D5" w:rsidP="00C752D5">
      <w:pPr>
        <w:jc w:val="both"/>
        <w:rPr>
          <w:sz w:val="22"/>
          <w:szCs w:val="22"/>
        </w:rPr>
      </w:pPr>
      <w:r w:rsidRPr="00171E53">
        <w:rPr>
          <w:sz w:val="22"/>
          <w:szCs w:val="22"/>
        </w:rPr>
        <w:t>Πέραν αυτών, το εθνικό σκέ</w:t>
      </w:r>
      <w:r w:rsidR="00E42D05">
        <w:rPr>
          <w:sz w:val="22"/>
          <w:szCs w:val="22"/>
        </w:rPr>
        <w:t>λος του ΠΔΕ αναμένεται να συμβά</w:t>
      </w:r>
      <w:r w:rsidRPr="00171E53">
        <w:rPr>
          <w:sz w:val="22"/>
          <w:szCs w:val="22"/>
        </w:rPr>
        <w:t>λει στο πλαίσιο της ασκούμενης κο</w:t>
      </w:r>
      <w:r w:rsidRPr="00171E53">
        <w:rPr>
          <w:sz w:val="22"/>
          <w:szCs w:val="22"/>
        </w:rPr>
        <w:t>ι</w:t>
      </w:r>
      <w:r w:rsidRPr="00171E53">
        <w:rPr>
          <w:sz w:val="22"/>
          <w:szCs w:val="22"/>
        </w:rPr>
        <w:t>νωνικής πολιτικής και στην υποβοήθηση κοινωνικών ομάδων με ιδιαίτερα προβλήματα</w:t>
      </w:r>
      <w:r>
        <w:rPr>
          <w:sz w:val="22"/>
          <w:szCs w:val="22"/>
        </w:rPr>
        <w:t>,</w:t>
      </w:r>
      <w:r w:rsidRPr="00171E53">
        <w:rPr>
          <w:sz w:val="22"/>
          <w:szCs w:val="22"/>
        </w:rPr>
        <w:t xml:space="preserve"> διαθέτοντας πόρους για τη κοινωνική πρόνοια, τη λαϊκή κατοικία, την καταπολέμηση της ανεργίας, τη δωρεάν κρατική αρωγή σε πληγέντες από φυσικές καταστροφές κλπ.</w:t>
      </w:r>
    </w:p>
    <w:p w:rsidR="00C752D5" w:rsidRDefault="00C752D5" w:rsidP="00C752D5">
      <w:pPr>
        <w:jc w:val="both"/>
        <w:rPr>
          <w:sz w:val="22"/>
          <w:szCs w:val="22"/>
        </w:rPr>
      </w:pPr>
    </w:p>
    <w:p w:rsidR="00C752D5" w:rsidRPr="00171E53" w:rsidRDefault="00C752D5" w:rsidP="00C752D5">
      <w:pPr>
        <w:jc w:val="both"/>
        <w:rPr>
          <w:sz w:val="22"/>
          <w:szCs w:val="22"/>
        </w:rPr>
      </w:pPr>
      <w:r w:rsidRPr="00171E53">
        <w:rPr>
          <w:sz w:val="22"/>
          <w:szCs w:val="22"/>
        </w:rPr>
        <w:t>Βασικό κριτήριο για τη χρηματοδότηση των έργων του εθνικού σκέλους του ΠΔΕ</w:t>
      </w:r>
      <w:r>
        <w:rPr>
          <w:sz w:val="22"/>
          <w:szCs w:val="22"/>
        </w:rPr>
        <w:t>,</w:t>
      </w:r>
      <w:r w:rsidRPr="00171E53">
        <w:rPr>
          <w:sz w:val="22"/>
          <w:szCs w:val="22"/>
        </w:rPr>
        <w:t xml:space="preserve"> θα είναι και το 2019 η συμπληρωματικότητα, σε σχέση με την εκτέλεση έργων συγχρηματοδοτούμενων από την ΕΕ. Θα πρέπει να επισημανθεί στο πλαίσιο αυτό</w:t>
      </w:r>
      <w:r>
        <w:rPr>
          <w:sz w:val="22"/>
          <w:szCs w:val="22"/>
        </w:rPr>
        <w:t>,</w:t>
      </w:r>
      <w:r w:rsidRPr="00171E53">
        <w:rPr>
          <w:sz w:val="22"/>
          <w:szCs w:val="22"/>
        </w:rPr>
        <w:t xml:space="preserve"> η συνεχιζόμενη ενεργοποίηση του Υπουργείου Οικον</w:t>
      </w:r>
      <w:r w:rsidRPr="00171E53">
        <w:rPr>
          <w:sz w:val="22"/>
          <w:szCs w:val="22"/>
        </w:rPr>
        <w:t>ο</w:t>
      </w:r>
      <w:r w:rsidRPr="00171E53">
        <w:rPr>
          <w:sz w:val="22"/>
          <w:szCs w:val="22"/>
        </w:rPr>
        <w:t>μίας και Ανάπτυξης στην κατεύθυνση της προτυποποίησης των διαδικασιών αξιολόγησης και καθ</w:t>
      </w:r>
      <w:r w:rsidRPr="00171E53">
        <w:rPr>
          <w:sz w:val="22"/>
          <w:szCs w:val="22"/>
        </w:rPr>
        <w:t>ο</w:t>
      </w:r>
      <w:r w:rsidRPr="00171E53">
        <w:rPr>
          <w:sz w:val="22"/>
          <w:szCs w:val="22"/>
        </w:rPr>
        <w:t>ρισμού των προτεραιοτήτων κατά την επιλογή των προγραμμάτων που εντάσσονται στη χρηματοδ</w:t>
      </w:r>
      <w:r w:rsidRPr="00171E53">
        <w:rPr>
          <w:sz w:val="22"/>
          <w:szCs w:val="22"/>
        </w:rPr>
        <w:t>ό</w:t>
      </w:r>
      <w:r w:rsidRPr="00171E53">
        <w:rPr>
          <w:sz w:val="22"/>
          <w:szCs w:val="22"/>
        </w:rPr>
        <w:t>τηση από το ΠΔΕ.</w:t>
      </w:r>
    </w:p>
    <w:p w:rsidR="0064178C" w:rsidRPr="00764E1A" w:rsidRDefault="0064178C" w:rsidP="00FB3CD2">
      <w:pPr>
        <w:tabs>
          <w:tab w:val="left" w:pos="180"/>
        </w:tabs>
        <w:spacing w:line="235" w:lineRule="auto"/>
        <w:jc w:val="both"/>
        <w:rPr>
          <w:sz w:val="22"/>
          <w:szCs w:val="22"/>
        </w:rPr>
      </w:pPr>
    </w:p>
    <w:p w:rsidR="00EA5621" w:rsidRPr="00C752D5" w:rsidRDefault="00C752D5" w:rsidP="00EA5621">
      <w:pPr>
        <w:jc w:val="both"/>
        <w:outlineLvl w:val="3"/>
        <w:rPr>
          <w:rFonts w:ascii="Arial Narrow" w:hAnsi="Arial Narrow"/>
          <w:b/>
          <w:iCs/>
          <w:sz w:val="22"/>
          <w:szCs w:val="22"/>
          <w:lang w:bidi="en-US"/>
        </w:rPr>
      </w:pPr>
      <w:r w:rsidRPr="00C752D5">
        <w:rPr>
          <w:rFonts w:ascii="Arial Narrow" w:hAnsi="Arial Narrow"/>
          <w:b/>
          <w:iCs/>
          <w:sz w:val="22"/>
          <w:szCs w:val="22"/>
          <w:lang w:bidi="en-US"/>
        </w:rPr>
        <w:t>Δαπάνες χρηματοοικονομικών συναλλαγών</w:t>
      </w:r>
    </w:p>
    <w:p w:rsidR="008870AD" w:rsidRDefault="008870AD" w:rsidP="00FB3CD2">
      <w:pPr>
        <w:tabs>
          <w:tab w:val="left" w:pos="180"/>
        </w:tabs>
        <w:spacing w:line="235" w:lineRule="auto"/>
        <w:jc w:val="both"/>
        <w:rPr>
          <w:sz w:val="22"/>
          <w:szCs w:val="22"/>
        </w:rPr>
      </w:pPr>
    </w:p>
    <w:p w:rsidR="00C752D5" w:rsidRDefault="00C752D5" w:rsidP="00FB3CD2">
      <w:pPr>
        <w:tabs>
          <w:tab w:val="left" w:pos="180"/>
        </w:tabs>
        <w:spacing w:line="235" w:lineRule="auto"/>
        <w:jc w:val="both"/>
        <w:rPr>
          <w:sz w:val="22"/>
          <w:szCs w:val="22"/>
        </w:rPr>
      </w:pPr>
      <w:r>
        <w:rPr>
          <w:sz w:val="22"/>
          <w:szCs w:val="22"/>
        </w:rPr>
        <w:t>Η συνολική πρόβλε</w:t>
      </w:r>
      <w:r w:rsidR="007F6B0D">
        <w:rPr>
          <w:sz w:val="22"/>
          <w:szCs w:val="22"/>
        </w:rPr>
        <w:t>ψη για τις μείζονες κατηγορίες χ</w:t>
      </w:r>
      <w:r>
        <w:rPr>
          <w:sz w:val="22"/>
          <w:szCs w:val="22"/>
        </w:rPr>
        <w:t>ρηματοοικονομικών συναλλαγών ανέρχεται σε 648.080 εκατ. ευρώ και το μεγαλύτερο μέρος εμφανίζεται στη μείζονα κατηγορία «Δάνεια».</w:t>
      </w:r>
    </w:p>
    <w:p w:rsidR="00E133B7" w:rsidRDefault="00E133B7" w:rsidP="00FB3CD2">
      <w:pPr>
        <w:tabs>
          <w:tab w:val="left" w:pos="180"/>
        </w:tabs>
        <w:spacing w:line="235" w:lineRule="auto"/>
        <w:jc w:val="both"/>
        <w:rPr>
          <w:sz w:val="22"/>
          <w:szCs w:val="22"/>
        </w:rPr>
      </w:pPr>
    </w:p>
    <w:p w:rsidR="00C752D5" w:rsidRDefault="00C752D5" w:rsidP="00FB3CD2">
      <w:pPr>
        <w:tabs>
          <w:tab w:val="left" w:pos="180"/>
        </w:tabs>
        <w:spacing w:line="235" w:lineRule="auto"/>
        <w:jc w:val="both"/>
        <w:rPr>
          <w:sz w:val="22"/>
          <w:szCs w:val="22"/>
        </w:rPr>
      </w:pPr>
    </w:p>
    <w:p w:rsidR="00C752D5" w:rsidRPr="00E133B7" w:rsidRDefault="00C752D5" w:rsidP="00FB3CD2">
      <w:pPr>
        <w:tabs>
          <w:tab w:val="left" w:pos="180"/>
        </w:tabs>
        <w:spacing w:line="235" w:lineRule="auto"/>
        <w:jc w:val="both"/>
        <w:rPr>
          <w:sz w:val="22"/>
          <w:szCs w:val="22"/>
        </w:rPr>
      </w:pPr>
    </w:p>
    <w:p w:rsidR="00C255C0" w:rsidRPr="00221A99" w:rsidRDefault="00C255C0" w:rsidP="00C255C0">
      <w:pPr>
        <w:shd w:val="clear" w:color="auto" w:fill="BFBFBF" w:themeFill="background1" w:themeFillShade="BF"/>
        <w:spacing w:line="235" w:lineRule="auto"/>
        <w:rPr>
          <w:rFonts w:ascii="Arial Narrow" w:hAnsi="Arial Narrow"/>
          <w:b/>
          <w:szCs w:val="26"/>
        </w:rPr>
      </w:pPr>
      <w:r>
        <w:rPr>
          <w:rFonts w:ascii="Arial Narrow" w:hAnsi="Arial Narrow"/>
          <w:b/>
          <w:szCs w:val="26"/>
        </w:rPr>
        <w:t>4.3</w:t>
      </w:r>
      <w:r w:rsidRPr="00221A99">
        <w:rPr>
          <w:rFonts w:ascii="Arial Narrow" w:hAnsi="Arial Narrow"/>
          <w:b/>
          <w:szCs w:val="26"/>
        </w:rPr>
        <w:tab/>
      </w:r>
      <w:r>
        <w:rPr>
          <w:rFonts w:ascii="Arial Narrow" w:hAnsi="Arial Narrow"/>
          <w:b/>
          <w:szCs w:val="26"/>
        </w:rPr>
        <w:t>Χρηματοδοτικές ανάγκες Κρατικού Προϋπολογισμού 2019</w:t>
      </w:r>
    </w:p>
    <w:p w:rsidR="00C255C0" w:rsidRDefault="00C255C0" w:rsidP="00C255C0">
      <w:pPr>
        <w:rPr>
          <w:sz w:val="22"/>
          <w:szCs w:val="22"/>
        </w:rPr>
      </w:pPr>
      <w:r>
        <w:rPr>
          <w:sz w:val="22"/>
          <w:szCs w:val="22"/>
        </w:rPr>
        <w:t xml:space="preserve"> </w:t>
      </w:r>
    </w:p>
    <w:p w:rsidR="00C255C0" w:rsidRPr="002B2F9D" w:rsidRDefault="00C255C0" w:rsidP="00C255C0">
      <w:pPr>
        <w:jc w:val="both"/>
        <w:rPr>
          <w:strike/>
          <w:sz w:val="22"/>
        </w:rPr>
      </w:pPr>
      <w:r w:rsidRPr="007B3D50">
        <w:rPr>
          <w:sz w:val="22"/>
        </w:rPr>
        <w:t>Στον πίνακα 3</w:t>
      </w:r>
      <w:r w:rsidR="008F374F">
        <w:rPr>
          <w:sz w:val="22"/>
        </w:rPr>
        <w:t>.11</w:t>
      </w:r>
      <w:r w:rsidRPr="007B3D50">
        <w:rPr>
          <w:sz w:val="22"/>
        </w:rPr>
        <w:t xml:space="preserve"> εμφανίζονται οι ταμειακές χρηματοδοτικές ανάγκες του Κρατικού Προϋπολογισμού 2019, οι οποίες προβλέπεται να </w:t>
      </w:r>
      <w:r w:rsidR="00805C2B">
        <w:rPr>
          <w:sz w:val="22"/>
        </w:rPr>
        <w:t>ανέλθουν</w:t>
      </w:r>
      <w:r w:rsidRPr="007B3D50">
        <w:rPr>
          <w:sz w:val="22"/>
        </w:rPr>
        <w:t xml:space="preserve"> στα </w:t>
      </w:r>
      <w:r w:rsidR="00712CAF">
        <w:rPr>
          <w:sz w:val="22"/>
        </w:rPr>
        <w:t>5.11</w:t>
      </w:r>
      <w:r w:rsidR="007B3D50">
        <w:rPr>
          <w:sz w:val="22"/>
        </w:rPr>
        <w:t>4 εκατ. ευρώ</w:t>
      </w:r>
      <w:r w:rsidRPr="007B3D50">
        <w:rPr>
          <w:sz w:val="22"/>
        </w:rPr>
        <w:t xml:space="preserve">, </w:t>
      </w:r>
      <w:r w:rsidR="007B3D50">
        <w:rPr>
          <w:sz w:val="22"/>
        </w:rPr>
        <w:t>ενώ</w:t>
      </w:r>
      <w:r w:rsidRPr="007B3D50">
        <w:rPr>
          <w:sz w:val="22"/>
        </w:rPr>
        <w:t xml:space="preserve"> ο καθαρός δανεισμός του Κρατ</w:t>
      </w:r>
      <w:r w:rsidRPr="007B3D50">
        <w:rPr>
          <w:sz w:val="22"/>
        </w:rPr>
        <w:t>ι</w:t>
      </w:r>
      <w:r w:rsidRPr="007B3D50">
        <w:rPr>
          <w:sz w:val="22"/>
        </w:rPr>
        <w:t>κού Προϋπολογισμού θα δια</w:t>
      </w:r>
      <w:r w:rsidR="00712CAF">
        <w:rPr>
          <w:sz w:val="22"/>
        </w:rPr>
        <w:t>μορφωθεί στα 3.69</w:t>
      </w:r>
      <w:r w:rsidR="007B3D50">
        <w:rPr>
          <w:sz w:val="22"/>
        </w:rPr>
        <w:t>3</w:t>
      </w:r>
      <w:r w:rsidRPr="007B3D50">
        <w:rPr>
          <w:sz w:val="22"/>
        </w:rPr>
        <w:t xml:space="preserve"> εκατ. ευρώ.</w:t>
      </w:r>
    </w:p>
    <w:p w:rsidR="00C255C0" w:rsidRPr="001830EF" w:rsidRDefault="00C255C0" w:rsidP="00C255C0">
      <w:pPr>
        <w:rPr>
          <w:sz w:val="22"/>
        </w:rPr>
      </w:pPr>
    </w:p>
    <w:tbl>
      <w:tblPr>
        <w:tblW w:w="0" w:type="auto"/>
        <w:jc w:val="center"/>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1"/>
        <w:gridCol w:w="2411"/>
      </w:tblGrid>
      <w:tr w:rsidR="00E92133" w:rsidRPr="001830EF" w:rsidTr="00FE5D7A">
        <w:trPr>
          <w:cantSplit/>
          <w:trHeight w:val="610"/>
          <w:jc w:val="center"/>
        </w:trPr>
        <w:tc>
          <w:tcPr>
            <w:tcW w:w="7042" w:type="dxa"/>
            <w:gridSpan w:val="2"/>
            <w:tcBorders>
              <w:bottom w:val="nil"/>
            </w:tcBorders>
            <w:shd w:val="clear" w:color="auto" w:fill="404040"/>
            <w:vAlign w:val="center"/>
          </w:tcPr>
          <w:p w:rsidR="00E92133" w:rsidRPr="001830EF" w:rsidRDefault="00E92133" w:rsidP="00FE5D7A">
            <w:pPr>
              <w:keepNext/>
              <w:spacing w:before="120"/>
              <w:jc w:val="center"/>
              <w:outlineLvl w:val="3"/>
              <w:rPr>
                <w:rFonts w:ascii="Arial Narrow" w:hAnsi="Arial Narrow"/>
                <w:b/>
                <w:color w:val="FFFFFF"/>
                <w:szCs w:val="20"/>
              </w:rPr>
            </w:pPr>
            <w:r w:rsidRPr="001830EF">
              <w:rPr>
                <w:sz w:val="22"/>
              </w:rPr>
              <w:br w:type="page"/>
            </w:r>
            <w:r>
              <w:rPr>
                <w:rFonts w:ascii="Arial Narrow" w:hAnsi="Arial Narrow"/>
                <w:b/>
                <w:color w:val="FFFFFF"/>
                <w:szCs w:val="20"/>
              </w:rPr>
              <w:t>Πίνακας 3</w:t>
            </w:r>
            <w:r w:rsidR="008F374F">
              <w:rPr>
                <w:rFonts w:ascii="Arial Narrow" w:hAnsi="Arial Narrow"/>
                <w:b/>
                <w:color w:val="FFFFFF"/>
                <w:szCs w:val="20"/>
              </w:rPr>
              <w:t>.11</w:t>
            </w:r>
            <w:r w:rsidRPr="001830EF">
              <w:rPr>
                <w:rFonts w:ascii="Arial Narrow" w:hAnsi="Arial Narrow"/>
                <w:b/>
                <w:color w:val="FFFFFF"/>
                <w:szCs w:val="20"/>
              </w:rPr>
              <w:t xml:space="preserve">  Χρηματοδοτικές ανάγκες Κρατικού Προϋπολογισμού 201</w:t>
            </w:r>
            <w:r>
              <w:rPr>
                <w:rFonts w:ascii="Arial Narrow" w:hAnsi="Arial Narrow"/>
                <w:b/>
                <w:color w:val="FFFFFF"/>
                <w:szCs w:val="20"/>
              </w:rPr>
              <w:t>9</w:t>
            </w:r>
          </w:p>
          <w:p w:rsidR="00E92133" w:rsidRPr="001830EF" w:rsidRDefault="00E92133" w:rsidP="00FE5D7A">
            <w:pPr>
              <w:spacing w:after="120"/>
              <w:jc w:val="center"/>
              <w:rPr>
                <w:rFonts w:ascii="Arial Narrow" w:hAnsi="Arial Narrow"/>
                <w:b/>
                <w:color w:val="FFFFFF"/>
                <w:szCs w:val="20"/>
              </w:rPr>
            </w:pPr>
            <w:r w:rsidRPr="001830EF">
              <w:rPr>
                <w:rFonts w:ascii="Arial Narrow" w:hAnsi="Arial Narrow"/>
                <w:b/>
                <w:color w:val="FFFFFF"/>
                <w:szCs w:val="20"/>
              </w:rPr>
              <w:t>(σε εκατ. ευρώ)</w:t>
            </w:r>
          </w:p>
        </w:tc>
      </w:tr>
      <w:tr w:rsidR="00E92133" w:rsidRPr="001830EF" w:rsidTr="00FE5D7A">
        <w:trPr>
          <w:cantSplit/>
          <w:trHeight w:val="225"/>
          <w:jc w:val="center"/>
        </w:trPr>
        <w:tc>
          <w:tcPr>
            <w:tcW w:w="4631" w:type="dxa"/>
            <w:tcBorders>
              <w:top w:val="nil"/>
              <w:bottom w:val="single" w:sz="4" w:space="0" w:color="auto"/>
              <w:right w:val="nil"/>
            </w:tcBorders>
            <w:shd w:val="clear" w:color="auto" w:fill="auto"/>
          </w:tcPr>
          <w:p w:rsidR="00E92133" w:rsidRPr="001830EF" w:rsidRDefault="00E92133" w:rsidP="00FE5D7A">
            <w:pPr>
              <w:jc w:val="both"/>
              <w:rPr>
                <w:rFonts w:ascii="Arial Narrow" w:hAnsi="Arial Narrow"/>
                <w:color w:val="C0C0C0"/>
                <w:sz w:val="16"/>
                <w:szCs w:val="16"/>
              </w:rPr>
            </w:pPr>
          </w:p>
        </w:tc>
        <w:tc>
          <w:tcPr>
            <w:tcW w:w="2411" w:type="dxa"/>
            <w:tcBorders>
              <w:top w:val="nil"/>
              <w:left w:val="nil"/>
              <w:bottom w:val="single" w:sz="4" w:space="0" w:color="auto"/>
            </w:tcBorders>
            <w:shd w:val="clear" w:color="auto" w:fill="auto"/>
            <w:vAlign w:val="center"/>
          </w:tcPr>
          <w:p w:rsidR="00E92133" w:rsidRPr="001830EF" w:rsidRDefault="00E92133" w:rsidP="00FE5D7A">
            <w:pPr>
              <w:jc w:val="center"/>
              <w:rPr>
                <w:rFonts w:ascii="Arial Narrow" w:hAnsi="Arial Narrow"/>
                <w:b/>
                <w:color w:val="C0C0C0"/>
                <w:sz w:val="16"/>
                <w:szCs w:val="16"/>
              </w:rPr>
            </w:pPr>
          </w:p>
        </w:tc>
      </w:tr>
      <w:tr w:rsidR="007B3D50" w:rsidRPr="001830EF" w:rsidTr="00C704DF">
        <w:trPr>
          <w:cantSplit/>
          <w:trHeight w:val="20"/>
          <w:jc w:val="center"/>
        </w:trPr>
        <w:tc>
          <w:tcPr>
            <w:tcW w:w="4631" w:type="dxa"/>
            <w:tcBorders>
              <w:top w:val="single" w:sz="4" w:space="0" w:color="auto"/>
              <w:bottom w:val="nil"/>
              <w:right w:val="nil"/>
            </w:tcBorders>
            <w:shd w:val="clear" w:color="auto" w:fill="auto"/>
          </w:tcPr>
          <w:p w:rsidR="007B3D50" w:rsidRPr="001830EF" w:rsidRDefault="007B3D50" w:rsidP="00FE5D7A">
            <w:pPr>
              <w:jc w:val="both"/>
              <w:rPr>
                <w:rFonts w:ascii="Arial Narrow" w:hAnsi="Arial Narrow"/>
                <w:b/>
                <w:sz w:val="16"/>
                <w:szCs w:val="16"/>
              </w:rPr>
            </w:pPr>
            <w:r w:rsidRPr="001830EF">
              <w:rPr>
                <w:rFonts w:ascii="Arial Narrow" w:hAnsi="Arial Narrow"/>
                <w:b/>
                <w:sz w:val="16"/>
                <w:szCs w:val="16"/>
              </w:rPr>
              <w:t>Χρηματοδοτικές ανάγκες</w:t>
            </w:r>
          </w:p>
        </w:tc>
        <w:tc>
          <w:tcPr>
            <w:tcW w:w="2411" w:type="dxa"/>
            <w:tcBorders>
              <w:top w:val="single" w:sz="4" w:space="0" w:color="auto"/>
              <w:left w:val="nil"/>
              <w:bottom w:val="nil"/>
            </w:tcBorders>
            <w:shd w:val="clear" w:color="auto" w:fill="auto"/>
            <w:vAlign w:val="center"/>
          </w:tcPr>
          <w:p w:rsidR="007B3D50" w:rsidRDefault="007B3D50" w:rsidP="007B3D50">
            <w:pPr>
              <w:tabs>
                <w:tab w:val="decimal" w:pos="1193"/>
              </w:tabs>
              <w:jc w:val="both"/>
              <w:rPr>
                <w:rFonts w:ascii="Arial Narrow" w:hAnsi="Arial Narrow" w:cs="Arial Greek"/>
                <w:sz w:val="16"/>
                <w:szCs w:val="16"/>
              </w:rPr>
            </w:pP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1830EF" w:rsidRDefault="0015764E" w:rsidP="00FE5D7A">
            <w:pPr>
              <w:jc w:val="both"/>
              <w:rPr>
                <w:rFonts w:ascii="Arial Narrow" w:hAnsi="Arial Narrow"/>
                <w:sz w:val="16"/>
                <w:szCs w:val="16"/>
              </w:rPr>
            </w:pPr>
            <w:r w:rsidRPr="001830EF">
              <w:rPr>
                <w:rFonts w:ascii="Arial Narrow" w:hAnsi="Arial Narrow"/>
                <w:sz w:val="16"/>
                <w:szCs w:val="16"/>
              </w:rPr>
              <w:t>Έλλειμμα Κρατικού Προϋπολογισμού (ταμειακό)</w:t>
            </w:r>
          </w:p>
        </w:tc>
        <w:tc>
          <w:tcPr>
            <w:tcW w:w="2411" w:type="dxa"/>
            <w:tcBorders>
              <w:top w:val="nil"/>
              <w:left w:val="nil"/>
              <w:bottom w:val="nil"/>
            </w:tcBorders>
            <w:shd w:val="clear" w:color="auto" w:fill="auto"/>
            <w:vAlign w:val="center"/>
          </w:tcPr>
          <w:p w:rsidR="0015764E" w:rsidRDefault="0015764E" w:rsidP="0015764E">
            <w:pPr>
              <w:tabs>
                <w:tab w:val="decimal" w:pos="1193"/>
              </w:tabs>
              <w:jc w:val="both"/>
              <w:rPr>
                <w:rFonts w:ascii="Arial Narrow" w:hAnsi="Arial Narrow" w:cs="Arial Greek"/>
                <w:sz w:val="16"/>
                <w:szCs w:val="16"/>
              </w:rPr>
            </w:pPr>
            <w:r>
              <w:rPr>
                <w:rFonts w:ascii="Arial Narrow" w:hAnsi="Arial Narrow" w:cs="Arial Greek"/>
                <w:sz w:val="16"/>
                <w:szCs w:val="16"/>
              </w:rPr>
              <w:t>4.774</w:t>
            </w: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1830EF" w:rsidRDefault="0015764E" w:rsidP="00FE5D7A">
            <w:pPr>
              <w:jc w:val="both"/>
              <w:rPr>
                <w:rFonts w:ascii="Arial Narrow" w:hAnsi="Arial Narrow"/>
                <w:sz w:val="16"/>
                <w:szCs w:val="16"/>
              </w:rPr>
            </w:pPr>
            <w:r w:rsidRPr="001830EF">
              <w:rPr>
                <w:rFonts w:ascii="Arial Narrow" w:hAnsi="Arial Narrow"/>
                <w:sz w:val="16"/>
                <w:szCs w:val="16"/>
              </w:rPr>
              <w:t>Αυξήσεις ΜΚ εταιρειών</w:t>
            </w:r>
          </w:p>
        </w:tc>
        <w:tc>
          <w:tcPr>
            <w:tcW w:w="2411" w:type="dxa"/>
            <w:tcBorders>
              <w:top w:val="nil"/>
              <w:left w:val="nil"/>
              <w:bottom w:val="nil"/>
            </w:tcBorders>
            <w:shd w:val="clear" w:color="auto" w:fill="auto"/>
            <w:vAlign w:val="center"/>
          </w:tcPr>
          <w:p w:rsidR="0015764E" w:rsidRDefault="0015764E" w:rsidP="0015764E">
            <w:pPr>
              <w:tabs>
                <w:tab w:val="decimal" w:pos="1193"/>
              </w:tabs>
              <w:jc w:val="both"/>
              <w:rPr>
                <w:rFonts w:ascii="Arial Narrow" w:hAnsi="Arial Narrow" w:cs="Arial Greek"/>
                <w:sz w:val="16"/>
                <w:szCs w:val="16"/>
              </w:rPr>
            </w:pPr>
            <w:r>
              <w:rPr>
                <w:rFonts w:ascii="Arial Narrow" w:hAnsi="Arial Narrow" w:cs="Arial Greek"/>
                <w:sz w:val="16"/>
                <w:szCs w:val="16"/>
              </w:rPr>
              <w:t>340</w:t>
            </w: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Default="0015764E" w:rsidP="00FE5D7A">
            <w:pPr>
              <w:jc w:val="both"/>
              <w:rPr>
                <w:rFonts w:ascii="Arial Narrow" w:hAnsi="Arial Narrow"/>
                <w:sz w:val="16"/>
                <w:szCs w:val="16"/>
              </w:rPr>
            </w:pPr>
            <w:r>
              <w:rPr>
                <w:rFonts w:ascii="Arial Narrow" w:hAnsi="Arial Narrow"/>
                <w:sz w:val="16"/>
                <w:szCs w:val="16"/>
              </w:rPr>
              <w:t>Πώληση μετοχών κ.λπ.</w:t>
            </w:r>
          </w:p>
        </w:tc>
        <w:tc>
          <w:tcPr>
            <w:tcW w:w="2411" w:type="dxa"/>
            <w:tcBorders>
              <w:top w:val="nil"/>
              <w:left w:val="nil"/>
              <w:bottom w:val="nil"/>
            </w:tcBorders>
            <w:shd w:val="clear" w:color="auto" w:fill="auto"/>
            <w:vAlign w:val="center"/>
          </w:tcPr>
          <w:p w:rsidR="0015764E" w:rsidRDefault="0015764E" w:rsidP="0015764E">
            <w:pPr>
              <w:tabs>
                <w:tab w:val="decimal" w:pos="1193"/>
              </w:tabs>
              <w:jc w:val="both"/>
              <w:rPr>
                <w:rFonts w:ascii="Arial Narrow" w:hAnsi="Arial Narrow" w:cs="Arial Greek"/>
                <w:sz w:val="16"/>
                <w:szCs w:val="16"/>
              </w:rPr>
            </w:pPr>
            <w:r>
              <w:rPr>
                <w:rFonts w:ascii="Arial Narrow" w:hAnsi="Arial Narrow" w:cs="Arial Greek"/>
                <w:sz w:val="16"/>
                <w:szCs w:val="16"/>
              </w:rPr>
              <w:t>-1.421</w:t>
            </w: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1830EF" w:rsidRDefault="0015764E" w:rsidP="00FE5D7A">
            <w:pPr>
              <w:jc w:val="both"/>
              <w:rPr>
                <w:rFonts w:ascii="Arial Narrow" w:hAnsi="Arial Narrow"/>
                <w:b/>
                <w:sz w:val="16"/>
                <w:szCs w:val="16"/>
              </w:rPr>
            </w:pPr>
            <w:r w:rsidRPr="001830EF">
              <w:rPr>
                <w:rFonts w:ascii="Arial Narrow" w:hAnsi="Arial Narrow"/>
                <w:b/>
                <w:sz w:val="16"/>
                <w:szCs w:val="16"/>
              </w:rPr>
              <w:t>Καθαρός δανεισμός</w:t>
            </w:r>
          </w:p>
        </w:tc>
        <w:tc>
          <w:tcPr>
            <w:tcW w:w="2411" w:type="dxa"/>
            <w:tcBorders>
              <w:top w:val="nil"/>
              <w:left w:val="nil"/>
              <w:bottom w:val="nil"/>
            </w:tcBorders>
            <w:shd w:val="clear" w:color="auto" w:fill="auto"/>
            <w:vAlign w:val="center"/>
          </w:tcPr>
          <w:p w:rsidR="0015764E" w:rsidRDefault="0015764E" w:rsidP="0015764E">
            <w:pPr>
              <w:tabs>
                <w:tab w:val="decimal" w:pos="1193"/>
              </w:tabs>
              <w:jc w:val="both"/>
              <w:rPr>
                <w:rFonts w:ascii="Arial Narrow" w:hAnsi="Arial Narrow" w:cs="Arial Greek"/>
                <w:b/>
                <w:bCs/>
                <w:sz w:val="16"/>
                <w:szCs w:val="16"/>
              </w:rPr>
            </w:pPr>
            <w:r>
              <w:rPr>
                <w:rFonts w:ascii="Arial Narrow" w:hAnsi="Arial Narrow" w:cs="Arial Greek"/>
                <w:b/>
                <w:bCs/>
                <w:sz w:val="16"/>
                <w:szCs w:val="16"/>
              </w:rPr>
              <w:t>3.693</w:t>
            </w: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1830EF" w:rsidRDefault="0015764E" w:rsidP="00FE5D7A">
            <w:pPr>
              <w:jc w:val="both"/>
              <w:rPr>
                <w:rFonts w:ascii="Arial Narrow" w:hAnsi="Arial Narrow"/>
                <w:sz w:val="16"/>
                <w:szCs w:val="16"/>
              </w:rPr>
            </w:pPr>
            <w:r w:rsidRPr="001830EF">
              <w:rPr>
                <w:rFonts w:ascii="Arial Narrow" w:hAnsi="Arial Narrow"/>
                <w:sz w:val="16"/>
                <w:szCs w:val="16"/>
              </w:rPr>
              <w:t>Χρεολύσια μεσομακροπρόθεσμου χρέους</w:t>
            </w:r>
          </w:p>
        </w:tc>
        <w:tc>
          <w:tcPr>
            <w:tcW w:w="2411" w:type="dxa"/>
            <w:tcBorders>
              <w:top w:val="nil"/>
              <w:left w:val="nil"/>
              <w:bottom w:val="nil"/>
            </w:tcBorders>
            <w:shd w:val="clear" w:color="auto" w:fill="auto"/>
            <w:vAlign w:val="center"/>
          </w:tcPr>
          <w:p w:rsidR="0015764E" w:rsidRDefault="0015764E" w:rsidP="0015764E">
            <w:pPr>
              <w:tabs>
                <w:tab w:val="decimal" w:pos="1193"/>
              </w:tabs>
              <w:jc w:val="both"/>
              <w:rPr>
                <w:rFonts w:ascii="Arial Narrow" w:hAnsi="Arial Narrow" w:cs="Arial Greek"/>
                <w:sz w:val="16"/>
                <w:szCs w:val="16"/>
              </w:rPr>
            </w:pPr>
            <w:r>
              <w:rPr>
                <w:rFonts w:ascii="Arial Narrow" w:hAnsi="Arial Narrow" w:cs="Arial Greek"/>
                <w:sz w:val="16"/>
                <w:szCs w:val="16"/>
              </w:rPr>
              <w:t>11.740</w:t>
            </w: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1830EF" w:rsidRDefault="0015764E" w:rsidP="00FE5D7A">
            <w:pPr>
              <w:keepNext/>
              <w:outlineLvl w:val="2"/>
              <w:rPr>
                <w:rFonts w:ascii="Arial Narrow" w:hAnsi="Arial Narrow" w:cs="Arial"/>
                <w:b/>
                <w:bCs/>
                <w:sz w:val="16"/>
                <w:szCs w:val="16"/>
              </w:rPr>
            </w:pPr>
            <w:r w:rsidRPr="001830EF">
              <w:rPr>
                <w:rFonts w:ascii="Arial Narrow" w:hAnsi="Arial Narrow" w:cs="Arial"/>
                <w:b/>
                <w:bCs/>
                <w:sz w:val="16"/>
                <w:szCs w:val="16"/>
              </w:rPr>
              <w:t>Μερικό σύνολο</w:t>
            </w:r>
          </w:p>
        </w:tc>
        <w:tc>
          <w:tcPr>
            <w:tcW w:w="2411" w:type="dxa"/>
            <w:tcBorders>
              <w:top w:val="nil"/>
              <w:left w:val="nil"/>
              <w:bottom w:val="nil"/>
            </w:tcBorders>
            <w:shd w:val="clear" w:color="auto" w:fill="auto"/>
            <w:vAlign w:val="center"/>
          </w:tcPr>
          <w:p w:rsidR="0015764E" w:rsidRDefault="0015764E" w:rsidP="0015764E">
            <w:pPr>
              <w:tabs>
                <w:tab w:val="decimal" w:pos="1193"/>
              </w:tabs>
              <w:jc w:val="both"/>
              <w:rPr>
                <w:rFonts w:ascii="Arial Narrow" w:hAnsi="Arial Narrow" w:cs="Arial Greek"/>
                <w:b/>
                <w:bCs/>
                <w:sz w:val="16"/>
                <w:szCs w:val="16"/>
              </w:rPr>
            </w:pPr>
            <w:r>
              <w:rPr>
                <w:rFonts w:ascii="Arial Narrow" w:hAnsi="Arial Narrow" w:cs="Arial Greek"/>
                <w:b/>
                <w:bCs/>
                <w:sz w:val="16"/>
                <w:szCs w:val="16"/>
              </w:rPr>
              <w:t>15.433</w:t>
            </w: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A17B11" w:rsidRDefault="0015764E" w:rsidP="00FE5D7A">
            <w:pPr>
              <w:jc w:val="both"/>
              <w:rPr>
                <w:rFonts w:ascii="Arial Narrow" w:hAnsi="Arial Narrow"/>
                <w:sz w:val="16"/>
                <w:szCs w:val="16"/>
                <w:vertAlign w:val="superscript"/>
              </w:rPr>
            </w:pPr>
            <w:r w:rsidRPr="001830EF">
              <w:rPr>
                <w:rFonts w:ascii="Arial Narrow" w:hAnsi="Arial Narrow"/>
                <w:sz w:val="16"/>
                <w:szCs w:val="16"/>
              </w:rPr>
              <w:t>Πρόβλεψη εξόφλησης βραχυπροθέσμ</w:t>
            </w:r>
            <w:r>
              <w:rPr>
                <w:rFonts w:ascii="Arial Narrow" w:hAnsi="Arial Narrow"/>
                <w:sz w:val="16"/>
                <w:szCs w:val="16"/>
              </w:rPr>
              <w:t>ου</w:t>
            </w:r>
            <w:r w:rsidRPr="001830EF">
              <w:rPr>
                <w:rFonts w:ascii="Arial Narrow" w:hAnsi="Arial Narrow"/>
                <w:sz w:val="16"/>
                <w:szCs w:val="16"/>
              </w:rPr>
              <w:t xml:space="preserve"> </w:t>
            </w:r>
            <w:r>
              <w:rPr>
                <w:rFonts w:ascii="Arial Narrow" w:hAnsi="Arial Narrow"/>
                <w:sz w:val="16"/>
                <w:szCs w:val="16"/>
              </w:rPr>
              <w:t>χρέους</w:t>
            </w:r>
            <w:r>
              <w:rPr>
                <w:rFonts w:ascii="Arial Narrow" w:hAnsi="Arial Narrow"/>
                <w:sz w:val="16"/>
                <w:szCs w:val="16"/>
                <w:vertAlign w:val="superscript"/>
              </w:rPr>
              <w:t>*</w:t>
            </w:r>
          </w:p>
        </w:tc>
        <w:tc>
          <w:tcPr>
            <w:tcW w:w="2411" w:type="dxa"/>
            <w:tcBorders>
              <w:top w:val="nil"/>
              <w:left w:val="nil"/>
              <w:bottom w:val="nil"/>
            </w:tcBorders>
            <w:shd w:val="clear" w:color="auto" w:fill="auto"/>
            <w:vAlign w:val="center"/>
          </w:tcPr>
          <w:p w:rsidR="0015764E" w:rsidRDefault="0015764E" w:rsidP="0015764E">
            <w:pPr>
              <w:tabs>
                <w:tab w:val="decimal" w:pos="1193"/>
              </w:tabs>
              <w:jc w:val="both"/>
              <w:rPr>
                <w:rFonts w:ascii="Arial Narrow" w:hAnsi="Arial Narrow" w:cs="Arial Greek"/>
                <w:sz w:val="16"/>
                <w:szCs w:val="16"/>
              </w:rPr>
            </w:pPr>
            <w:r>
              <w:rPr>
                <w:rFonts w:ascii="Arial Narrow" w:hAnsi="Arial Narrow" w:cs="Arial Greek"/>
                <w:sz w:val="16"/>
                <w:szCs w:val="16"/>
              </w:rPr>
              <w:t>635.000</w:t>
            </w:r>
          </w:p>
        </w:tc>
      </w:tr>
      <w:tr w:rsidR="0015764E" w:rsidRPr="001830EF" w:rsidTr="00C704DF">
        <w:trPr>
          <w:cantSplit/>
          <w:trHeight w:val="20"/>
          <w:jc w:val="center"/>
        </w:trPr>
        <w:tc>
          <w:tcPr>
            <w:tcW w:w="4631" w:type="dxa"/>
            <w:tcBorders>
              <w:top w:val="nil"/>
              <w:bottom w:val="nil"/>
              <w:right w:val="nil"/>
            </w:tcBorders>
            <w:shd w:val="clear" w:color="auto" w:fill="auto"/>
          </w:tcPr>
          <w:p w:rsidR="0015764E" w:rsidRPr="001830EF" w:rsidRDefault="0015764E" w:rsidP="00FE5D7A">
            <w:pPr>
              <w:jc w:val="both"/>
              <w:rPr>
                <w:rFonts w:ascii="Arial Narrow" w:hAnsi="Arial Narrow"/>
                <w:b/>
                <w:sz w:val="16"/>
                <w:szCs w:val="16"/>
              </w:rPr>
            </w:pPr>
            <w:r w:rsidRPr="001830EF">
              <w:rPr>
                <w:rFonts w:ascii="Arial Narrow" w:hAnsi="Arial Narrow"/>
                <w:b/>
                <w:sz w:val="16"/>
                <w:szCs w:val="16"/>
              </w:rPr>
              <w:t>Σύνολο χρηματοδοτικών αναγκών</w:t>
            </w:r>
          </w:p>
        </w:tc>
        <w:tc>
          <w:tcPr>
            <w:tcW w:w="2411" w:type="dxa"/>
            <w:tcBorders>
              <w:top w:val="nil"/>
              <w:left w:val="nil"/>
              <w:bottom w:val="nil"/>
            </w:tcBorders>
            <w:shd w:val="clear" w:color="auto" w:fill="auto"/>
            <w:vAlign w:val="center"/>
          </w:tcPr>
          <w:p w:rsidR="0015764E" w:rsidRDefault="0015764E" w:rsidP="0015764E">
            <w:pPr>
              <w:tabs>
                <w:tab w:val="decimal" w:pos="1193"/>
              </w:tabs>
              <w:jc w:val="both"/>
              <w:rPr>
                <w:rFonts w:ascii="Arial Narrow" w:hAnsi="Arial Narrow" w:cs="Arial Greek"/>
                <w:b/>
                <w:bCs/>
                <w:sz w:val="16"/>
                <w:szCs w:val="16"/>
              </w:rPr>
            </w:pPr>
            <w:r>
              <w:rPr>
                <w:rFonts w:ascii="Arial Narrow" w:hAnsi="Arial Narrow" w:cs="Arial Greek"/>
                <w:b/>
                <w:bCs/>
                <w:sz w:val="16"/>
                <w:szCs w:val="16"/>
              </w:rPr>
              <w:t>650.433</w:t>
            </w: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1830EF" w:rsidRDefault="0015764E" w:rsidP="00FE5D7A">
            <w:pPr>
              <w:jc w:val="both"/>
              <w:rPr>
                <w:rFonts w:ascii="Arial Narrow" w:hAnsi="Arial Narrow"/>
                <w:b/>
                <w:sz w:val="16"/>
                <w:szCs w:val="16"/>
              </w:rPr>
            </w:pPr>
          </w:p>
        </w:tc>
        <w:tc>
          <w:tcPr>
            <w:tcW w:w="2411" w:type="dxa"/>
            <w:tcBorders>
              <w:top w:val="nil"/>
              <w:left w:val="nil"/>
              <w:bottom w:val="nil"/>
            </w:tcBorders>
            <w:shd w:val="clear" w:color="auto" w:fill="auto"/>
            <w:vAlign w:val="bottom"/>
          </w:tcPr>
          <w:p w:rsidR="0015764E" w:rsidRDefault="0015764E" w:rsidP="0015764E">
            <w:pPr>
              <w:tabs>
                <w:tab w:val="decimal" w:pos="1193"/>
              </w:tabs>
              <w:jc w:val="both"/>
              <w:rPr>
                <w:rFonts w:ascii="Arial Narrow" w:hAnsi="Arial Narrow" w:cs="Arial Greek"/>
                <w:sz w:val="16"/>
                <w:szCs w:val="16"/>
              </w:rPr>
            </w:pP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1830EF" w:rsidRDefault="0015764E" w:rsidP="00FE5D7A">
            <w:pPr>
              <w:jc w:val="both"/>
              <w:rPr>
                <w:rFonts w:ascii="Arial Narrow" w:hAnsi="Arial Narrow"/>
                <w:b/>
                <w:sz w:val="16"/>
                <w:szCs w:val="16"/>
              </w:rPr>
            </w:pPr>
            <w:r w:rsidRPr="001830EF">
              <w:rPr>
                <w:rFonts w:ascii="Arial Narrow" w:hAnsi="Arial Narrow"/>
                <w:b/>
                <w:sz w:val="16"/>
                <w:szCs w:val="16"/>
              </w:rPr>
              <w:t>Χρηματοδότηση</w:t>
            </w:r>
          </w:p>
        </w:tc>
        <w:tc>
          <w:tcPr>
            <w:tcW w:w="2411" w:type="dxa"/>
            <w:tcBorders>
              <w:top w:val="nil"/>
              <w:left w:val="nil"/>
              <w:bottom w:val="nil"/>
            </w:tcBorders>
            <w:shd w:val="clear" w:color="auto" w:fill="auto"/>
            <w:vAlign w:val="bottom"/>
          </w:tcPr>
          <w:p w:rsidR="0015764E" w:rsidRDefault="0015764E" w:rsidP="0015764E">
            <w:pPr>
              <w:tabs>
                <w:tab w:val="decimal" w:pos="1193"/>
              </w:tabs>
              <w:jc w:val="both"/>
              <w:rPr>
                <w:rFonts w:ascii="Arial Narrow" w:hAnsi="Arial Narrow" w:cs="Arial Greek"/>
                <w:sz w:val="16"/>
                <w:szCs w:val="16"/>
              </w:rPr>
            </w:pP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A12FA4" w:rsidRDefault="0015764E" w:rsidP="00FE5D7A">
            <w:pPr>
              <w:jc w:val="both"/>
              <w:rPr>
                <w:rFonts w:ascii="Arial Narrow" w:hAnsi="Arial Narrow"/>
                <w:sz w:val="16"/>
                <w:szCs w:val="16"/>
                <w:vertAlign w:val="superscript"/>
              </w:rPr>
            </w:pPr>
            <w:r w:rsidRPr="001830EF">
              <w:rPr>
                <w:rFonts w:ascii="Arial Narrow" w:hAnsi="Arial Narrow"/>
                <w:sz w:val="16"/>
                <w:szCs w:val="16"/>
              </w:rPr>
              <w:t>Βραχυπρόθεσμος δ</w:t>
            </w:r>
            <w:r w:rsidRPr="001830EF">
              <w:rPr>
                <w:rFonts w:ascii="Arial Narrow" w:hAnsi="Arial Narrow"/>
                <w:sz w:val="16"/>
                <w:szCs w:val="16"/>
                <w:lang w:val="en-GB"/>
              </w:rPr>
              <w:t>ανεισμός</w:t>
            </w:r>
            <w:r>
              <w:rPr>
                <w:rFonts w:ascii="Arial Narrow" w:hAnsi="Arial Narrow"/>
                <w:sz w:val="16"/>
                <w:szCs w:val="16"/>
                <w:vertAlign w:val="superscript"/>
              </w:rPr>
              <w:t>*</w:t>
            </w:r>
          </w:p>
        </w:tc>
        <w:tc>
          <w:tcPr>
            <w:tcW w:w="2411" w:type="dxa"/>
            <w:tcBorders>
              <w:top w:val="nil"/>
              <w:left w:val="nil"/>
              <w:bottom w:val="nil"/>
            </w:tcBorders>
            <w:shd w:val="clear" w:color="auto" w:fill="auto"/>
            <w:vAlign w:val="bottom"/>
          </w:tcPr>
          <w:p w:rsidR="0015764E" w:rsidRDefault="0015764E" w:rsidP="0015764E">
            <w:pPr>
              <w:tabs>
                <w:tab w:val="decimal" w:pos="1193"/>
              </w:tabs>
              <w:jc w:val="both"/>
              <w:rPr>
                <w:rFonts w:ascii="Arial Narrow" w:hAnsi="Arial Narrow" w:cs="Arial Greek"/>
                <w:sz w:val="16"/>
                <w:szCs w:val="16"/>
              </w:rPr>
            </w:pPr>
            <w:r>
              <w:rPr>
                <w:rFonts w:ascii="Arial Narrow" w:hAnsi="Arial Narrow" w:cs="Arial Greek"/>
                <w:sz w:val="16"/>
                <w:szCs w:val="16"/>
              </w:rPr>
              <w:t>633.800</w:t>
            </w:r>
          </w:p>
        </w:tc>
      </w:tr>
      <w:tr w:rsidR="0015764E" w:rsidRPr="001830EF" w:rsidTr="00FE5D7A">
        <w:trPr>
          <w:cantSplit/>
          <w:trHeight w:val="20"/>
          <w:jc w:val="center"/>
        </w:trPr>
        <w:tc>
          <w:tcPr>
            <w:tcW w:w="4631" w:type="dxa"/>
            <w:tcBorders>
              <w:top w:val="nil"/>
              <w:bottom w:val="nil"/>
              <w:right w:val="nil"/>
            </w:tcBorders>
            <w:shd w:val="clear" w:color="auto" w:fill="auto"/>
          </w:tcPr>
          <w:p w:rsidR="0015764E" w:rsidRPr="00F970DF" w:rsidRDefault="0015764E" w:rsidP="00FE5D7A">
            <w:pPr>
              <w:jc w:val="both"/>
              <w:rPr>
                <w:rFonts w:ascii="Arial Narrow" w:hAnsi="Arial Narrow"/>
                <w:sz w:val="16"/>
                <w:szCs w:val="16"/>
              </w:rPr>
            </w:pPr>
            <w:r>
              <w:rPr>
                <w:rFonts w:ascii="Arial Narrow" w:hAnsi="Arial Narrow"/>
                <w:sz w:val="16"/>
                <w:szCs w:val="16"/>
              </w:rPr>
              <w:t>Μεταβολή ταμειακών διαθεσίμων</w:t>
            </w:r>
          </w:p>
        </w:tc>
        <w:tc>
          <w:tcPr>
            <w:tcW w:w="2411" w:type="dxa"/>
            <w:tcBorders>
              <w:top w:val="nil"/>
              <w:left w:val="nil"/>
              <w:bottom w:val="nil"/>
            </w:tcBorders>
            <w:shd w:val="clear" w:color="auto" w:fill="auto"/>
            <w:vAlign w:val="bottom"/>
          </w:tcPr>
          <w:p w:rsidR="0015764E" w:rsidRDefault="0015764E" w:rsidP="0015764E">
            <w:pPr>
              <w:tabs>
                <w:tab w:val="decimal" w:pos="1193"/>
              </w:tabs>
              <w:jc w:val="both"/>
              <w:rPr>
                <w:rFonts w:ascii="Arial Narrow" w:hAnsi="Arial Narrow" w:cs="Arial Greek"/>
                <w:sz w:val="16"/>
                <w:szCs w:val="16"/>
              </w:rPr>
            </w:pPr>
            <w:r>
              <w:rPr>
                <w:rFonts w:ascii="Arial Narrow" w:hAnsi="Arial Narrow" w:cs="Arial Greek"/>
                <w:sz w:val="16"/>
                <w:szCs w:val="16"/>
              </w:rPr>
              <w:t>16.633</w:t>
            </w:r>
          </w:p>
        </w:tc>
      </w:tr>
      <w:tr w:rsidR="0015764E" w:rsidRPr="001830EF" w:rsidTr="00C704DF">
        <w:trPr>
          <w:cantSplit/>
          <w:trHeight w:val="20"/>
          <w:jc w:val="center"/>
        </w:trPr>
        <w:tc>
          <w:tcPr>
            <w:tcW w:w="4631" w:type="dxa"/>
            <w:tcBorders>
              <w:top w:val="nil"/>
              <w:right w:val="nil"/>
            </w:tcBorders>
            <w:shd w:val="clear" w:color="auto" w:fill="auto"/>
          </w:tcPr>
          <w:p w:rsidR="0015764E" w:rsidRPr="001830EF" w:rsidRDefault="0015764E" w:rsidP="00FE5D7A">
            <w:pPr>
              <w:keepNext/>
              <w:outlineLvl w:val="2"/>
              <w:rPr>
                <w:rFonts w:ascii="Arial Narrow" w:hAnsi="Arial Narrow" w:cs="Arial"/>
                <w:b/>
                <w:bCs/>
                <w:sz w:val="16"/>
                <w:szCs w:val="16"/>
              </w:rPr>
            </w:pPr>
            <w:r w:rsidRPr="001830EF">
              <w:rPr>
                <w:rFonts w:ascii="Arial Narrow" w:hAnsi="Arial Narrow" w:cs="Arial"/>
                <w:b/>
                <w:bCs/>
                <w:sz w:val="16"/>
                <w:szCs w:val="16"/>
                <w:lang w:val="en-GB"/>
              </w:rPr>
              <w:t>Σύνολο</w:t>
            </w:r>
            <w:r w:rsidRPr="001830EF">
              <w:rPr>
                <w:rFonts w:ascii="Arial Narrow" w:hAnsi="Arial Narrow" w:cs="Arial"/>
                <w:b/>
                <w:bCs/>
                <w:sz w:val="16"/>
                <w:szCs w:val="16"/>
              </w:rPr>
              <w:t xml:space="preserve"> δανεισμού</w:t>
            </w:r>
          </w:p>
        </w:tc>
        <w:tc>
          <w:tcPr>
            <w:tcW w:w="2411" w:type="dxa"/>
            <w:tcBorders>
              <w:top w:val="nil"/>
              <w:left w:val="nil"/>
            </w:tcBorders>
            <w:shd w:val="clear" w:color="auto" w:fill="auto"/>
            <w:vAlign w:val="bottom"/>
          </w:tcPr>
          <w:p w:rsidR="0015764E" w:rsidRDefault="0015764E" w:rsidP="0015764E">
            <w:pPr>
              <w:tabs>
                <w:tab w:val="decimal" w:pos="1193"/>
              </w:tabs>
              <w:jc w:val="both"/>
              <w:rPr>
                <w:rFonts w:ascii="Arial Narrow" w:hAnsi="Arial Narrow" w:cs="Arial Greek"/>
                <w:b/>
                <w:bCs/>
                <w:sz w:val="16"/>
                <w:szCs w:val="16"/>
              </w:rPr>
            </w:pPr>
            <w:r>
              <w:rPr>
                <w:rFonts w:ascii="Arial Narrow" w:hAnsi="Arial Narrow" w:cs="Arial Greek"/>
                <w:b/>
                <w:bCs/>
                <w:sz w:val="16"/>
                <w:szCs w:val="16"/>
              </w:rPr>
              <w:t>650.433</w:t>
            </w:r>
          </w:p>
        </w:tc>
      </w:tr>
    </w:tbl>
    <w:p w:rsidR="00E92133" w:rsidRPr="00F26CAF" w:rsidRDefault="00E92133" w:rsidP="00E92133">
      <w:pPr>
        <w:tabs>
          <w:tab w:val="left" w:pos="993"/>
        </w:tabs>
        <w:jc w:val="both"/>
        <w:rPr>
          <w:rFonts w:ascii="Arial Narrow" w:hAnsi="Arial Narrow"/>
          <w:sz w:val="16"/>
          <w:szCs w:val="18"/>
        </w:rPr>
      </w:pPr>
      <w:r w:rsidRPr="00E67F0E">
        <w:rPr>
          <w:rFonts w:ascii="Arial Narrow" w:hAnsi="Arial Narrow"/>
          <w:sz w:val="16"/>
          <w:szCs w:val="18"/>
        </w:rPr>
        <w:tab/>
      </w:r>
      <w:r w:rsidRPr="00F26CAF">
        <w:rPr>
          <w:rFonts w:ascii="Arial Narrow" w:hAnsi="Arial Narrow"/>
          <w:sz w:val="16"/>
          <w:szCs w:val="18"/>
        </w:rPr>
        <w:t>Πηγή: ΟΔΔΗΧ - ΔΠΓΚ</w:t>
      </w:r>
    </w:p>
    <w:p w:rsidR="00C255C0" w:rsidRPr="00C255C0" w:rsidRDefault="00C255C0" w:rsidP="00C255C0">
      <w:pPr>
        <w:tabs>
          <w:tab w:val="left" w:pos="993"/>
          <w:tab w:val="left" w:pos="1276"/>
        </w:tabs>
        <w:jc w:val="both"/>
        <w:rPr>
          <w:rFonts w:ascii="Arial Narrow" w:hAnsi="Arial Narrow"/>
          <w:sz w:val="8"/>
          <w:szCs w:val="18"/>
          <w:highlight w:val="yellow"/>
        </w:rPr>
      </w:pPr>
    </w:p>
    <w:p w:rsidR="00C255C0" w:rsidRPr="00E67F0E" w:rsidRDefault="00C255C0" w:rsidP="00C255C0">
      <w:pPr>
        <w:tabs>
          <w:tab w:val="left" w:pos="993"/>
          <w:tab w:val="left" w:pos="1276"/>
        </w:tabs>
        <w:ind w:left="1276" w:right="991" w:hanging="1276"/>
        <w:jc w:val="both"/>
        <w:rPr>
          <w:bCs/>
          <w:sz w:val="22"/>
          <w:szCs w:val="22"/>
        </w:rPr>
      </w:pPr>
      <w:r w:rsidRPr="007B3D50">
        <w:rPr>
          <w:rFonts w:ascii="Arial Narrow" w:hAnsi="Arial Narrow"/>
          <w:sz w:val="14"/>
          <w:szCs w:val="18"/>
        </w:rPr>
        <w:tab/>
      </w:r>
      <w:r w:rsidRPr="007B3D50">
        <w:rPr>
          <w:rFonts w:ascii="Arial Narrow" w:hAnsi="Arial Narrow"/>
          <w:sz w:val="16"/>
          <w:szCs w:val="18"/>
        </w:rPr>
        <w:t xml:space="preserve">* </w:t>
      </w:r>
      <w:r w:rsidRPr="007B3D50">
        <w:rPr>
          <w:rFonts w:ascii="Arial Narrow" w:hAnsi="Arial Narrow"/>
          <w:sz w:val="16"/>
          <w:szCs w:val="18"/>
        </w:rPr>
        <w:tab/>
        <w:t xml:space="preserve">Υπολογίζεται ότι θα γίνει επανέκδοση του μεγαλύτερου μέρους των λήξεων του βραχυπρόθεσμου χρέους (έντοκα γραμμάτια και repos). </w:t>
      </w:r>
    </w:p>
    <w:p w:rsidR="00C752D5" w:rsidRDefault="00C752D5">
      <w:pPr>
        <w:rPr>
          <w:sz w:val="22"/>
          <w:szCs w:val="22"/>
        </w:rPr>
      </w:pPr>
      <w:r>
        <w:rPr>
          <w:sz w:val="22"/>
          <w:szCs w:val="22"/>
        </w:rPr>
        <w:br w:type="page"/>
      </w:r>
    </w:p>
    <w:p w:rsidR="008D2F78" w:rsidRPr="00267B5D" w:rsidRDefault="008D2F78" w:rsidP="008D2F78">
      <w:pPr>
        <w:jc w:val="both"/>
        <w:rPr>
          <w:sz w:val="22"/>
          <w:szCs w:val="22"/>
        </w:rPr>
      </w:pPr>
    </w:p>
    <w:p w:rsidR="008D2F78" w:rsidRPr="00221A99" w:rsidRDefault="008D2F78" w:rsidP="008D2F78">
      <w:pPr>
        <w:shd w:val="clear" w:color="auto" w:fill="BFBFBF" w:themeFill="background1" w:themeFillShade="BF"/>
        <w:spacing w:line="235" w:lineRule="auto"/>
        <w:rPr>
          <w:rFonts w:ascii="Arial Narrow" w:hAnsi="Arial Narrow"/>
          <w:b/>
          <w:szCs w:val="26"/>
        </w:rPr>
      </w:pPr>
      <w:r>
        <w:rPr>
          <w:rFonts w:ascii="Arial Narrow" w:hAnsi="Arial Narrow"/>
          <w:b/>
          <w:szCs w:val="26"/>
        </w:rPr>
        <w:t>4.4</w:t>
      </w:r>
      <w:r w:rsidRPr="00221A99">
        <w:rPr>
          <w:rFonts w:ascii="Arial Narrow" w:hAnsi="Arial Narrow"/>
          <w:b/>
          <w:szCs w:val="26"/>
        </w:rPr>
        <w:tab/>
      </w:r>
      <w:r>
        <w:rPr>
          <w:rFonts w:ascii="Arial Narrow" w:hAnsi="Arial Narrow"/>
          <w:b/>
          <w:szCs w:val="26"/>
        </w:rPr>
        <w:t>Μηνιαία κατανομή εσόδων-δαπανών Κρατικού Προϋπολογισμού 2019</w:t>
      </w:r>
    </w:p>
    <w:p w:rsidR="008D2F78" w:rsidRPr="00DE245A" w:rsidRDefault="008D2F78" w:rsidP="008D2F78">
      <w:pPr>
        <w:rPr>
          <w:sz w:val="22"/>
          <w:szCs w:val="22"/>
        </w:rPr>
      </w:pPr>
    </w:p>
    <w:p w:rsidR="008D2F78" w:rsidRDefault="008D2F78" w:rsidP="008D2F78">
      <w:pPr>
        <w:jc w:val="both"/>
        <w:rPr>
          <w:sz w:val="22"/>
          <w:szCs w:val="22"/>
        </w:rPr>
      </w:pPr>
      <w:r>
        <w:rPr>
          <w:sz w:val="22"/>
          <w:szCs w:val="22"/>
        </w:rPr>
        <w:t xml:space="preserve">Στον πίνακα </w:t>
      </w:r>
      <w:r w:rsidR="008F374F" w:rsidRPr="008F374F">
        <w:rPr>
          <w:sz w:val="22"/>
          <w:szCs w:val="22"/>
        </w:rPr>
        <w:t>3.12</w:t>
      </w:r>
      <w:r>
        <w:rPr>
          <w:sz w:val="22"/>
          <w:szCs w:val="22"/>
        </w:rPr>
        <w:t xml:space="preserve"> παρατίθεται ενδεικτική μηνιαία κατανομή των εσόδων και των δαπανών του Κρατ</w:t>
      </w:r>
      <w:r>
        <w:rPr>
          <w:sz w:val="22"/>
          <w:szCs w:val="22"/>
        </w:rPr>
        <w:t>ι</w:t>
      </w:r>
      <w:r>
        <w:rPr>
          <w:sz w:val="22"/>
          <w:szCs w:val="22"/>
        </w:rPr>
        <w:t>κού</w:t>
      </w:r>
      <w:r w:rsidR="00764E1A">
        <w:rPr>
          <w:sz w:val="22"/>
          <w:szCs w:val="22"/>
        </w:rPr>
        <w:t xml:space="preserve"> Προϋπολογισμού για το έτος 2019</w:t>
      </w:r>
      <w:r>
        <w:rPr>
          <w:sz w:val="22"/>
          <w:szCs w:val="22"/>
        </w:rPr>
        <w:t xml:space="preserve"> σε σωρευτική βάση.</w:t>
      </w:r>
    </w:p>
    <w:p w:rsidR="008D2F78" w:rsidRPr="00C95C71" w:rsidRDefault="008D2F78" w:rsidP="008D2F78">
      <w:pPr>
        <w:jc w:val="both"/>
        <w:rPr>
          <w:sz w:val="22"/>
        </w:rPr>
      </w:pPr>
    </w:p>
    <w:tbl>
      <w:tblPr>
        <w:tblW w:w="10140" w:type="dxa"/>
        <w:jc w:val="center"/>
        <w:tblLayout w:type="fixed"/>
        <w:tblCellMar>
          <w:left w:w="28" w:type="dxa"/>
          <w:right w:w="28" w:type="dxa"/>
        </w:tblCellMar>
        <w:tblLook w:val="04A0"/>
      </w:tblPr>
      <w:tblGrid>
        <w:gridCol w:w="240"/>
        <w:gridCol w:w="3160"/>
        <w:gridCol w:w="520"/>
        <w:gridCol w:w="580"/>
        <w:gridCol w:w="600"/>
        <w:gridCol w:w="580"/>
        <w:gridCol w:w="560"/>
        <w:gridCol w:w="580"/>
        <w:gridCol w:w="580"/>
        <w:gridCol w:w="540"/>
        <w:gridCol w:w="560"/>
        <w:gridCol w:w="540"/>
        <w:gridCol w:w="560"/>
        <w:gridCol w:w="540"/>
      </w:tblGrid>
      <w:tr w:rsidR="008D2F78" w:rsidTr="003F07CC">
        <w:trPr>
          <w:trHeight w:val="255"/>
          <w:jc w:val="center"/>
        </w:trPr>
        <w:tc>
          <w:tcPr>
            <w:tcW w:w="10140" w:type="dxa"/>
            <w:gridSpan w:val="14"/>
            <w:tcBorders>
              <w:top w:val="single" w:sz="4" w:space="0" w:color="auto"/>
              <w:left w:val="single" w:sz="4" w:space="0" w:color="auto"/>
              <w:bottom w:val="nil"/>
              <w:right w:val="single" w:sz="4" w:space="0" w:color="auto"/>
            </w:tcBorders>
            <w:shd w:val="clear" w:color="auto" w:fill="404040" w:themeFill="text1" w:themeFillTint="BF"/>
            <w:vAlign w:val="center"/>
            <w:hideMark/>
          </w:tcPr>
          <w:p w:rsidR="008D2F78" w:rsidRPr="004E7715" w:rsidRDefault="008D2F78" w:rsidP="003F07CC">
            <w:pPr>
              <w:spacing w:before="120"/>
              <w:jc w:val="center"/>
              <w:rPr>
                <w:rFonts w:ascii="Arial Narrow" w:hAnsi="Arial Narrow"/>
                <w:b/>
                <w:bCs/>
                <w:color w:val="FFFFFF" w:themeColor="background1"/>
              </w:rPr>
            </w:pPr>
            <w:r>
              <w:rPr>
                <w:sz w:val="22"/>
                <w:szCs w:val="22"/>
              </w:rPr>
              <w:br w:type="page"/>
            </w:r>
            <w:r>
              <w:rPr>
                <w:rFonts w:ascii="Arial Narrow" w:hAnsi="Arial Narrow"/>
                <w:b/>
                <w:bCs/>
                <w:color w:val="FFFFFF" w:themeColor="background1"/>
              </w:rPr>
              <w:t xml:space="preserve">Πίνακας </w:t>
            </w:r>
            <w:r w:rsidR="008F374F">
              <w:rPr>
                <w:rFonts w:ascii="Arial Narrow" w:hAnsi="Arial Narrow"/>
                <w:b/>
                <w:bCs/>
                <w:color w:val="FFFFFF" w:themeColor="background1"/>
              </w:rPr>
              <w:t>3.12</w:t>
            </w:r>
            <w:r>
              <w:rPr>
                <w:rFonts w:ascii="Arial Narrow" w:hAnsi="Arial Narrow"/>
                <w:b/>
                <w:bCs/>
                <w:color w:val="FFFFFF" w:themeColor="background1"/>
              </w:rPr>
              <w:t xml:space="preserve"> Μηνιαία κατανομή εσόδων-δαπανών Κρατικού Προϋπολογισμού έτους 2019</w:t>
            </w:r>
          </w:p>
          <w:p w:rsidR="008D2F78" w:rsidRDefault="008D2F78" w:rsidP="003F07CC">
            <w:pPr>
              <w:jc w:val="center"/>
              <w:rPr>
                <w:rFonts w:ascii="Arial Narrow" w:hAnsi="Arial Narrow"/>
                <w:b/>
                <w:bCs/>
                <w:color w:val="FFFFFF" w:themeColor="background1"/>
              </w:rPr>
            </w:pPr>
            <w:r>
              <w:rPr>
                <w:rFonts w:ascii="Arial Narrow" w:hAnsi="Arial Narrow"/>
                <w:b/>
                <w:bCs/>
                <w:color w:val="FFFFFF" w:themeColor="background1"/>
              </w:rPr>
              <w:t xml:space="preserve">σε σωρευτική </w:t>
            </w:r>
            <w:r w:rsidR="00554660">
              <w:rPr>
                <w:rFonts w:ascii="Arial Narrow" w:hAnsi="Arial Narrow"/>
                <w:b/>
                <w:bCs/>
                <w:color w:val="FFFFFF" w:themeColor="background1"/>
              </w:rPr>
              <w:t xml:space="preserve">ταμειακή </w:t>
            </w:r>
            <w:r>
              <w:rPr>
                <w:rFonts w:ascii="Arial Narrow" w:hAnsi="Arial Narrow"/>
                <w:b/>
                <w:bCs/>
                <w:color w:val="FFFFFF" w:themeColor="background1"/>
              </w:rPr>
              <w:t>βάση</w:t>
            </w:r>
          </w:p>
          <w:p w:rsidR="008D2F78" w:rsidRDefault="008D2F78" w:rsidP="003F07CC">
            <w:pPr>
              <w:spacing w:after="120"/>
              <w:jc w:val="center"/>
              <w:rPr>
                <w:rFonts w:ascii="Arial Narrow" w:hAnsi="Arial Narrow"/>
                <w:b/>
                <w:bCs/>
                <w:color w:val="FFFFFF" w:themeColor="background1"/>
              </w:rPr>
            </w:pPr>
            <w:r>
              <w:rPr>
                <w:rFonts w:ascii="Arial Narrow" w:hAnsi="Arial Narrow"/>
                <w:b/>
                <w:bCs/>
                <w:color w:val="FFFFFF" w:themeColor="background1"/>
              </w:rPr>
              <w:t>(σε εκατ. ευρώ)</w:t>
            </w:r>
          </w:p>
        </w:tc>
      </w:tr>
      <w:tr w:rsidR="008D2F78" w:rsidTr="003F07CC">
        <w:trPr>
          <w:trHeight w:val="255"/>
          <w:jc w:val="center"/>
        </w:trPr>
        <w:tc>
          <w:tcPr>
            <w:tcW w:w="240" w:type="dxa"/>
            <w:tcBorders>
              <w:top w:val="single" w:sz="4" w:space="0" w:color="auto"/>
              <w:left w:val="single" w:sz="4" w:space="0" w:color="auto"/>
              <w:bottom w:val="nil"/>
              <w:right w:val="nil"/>
            </w:tcBorders>
            <w:vAlign w:val="center"/>
            <w:hideMark/>
          </w:tcPr>
          <w:p w:rsidR="008D2F78" w:rsidRDefault="008D2F78" w:rsidP="003F07CC">
            <w:pPr>
              <w:jc w:val="right"/>
              <w:rPr>
                <w:rFonts w:ascii="Arial Narrow" w:hAnsi="Arial Narrow"/>
                <w:color w:val="000000"/>
                <w:sz w:val="16"/>
                <w:szCs w:val="16"/>
              </w:rPr>
            </w:pPr>
            <w:r>
              <w:rPr>
                <w:rFonts w:ascii="Arial Narrow" w:hAnsi="Arial Narrow"/>
                <w:color w:val="000000"/>
                <w:sz w:val="16"/>
                <w:szCs w:val="16"/>
              </w:rPr>
              <w:t> </w:t>
            </w:r>
          </w:p>
        </w:tc>
        <w:tc>
          <w:tcPr>
            <w:tcW w:w="316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2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8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60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8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6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8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8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4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6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4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60" w:type="dxa"/>
            <w:tcBorders>
              <w:top w:val="single" w:sz="4" w:space="0" w:color="auto"/>
              <w:left w:val="nil"/>
              <w:bottom w:val="nil"/>
              <w:right w:val="nil"/>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c>
          <w:tcPr>
            <w:tcW w:w="540" w:type="dxa"/>
            <w:tcBorders>
              <w:top w:val="single" w:sz="4" w:space="0" w:color="auto"/>
              <w:left w:val="nil"/>
              <w:bottom w:val="nil"/>
              <w:right w:val="single" w:sz="4" w:space="0" w:color="auto"/>
            </w:tcBorders>
            <w:vAlign w:val="center"/>
            <w:hideMark/>
          </w:tcPr>
          <w:p w:rsidR="008D2F78" w:rsidRDefault="008D2F78" w:rsidP="003F07CC">
            <w:pPr>
              <w:jc w:val="center"/>
              <w:rPr>
                <w:rFonts w:ascii="Arial Narrow" w:hAnsi="Arial Narrow"/>
                <w:b/>
                <w:bCs/>
                <w:color w:val="000000"/>
                <w:sz w:val="16"/>
                <w:szCs w:val="16"/>
              </w:rPr>
            </w:pPr>
            <w:r>
              <w:rPr>
                <w:rFonts w:ascii="Arial Narrow" w:hAnsi="Arial Narrow"/>
                <w:b/>
                <w:bCs/>
                <w:color w:val="000000"/>
                <w:sz w:val="16"/>
                <w:szCs w:val="16"/>
              </w:rPr>
              <w:t> </w:t>
            </w:r>
          </w:p>
        </w:tc>
      </w:tr>
      <w:tr w:rsidR="008D2F78" w:rsidTr="003F07CC">
        <w:trPr>
          <w:trHeight w:val="255"/>
          <w:jc w:val="center"/>
        </w:trPr>
        <w:tc>
          <w:tcPr>
            <w:tcW w:w="240" w:type="dxa"/>
            <w:tcBorders>
              <w:top w:val="single" w:sz="4" w:space="0" w:color="auto"/>
              <w:left w:val="single" w:sz="4" w:space="0" w:color="auto"/>
              <w:bottom w:val="single" w:sz="4" w:space="0" w:color="auto"/>
              <w:right w:val="nil"/>
            </w:tcBorders>
            <w:vAlign w:val="center"/>
            <w:hideMark/>
          </w:tcPr>
          <w:p w:rsidR="008D2F78" w:rsidRDefault="008D2F78" w:rsidP="003F07CC">
            <w:pPr>
              <w:spacing w:before="120" w:after="120"/>
              <w:jc w:val="right"/>
              <w:rPr>
                <w:rFonts w:ascii="Arial Narrow" w:hAnsi="Arial Narrow"/>
                <w:color w:val="000000"/>
                <w:sz w:val="14"/>
                <w:szCs w:val="14"/>
              </w:rPr>
            </w:pPr>
            <w:r>
              <w:rPr>
                <w:rFonts w:ascii="Arial Narrow" w:hAnsi="Arial Narrow"/>
                <w:color w:val="000000"/>
                <w:sz w:val="14"/>
                <w:szCs w:val="14"/>
              </w:rPr>
              <w:t> </w:t>
            </w:r>
          </w:p>
        </w:tc>
        <w:tc>
          <w:tcPr>
            <w:tcW w:w="316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color w:val="000000"/>
                <w:sz w:val="14"/>
                <w:szCs w:val="14"/>
              </w:rPr>
            </w:pPr>
            <w:r>
              <w:rPr>
                <w:rFonts w:ascii="Arial Narrow" w:hAnsi="Arial Narrow"/>
                <w:color w:val="000000"/>
                <w:sz w:val="14"/>
                <w:szCs w:val="14"/>
              </w:rPr>
              <w:t> </w:t>
            </w:r>
          </w:p>
        </w:tc>
        <w:tc>
          <w:tcPr>
            <w:tcW w:w="52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Ιαν.</w:t>
            </w:r>
          </w:p>
        </w:tc>
        <w:tc>
          <w:tcPr>
            <w:tcW w:w="58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Φεβρ.</w:t>
            </w:r>
          </w:p>
        </w:tc>
        <w:tc>
          <w:tcPr>
            <w:tcW w:w="60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Μαρ.</w:t>
            </w:r>
          </w:p>
        </w:tc>
        <w:tc>
          <w:tcPr>
            <w:tcW w:w="58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Απρ.</w:t>
            </w:r>
          </w:p>
        </w:tc>
        <w:tc>
          <w:tcPr>
            <w:tcW w:w="56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Μάιος</w:t>
            </w:r>
          </w:p>
        </w:tc>
        <w:tc>
          <w:tcPr>
            <w:tcW w:w="58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Ιουν.</w:t>
            </w:r>
          </w:p>
        </w:tc>
        <w:tc>
          <w:tcPr>
            <w:tcW w:w="58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Ιουλ.</w:t>
            </w:r>
          </w:p>
        </w:tc>
        <w:tc>
          <w:tcPr>
            <w:tcW w:w="54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Αυγ.</w:t>
            </w:r>
          </w:p>
        </w:tc>
        <w:tc>
          <w:tcPr>
            <w:tcW w:w="56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Σεπ.</w:t>
            </w:r>
          </w:p>
        </w:tc>
        <w:tc>
          <w:tcPr>
            <w:tcW w:w="54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Οκτ.</w:t>
            </w:r>
          </w:p>
        </w:tc>
        <w:tc>
          <w:tcPr>
            <w:tcW w:w="56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Νοεμ.</w:t>
            </w:r>
          </w:p>
        </w:tc>
        <w:tc>
          <w:tcPr>
            <w:tcW w:w="540" w:type="dxa"/>
            <w:tcBorders>
              <w:top w:val="single" w:sz="4" w:space="0" w:color="auto"/>
              <w:left w:val="nil"/>
              <w:bottom w:val="single" w:sz="4" w:space="0" w:color="auto"/>
              <w:right w:val="single" w:sz="4" w:space="0" w:color="auto"/>
            </w:tcBorders>
            <w:vAlign w:val="center"/>
            <w:hideMark/>
          </w:tcPr>
          <w:p w:rsidR="008D2F78" w:rsidRDefault="008D2F78" w:rsidP="003F07CC">
            <w:pPr>
              <w:spacing w:before="120" w:after="120"/>
              <w:jc w:val="center"/>
              <w:rPr>
                <w:rFonts w:ascii="Arial Narrow" w:hAnsi="Arial Narrow"/>
                <w:b/>
                <w:bCs/>
                <w:color w:val="000000"/>
                <w:sz w:val="14"/>
                <w:szCs w:val="14"/>
              </w:rPr>
            </w:pPr>
            <w:r>
              <w:rPr>
                <w:rFonts w:ascii="Arial Narrow" w:hAnsi="Arial Narrow"/>
                <w:b/>
                <w:bCs/>
                <w:color w:val="000000"/>
                <w:sz w:val="14"/>
                <w:szCs w:val="14"/>
              </w:rPr>
              <w:t>Δεκ.</w:t>
            </w:r>
          </w:p>
        </w:tc>
      </w:tr>
      <w:tr w:rsidR="001C6A3E" w:rsidTr="003F07CC">
        <w:trPr>
          <w:trHeight w:val="170"/>
          <w:jc w:val="center"/>
        </w:trPr>
        <w:tc>
          <w:tcPr>
            <w:tcW w:w="240" w:type="dxa"/>
            <w:tcBorders>
              <w:top w:val="single" w:sz="4" w:space="0" w:color="auto"/>
              <w:left w:val="single" w:sz="4" w:space="0" w:color="auto"/>
              <w:bottom w:val="nil"/>
              <w:right w:val="nil"/>
            </w:tcBorders>
            <w:shd w:val="clear" w:color="auto" w:fill="BFBFBF" w:themeFill="background1" w:themeFillShade="BF"/>
            <w:vAlign w:val="center"/>
            <w:hideMark/>
          </w:tcPr>
          <w:p w:rsidR="001C6A3E" w:rsidRPr="005825E4" w:rsidRDefault="001C6A3E" w:rsidP="003F07CC">
            <w:pPr>
              <w:jc w:val="center"/>
              <w:rPr>
                <w:rFonts w:ascii="Arial Narrow" w:hAnsi="Arial Narrow"/>
                <w:b/>
                <w:bCs/>
                <w:sz w:val="14"/>
                <w:szCs w:val="14"/>
              </w:rPr>
            </w:pPr>
            <w:r w:rsidRPr="005825E4">
              <w:rPr>
                <w:rFonts w:ascii="Arial Narrow" w:hAnsi="Arial Narrow"/>
                <w:b/>
                <w:bCs/>
                <w:sz w:val="14"/>
                <w:szCs w:val="14"/>
              </w:rPr>
              <w:t>I.</w:t>
            </w:r>
          </w:p>
        </w:tc>
        <w:tc>
          <w:tcPr>
            <w:tcW w:w="3160" w:type="dxa"/>
            <w:tcBorders>
              <w:top w:val="single" w:sz="4" w:space="0" w:color="auto"/>
              <w:left w:val="nil"/>
              <w:bottom w:val="nil"/>
              <w:right w:val="nil"/>
            </w:tcBorders>
            <w:shd w:val="clear" w:color="auto" w:fill="BFBFBF" w:themeFill="background1" w:themeFillShade="BF"/>
            <w:vAlign w:val="center"/>
            <w:hideMark/>
          </w:tcPr>
          <w:p w:rsidR="001C6A3E" w:rsidRPr="005825E4" w:rsidRDefault="001C6A3E" w:rsidP="003F07CC">
            <w:pPr>
              <w:rPr>
                <w:rFonts w:ascii="Arial Narrow" w:hAnsi="Arial Narrow"/>
                <w:b/>
                <w:bCs/>
                <w:sz w:val="14"/>
                <w:szCs w:val="14"/>
              </w:rPr>
            </w:pPr>
            <w:r w:rsidRPr="005825E4">
              <w:rPr>
                <w:rFonts w:ascii="Arial Narrow" w:hAnsi="Arial Narrow"/>
                <w:b/>
                <w:bCs/>
                <w:sz w:val="14"/>
                <w:szCs w:val="14"/>
              </w:rPr>
              <w:t>Έσοδα Κρατι</w:t>
            </w:r>
            <w:r w:rsidR="001F3E95">
              <w:rPr>
                <w:rFonts w:ascii="Arial Narrow" w:hAnsi="Arial Narrow"/>
                <w:b/>
                <w:bCs/>
                <w:sz w:val="14"/>
                <w:szCs w:val="14"/>
              </w:rPr>
              <w:t>κού Προϋπολογισμού (1+2+3+4+5+6-</w:t>
            </w:r>
            <w:r w:rsidRPr="005825E4">
              <w:rPr>
                <w:rFonts w:ascii="Arial Narrow" w:hAnsi="Arial Narrow"/>
                <w:b/>
                <w:bCs/>
                <w:sz w:val="14"/>
                <w:szCs w:val="14"/>
              </w:rPr>
              <w:t>7)</w:t>
            </w:r>
          </w:p>
        </w:tc>
        <w:tc>
          <w:tcPr>
            <w:tcW w:w="52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4.132</w:t>
            </w:r>
          </w:p>
        </w:tc>
        <w:tc>
          <w:tcPr>
            <w:tcW w:w="58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7.488</w:t>
            </w:r>
          </w:p>
        </w:tc>
        <w:tc>
          <w:tcPr>
            <w:tcW w:w="60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10.654</w:t>
            </w:r>
          </w:p>
        </w:tc>
        <w:tc>
          <w:tcPr>
            <w:tcW w:w="58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14.649</w:t>
            </w:r>
          </w:p>
        </w:tc>
        <w:tc>
          <w:tcPr>
            <w:tcW w:w="56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17.639</w:t>
            </w:r>
          </w:p>
        </w:tc>
        <w:tc>
          <w:tcPr>
            <w:tcW w:w="58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21.509</w:t>
            </w:r>
          </w:p>
        </w:tc>
        <w:tc>
          <w:tcPr>
            <w:tcW w:w="58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26.455</w:t>
            </w:r>
          </w:p>
        </w:tc>
        <w:tc>
          <w:tcPr>
            <w:tcW w:w="54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30.707</w:t>
            </w:r>
          </w:p>
        </w:tc>
        <w:tc>
          <w:tcPr>
            <w:tcW w:w="56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36.931</w:t>
            </w:r>
          </w:p>
        </w:tc>
        <w:tc>
          <w:tcPr>
            <w:tcW w:w="54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41.717</w:t>
            </w:r>
          </w:p>
        </w:tc>
        <w:tc>
          <w:tcPr>
            <w:tcW w:w="560" w:type="dxa"/>
            <w:tcBorders>
              <w:top w:val="single" w:sz="4" w:space="0" w:color="auto"/>
              <w:left w:val="nil"/>
              <w:bottom w:val="nil"/>
              <w:right w:val="nil"/>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46.730</w:t>
            </w:r>
          </w:p>
        </w:tc>
        <w:tc>
          <w:tcPr>
            <w:tcW w:w="540" w:type="dxa"/>
            <w:tcBorders>
              <w:top w:val="single" w:sz="4" w:space="0" w:color="auto"/>
              <w:left w:val="nil"/>
              <w:bottom w:val="nil"/>
              <w:right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53.022</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1</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Φόροι</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4.050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7.351</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10.316</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13.874</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17.131</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20.655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25.715</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30.097</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35.691</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40.620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45.489</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51.127</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2</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Κοινωνικές εισφορές</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34</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39</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44</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49</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53</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58</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3</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Μεταβιβάσεις</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124</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362</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696</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1.133</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1.216</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1.565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1.679</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1.778</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2.688</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2.771</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3.190</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4.049</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4</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Πωλήσεις αγαθών και υπηρεσιών</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74</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116</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174</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206</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254</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339</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395</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435</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500</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573</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621</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773</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5</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Λοιπά τρέχοντα έσοδα</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157</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248</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356</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503</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596</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765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878</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1.002</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1.160</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1.258</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1.378</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1.500</w:t>
            </w:r>
          </w:p>
        </w:tc>
      </w:tr>
      <w:tr w:rsidR="001C6A3E" w:rsidTr="00C704DF">
        <w:trPr>
          <w:trHeight w:val="170"/>
          <w:jc w:val="center"/>
        </w:trPr>
        <w:tc>
          <w:tcPr>
            <w:tcW w:w="240" w:type="dxa"/>
            <w:tcBorders>
              <w:top w:val="nil"/>
              <w:left w:val="single" w:sz="4" w:space="0" w:color="auto"/>
              <w:bottom w:val="nil"/>
              <w:right w:val="nil"/>
            </w:tcBorders>
            <w:vAlign w:val="bottom"/>
            <w:hideMark/>
          </w:tcPr>
          <w:p w:rsidR="001C6A3E" w:rsidRPr="005825E4" w:rsidRDefault="001C6A3E" w:rsidP="003F07CC">
            <w:pPr>
              <w:jc w:val="center"/>
              <w:rPr>
                <w:rFonts w:ascii="Arial Narrow" w:hAnsi="Arial Narrow"/>
                <w:i/>
                <w:iCs/>
                <w:sz w:val="14"/>
                <w:szCs w:val="14"/>
              </w:rPr>
            </w:pPr>
            <w:r w:rsidRPr="005825E4">
              <w:rPr>
                <w:rFonts w:ascii="Arial Narrow" w:hAnsi="Arial Narrow"/>
                <w:i/>
                <w:iCs/>
                <w:sz w:val="14"/>
                <w:szCs w:val="14"/>
              </w:rPr>
              <w:t>5α</w:t>
            </w:r>
          </w:p>
        </w:tc>
        <w:tc>
          <w:tcPr>
            <w:tcW w:w="3160" w:type="dxa"/>
            <w:vAlign w:val="bottom"/>
            <w:hideMark/>
          </w:tcPr>
          <w:p w:rsidR="001C6A3E" w:rsidRPr="005825E4" w:rsidRDefault="001C6A3E" w:rsidP="003F07CC">
            <w:pPr>
              <w:rPr>
                <w:rFonts w:ascii="Arial Narrow" w:hAnsi="Arial Narrow"/>
                <w:i/>
                <w:iCs/>
                <w:sz w:val="14"/>
                <w:szCs w:val="14"/>
              </w:rPr>
            </w:pPr>
            <w:r w:rsidRPr="005825E4">
              <w:rPr>
                <w:rFonts w:ascii="Arial Narrow" w:hAnsi="Arial Narrow"/>
                <w:i/>
                <w:iCs/>
                <w:sz w:val="14"/>
                <w:szCs w:val="14"/>
              </w:rPr>
              <w:t>εκ των οποίων: Επιστροφές δαπανών για τόκους</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6</w:t>
            </w:r>
          </w:p>
        </w:tc>
        <w:tc>
          <w:tcPr>
            <w:tcW w:w="3160" w:type="dxa"/>
            <w:vAlign w:val="bottom"/>
            <w:hideMark/>
          </w:tcPr>
          <w:p w:rsidR="001C6A3E" w:rsidRPr="005825E4" w:rsidRDefault="006D1BDF" w:rsidP="00554660">
            <w:pPr>
              <w:rPr>
                <w:rFonts w:ascii="Arial Narrow" w:hAnsi="Arial Narrow"/>
                <w:sz w:val="14"/>
                <w:szCs w:val="14"/>
              </w:rPr>
            </w:pPr>
            <w:r>
              <w:rPr>
                <w:rFonts w:ascii="Arial Narrow" w:hAnsi="Arial Narrow"/>
                <w:sz w:val="14"/>
                <w:szCs w:val="14"/>
              </w:rPr>
              <w:t>Πωλήσεις παγί</w:t>
            </w:r>
            <w:r w:rsidR="001C6A3E">
              <w:rPr>
                <w:rFonts w:ascii="Arial Narrow" w:hAnsi="Arial Narrow"/>
                <w:sz w:val="14"/>
                <w:szCs w:val="14"/>
              </w:rPr>
              <w:t>ων</w:t>
            </w:r>
            <w:r w:rsidR="001C6A3E" w:rsidRPr="005825E4">
              <w:rPr>
                <w:rFonts w:ascii="Arial Narrow" w:hAnsi="Arial Narrow"/>
                <w:sz w:val="14"/>
                <w:szCs w:val="14"/>
              </w:rPr>
              <w:t xml:space="preserve"> </w:t>
            </w:r>
            <w:r w:rsidR="001C6A3E">
              <w:rPr>
                <w:rFonts w:ascii="Arial Narrow" w:hAnsi="Arial Narrow"/>
                <w:sz w:val="14"/>
                <w:szCs w:val="14"/>
              </w:rPr>
              <w:t>περιουσιακών στοιχείων</w:t>
            </w:r>
            <w:r w:rsidR="001C6A3E" w:rsidRPr="005825E4">
              <w:rPr>
                <w:rFonts w:ascii="Arial Narrow" w:hAnsi="Arial Narrow"/>
                <w:sz w:val="14"/>
                <w:szCs w:val="14"/>
              </w:rPr>
              <w:t xml:space="preserve"> </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8</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13</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17</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20</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22</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23</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335</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7</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Επιστροφές εσόδων</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278</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603</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908</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1.093</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1.591</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1.855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2.259</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2.661</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3.172</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3.575</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4.026</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4.818</w:t>
            </w:r>
          </w:p>
        </w:tc>
      </w:tr>
      <w:tr w:rsidR="001C6A3E" w:rsidTr="003F07CC">
        <w:trPr>
          <w:trHeight w:val="170"/>
          <w:jc w:val="center"/>
        </w:trPr>
        <w:tc>
          <w:tcPr>
            <w:tcW w:w="240" w:type="dxa"/>
            <w:tcBorders>
              <w:top w:val="nil"/>
              <w:left w:val="single" w:sz="4" w:space="0" w:color="auto"/>
              <w:bottom w:val="nil"/>
              <w:right w:val="nil"/>
            </w:tcBorders>
            <w:shd w:val="clear" w:color="auto" w:fill="BFBFBF" w:themeFill="background1" w:themeFillShade="BF"/>
            <w:hideMark/>
          </w:tcPr>
          <w:p w:rsidR="001C6A3E" w:rsidRPr="005825E4" w:rsidRDefault="001C6A3E" w:rsidP="003F07CC">
            <w:pPr>
              <w:jc w:val="center"/>
              <w:rPr>
                <w:rFonts w:ascii="Arial Narrow" w:hAnsi="Arial Narrow"/>
                <w:b/>
                <w:bCs/>
                <w:sz w:val="14"/>
                <w:szCs w:val="14"/>
              </w:rPr>
            </w:pPr>
            <w:r w:rsidRPr="005825E4">
              <w:rPr>
                <w:rFonts w:ascii="Arial Narrow" w:hAnsi="Arial Narrow"/>
                <w:b/>
                <w:bCs/>
                <w:sz w:val="14"/>
                <w:szCs w:val="14"/>
              </w:rPr>
              <w:t>II.</w:t>
            </w:r>
          </w:p>
        </w:tc>
        <w:tc>
          <w:tcPr>
            <w:tcW w:w="3160" w:type="dxa"/>
            <w:shd w:val="clear" w:color="auto" w:fill="BFBFBF" w:themeFill="background1" w:themeFillShade="BF"/>
            <w:vAlign w:val="center"/>
            <w:hideMark/>
          </w:tcPr>
          <w:p w:rsidR="001C6A3E" w:rsidRPr="005825E4" w:rsidRDefault="001C6A3E" w:rsidP="003F07CC">
            <w:pPr>
              <w:rPr>
                <w:rFonts w:ascii="Arial Narrow" w:hAnsi="Arial Narrow"/>
                <w:b/>
                <w:bCs/>
                <w:sz w:val="14"/>
                <w:szCs w:val="14"/>
              </w:rPr>
            </w:pPr>
            <w:r w:rsidRPr="005825E4">
              <w:rPr>
                <w:rFonts w:ascii="Arial Narrow" w:hAnsi="Arial Narrow"/>
                <w:b/>
                <w:bCs/>
                <w:sz w:val="14"/>
                <w:szCs w:val="14"/>
              </w:rPr>
              <w:t>Δαπάνες Κρατικού Προϋπολογισμού (1+2+3+4+5+6+7+8+9+10)</w:t>
            </w:r>
          </w:p>
        </w:tc>
        <w:tc>
          <w:tcPr>
            <w:tcW w:w="52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5.344</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9.563</w:t>
            </w:r>
          </w:p>
        </w:tc>
        <w:tc>
          <w:tcPr>
            <w:tcW w:w="60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14.292</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18.301</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22.249</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27.186</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31.969</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36.569</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41.222</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45.505</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50.566</w:t>
            </w:r>
          </w:p>
        </w:tc>
        <w:tc>
          <w:tcPr>
            <w:tcW w:w="540" w:type="dxa"/>
            <w:tcBorders>
              <w:top w:val="nil"/>
              <w:left w:val="nil"/>
              <w:bottom w:val="nil"/>
              <w:right w:val="single" w:sz="4" w:space="0" w:color="auto"/>
            </w:tcBorders>
            <w:shd w:val="clear" w:color="auto" w:fill="BFBFBF" w:themeFill="background1" w:themeFillShade="BF"/>
            <w:vAlign w:val="center"/>
            <w:hideMark/>
          </w:tcPr>
          <w:p w:rsidR="001C6A3E" w:rsidRPr="001C6A3E" w:rsidRDefault="00623EE2" w:rsidP="001C6A3E">
            <w:pPr>
              <w:ind w:right="57"/>
              <w:jc w:val="right"/>
              <w:rPr>
                <w:rFonts w:ascii="Arial Narrow" w:hAnsi="Arial Narrow"/>
                <w:b/>
                <w:bCs/>
                <w:sz w:val="14"/>
                <w:szCs w:val="14"/>
              </w:rPr>
            </w:pPr>
            <w:r>
              <w:rPr>
                <w:rFonts w:ascii="Arial Narrow" w:hAnsi="Arial Narrow"/>
                <w:b/>
                <w:bCs/>
                <w:sz w:val="14"/>
                <w:szCs w:val="14"/>
              </w:rPr>
              <w:t>57.79</w:t>
            </w:r>
            <w:r w:rsidR="001C6A3E" w:rsidRPr="001C6A3E">
              <w:rPr>
                <w:rFonts w:ascii="Arial Narrow" w:hAnsi="Arial Narrow"/>
                <w:b/>
                <w:bCs/>
                <w:sz w:val="14"/>
                <w:szCs w:val="14"/>
              </w:rPr>
              <w:t>6</w:t>
            </w:r>
          </w:p>
        </w:tc>
      </w:tr>
      <w:tr w:rsidR="001C6A3E" w:rsidTr="00C704DF">
        <w:trPr>
          <w:trHeight w:val="170"/>
          <w:jc w:val="center"/>
        </w:trPr>
        <w:tc>
          <w:tcPr>
            <w:tcW w:w="240" w:type="dxa"/>
            <w:tcBorders>
              <w:top w:val="nil"/>
              <w:left w:val="single" w:sz="4" w:space="0" w:color="auto"/>
              <w:bottom w:val="nil"/>
              <w:right w:val="nil"/>
            </w:tcBorders>
            <w:shd w:val="clear" w:color="auto" w:fill="auto"/>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1</w:t>
            </w:r>
          </w:p>
        </w:tc>
        <w:tc>
          <w:tcPr>
            <w:tcW w:w="3160" w:type="dxa"/>
            <w:shd w:val="clear" w:color="auto" w:fill="auto"/>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 xml:space="preserve">Παροχές σε εργαζομένους </w:t>
            </w:r>
          </w:p>
        </w:tc>
        <w:tc>
          <w:tcPr>
            <w:tcW w:w="52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1.070</w:t>
            </w:r>
          </w:p>
        </w:tc>
        <w:tc>
          <w:tcPr>
            <w:tcW w:w="58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2.154</w:t>
            </w:r>
          </w:p>
        </w:tc>
        <w:tc>
          <w:tcPr>
            <w:tcW w:w="60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3.239</w:t>
            </w:r>
          </w:p>
        </w:tc>
        <w:tc>
          <w:tcPr>
            <w:tcW w:w="58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4.324</w:t>
            </w:r>
          </w:p>
        </w:tc>
        <w:tc>
          <w:tcPr>
            <w:tcW w:w="56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5.408</w:t>
            </w:r>
          </w:p>
        </w:tc>
        <w:tc>
          <w:tcPr>
            <w:tcW w:w="58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6.493</w:t>
            </w:r>
          </w:p>
        </w:tc>
        <w:tc>
          <w:tcPr>
            <w:tcW w:w="58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7.578</w:t>
            </w:r>
          </w:p>
        </w:tc>
        <w:tc>
          <w:tcPr>
            <w:tcW w:w="54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8.662</w:t>
            </w:r>
          </w:p>
        </w:tc>
        <w:tc>
          <w:tcPr>
            <w:tcW w:w="56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9.747</w:t>
            </w:r>
          </w:p>
        </w:tc>
        <w:tc>
          <w:tcPr>
            <w:tcW w:w="54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10.832</w:t>
            </w:r>
          </w:p>
        </w:tc>
        <w:tc>
          <w:tcPr>
            <w:tcW w:w="560" w:type="dxa"/>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11.921</w:t>
            </w:r>
          </w:p>
        </w:tc>
        <w:tc>
          <w:tcPr>
            <w:tcW w:w="540" w:type="dxa"/>
            <w:tcBorders>
              <w:top w:val="nil"/>
              <w:left w:val="nil"/>
              <w:bottom w:val="nil"/>
              <w:right w:val="single" w:sz="4" w:space="0" w:color="auto"/>
            </w:tcBorders>
            <w:shd w:val="clear" w:color="auto" w:fill="auto"/>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13.016</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2</w:t>
            </w:r>
          </w:p>
        </w:tc>
        <w:tc>
          <w:tcPr>
            <w:tcW w:w="3160" w:type="dxa"/>
            <w:vAlign w:val="bottom"/>
            <w:hideMark/>
          </w:tcPr>
          <w:p w:rsidR="001C6A3E" w:rsidRPr="005825E4" w:rsidRDefault="001C6A3E" w:rsidP="003F07CC">
            <w:pPr>
              <w:rPr>
                <w:rFonts w:ascii="Arial Narrow" w:hAnsi="Arial Narrow"/>
                <w:sz w:val="14"/>
                <w:szCs w:val="14"/>
              </w:rPr>
            </w:pPr>
            <w:r>
              <w:rPr>
                <w:rFonts w:ascii="Arial Narrow" w:hAnsi="Arial Narrow"/>
                <w:sz w:val="14"/>
                <w:szCs w:val="14"/>
              </w:rPr>
              <w:t>Κοινωνικές π</w:t>
            </w:r>
            <w:r w:rsidRPr="005825E4">
              <w:rPr>
                <w:rFonts w:ascii="Arial Narrow" w:hAnsi="Arial Narrow"/>
                <w:sz w:val="14"/>
                <w:szCs w:val="14"/>
              </w:rPr>
              <w:t>αροχές</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24</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28</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34</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42</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47</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69</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74</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94</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110</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127</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200</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246</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3</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Μεταβιβάσεις</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1.821</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3.815</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6.061</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8.077</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10.182</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12.257</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14.709</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16.661</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19.326</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21.346</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23.883</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26.104</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4</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Αγορές αγαθών και υπηρεσιών</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52</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134</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212</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336</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528</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656</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731</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807</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924</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1.041</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1.324</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5</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Επιδοτήσεις</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30</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38</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45</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68</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75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83</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106</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113</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120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143</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150</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6</w:t>
            </w:r>
          </w:p>
        </w:tc>
        <w:tc>
          <w:tcPr>
            <w:tcW w:w="3160" w:type="dxa"/>
            <w:vAlign w:val="bottom"/>
            <w:hideMark/>
          </w:tcPr>
          <w:p w:rsidR="001C6A3E" w:rsidRPr="005825E4" w:rsidRDefault="001C6A3E" w:rsidP="003F07CC">
            <w:pPr>
              <w:rPr>
                <w:rFonts w:ascii="Arial Narrow" w:hAnsi="Arial Narrow"/>
                <w:sz w:val="14"/>
                <w:szCs w:val="14"/>
                <w:vertAlign w:val="superscript"/>
              </w:rPr>
            </w:pPr>
            <w:r w:rsidRPr="005825E4">
              <w:rPr>
                <w:rFonts w:ascii="Arial Narrow" w:hAnsi="Arial Narrow"/>
                <w:sz w:val="14"/>
                <w:szCs w:val="14"/>
              </w:rPr>
              <w:t xml:space="preserve">Τόκοι </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1.109</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1.879</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2.678</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2.982</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3.162</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4.105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4.711</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5.590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5.759</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6.101</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6.321</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6.600</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7</w:t>
            </w:r>
          </w:p>
        </w:tc>
        <w:tc>
          <w:tcPr>
            <w:tcW w:w="3160" w:type="dxa"/>
            <w:vAlign w:val="bottom"/>
            <w:hideMark/>
          </w:tcPr>
          <w:p w:rsidR="001C6A3E" w:rsidRPr="005825E4" w:rsidRDefault="001C6A3E" w:rsidP="003F07CC">
            <w:pPr>
              <w:rPr>
                <w:rFonts w:ascii="Arial Narrow" w:hAnsi="Arial Narrow"/>
                <w:sz w:val="14"/>
                <w:szCs w:val="14"/>
              </w:rPr>
            </w:pPr>
            <w:r>
              <w:rPr>
                <w:rFonts w:ascii="Arial Narrow" w:hAnsi="Arial Narrow"/>
                <w:sz w:val="14"/>
                <w:szCs w:val="14"/>
              </w:rPr>
              <w:t>Λοιπές δ</w:t>
            </w:r>
            <w:r w:rsidRPr="005825E4">
              <w:rPr>
                <w:rFonts w:ascii="Arial Narrow" w:hAnsi="Arial Narrow"/>
                <w:sz w:val="14"/>
                <w:szCs w:val="14"/>
              </w:rPr>
              <w:t>απάνες</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24</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51</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8</w:t>
            </w:r>
          </w:p>
        </w:tc>
        <w:tc>
          <w:tcPr>
            <w:tcW w:w="3160" w:type="dxa"/>
            <w:vAlign w:val="bottom"/>
            <w:hideMark/>
          </w:tcPr>
          <w:p w:rsidR="001C6A3E" w:rsidRPr="005825E4" w:rsidRDefault="001C6A3E" w:rsidP="003F07CC">
            <w:pPr>
              <w:rPr>
                <w:rFonts w:ascii="Arial Narrow" w:hAnsi="Arial Narrow"/>
                <w:sz w:val="14"/>
                <w:szCs w:val="14"/>
                <w:vertAlign w:val="superscript"/>
              </w:rPr>
            </w:pPr>
            <w:r w:rsidRPr="005825E4">
              <w:rPr>
                <w:rFonts w:ascii="Arial Narrow" w:hAnsi="Arial Narrow"/>
                <w:sz w:val="14"/>
                <w:szCs w:val="14"/>
              </w:rPr>
              <w:t>Πιστώσεις υπό κατανομή</w:t>
            </w:r>
            <w:r w:rsidR="00584BEB">
              <w:rPr>
                <w:rFonts w:ascii="Arial Narrow" w:hAnsi="Arial Narrow"/>
                <w:sz w:val="14"/>
                <w:szCs w:val="14"/>
                <w:vertAlign w:val="superscript"/>
              </w:rPr>
              <w:t>1</w:t>
            </w:r>
            <w:r>
              <w:rPr>
                <w:rFonts w:ascii="Arial Narrow" w:hAnsi="Arial Narrow"/>
                <w:sz w:val="14"/>
                <w:szCs w:val="14"/>
                <w:vertAlign w:val="superscript"/>
              </w:rPr>
              <w:t xml:space="preserve"> </w:t>
            </w:r>
            <w:r w:rsidR="00584BEB">
              <w:rPr>
                <w:rFonts w:ascii="Arial Narrow" w:hAnsi="Arial Narrow"/>
                <w:sz w:val="14"/>
                <w:szCs w:val="14"/>
                <w:vertAlign w:val="superscript"/>
              </w:rPr>
              <w:t>, 2</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1.287</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1.563</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1.923</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2.404</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2.794</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3.275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3.735</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4.266</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4.861</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5.517</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6.457</w:t>
            </w:r>
          </w:p>
        </w:tc>
        <w:tc>
          <w:tcPr>
            <w:tcW w:w="540" w:type="dxa"/>
            <w:tcBorders>
              <w:top w:val="nil"/>
              <w:left w:val="nil"/>
              <w:bottom w:val="nil"/>
              <w:right w:val="single" w:sz="4" w:space="0" w:color="auto"/>
            </w:tcBorders>
            <w:vAlign w:val="bottom"/>
            <w:hideMark/>
          </w:tcPr>
          <w:p w:rsidR="001C6A3E" w:rsidRPr="001C6A3E" w:rsidRDefault="00623EE2" w:rsidP="001C6A3E">
            <w:pPr>
              <w:ind w:right="57"/>
              <w:jc w:val="right"/>
              <w:rPr>
                <w:rFonts w:ascii="Arial Narrow" w:hAnsi="Arial Narrow"/>
                <w:sz w:val="14"/>
                <w:szCs w:val="14"/>
              </w:rPr>
            </w:pPr>
            <w:r>
              <w:rPr>
                <w:rFonts w:ascii="Arial Narrow" w:hAnsi="Arial Narrow"/>
                <w:sz w:val="14"/>
                <w:szCs w:val="14"/>
              </w:rPr>
              <w:t>9.68</w:t>
            </w:r>
            <w:r w:rsidR="001C6A3E" w:rsidRPr="001C6A3E">
              <w:rPr>
                <w:rFonts w:ascii="Arial Narrow" w:hAnsi="Arial Narrow"/>
                <w:sz w:val="14"/>
                <w:szCs w:val="14"/>
              </w:rPr>
              <w:t>7</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9</w:t>
            </w:r>
          </w:p>
        </w:tc>
        <w:tc>
          <w:tcPr>
            <w:tcW w:w="3160" w:type="dxa"/>
            <w:vAlign w:val="bottom"/>
            <w:hideMark/>
          </w:tcPr>
          <w:p w:rsidR="001C6A3E" w:rsidRPr="005825E4" w:rsidRDefault="006D1BDF" w:rsidP="00554660">
            <w:pPr>
              <w:rPr>
                <w:rFonts w:ascii="Arial Narrow" w:hAnsi="Arial Narrow"/>
                <w:sz w:val="14"/>
                <w:szCs w:val="14"/>
              </w:rPr>
            </w:pPr>
            <w:r>
              <w:rPr>
                <w:rFonts w:ascii="Arial Narrow" w:hAnsi="Arial Narrow"/>
                <w:sz w:val="14"/>
                <w:szCs w:val="14"/>
              </w:rPr>
              <w:t>Αγορές παγί</w:t>
            </w:r>
            <w:r w:rsidR="001C6A3E">
              <w:rPr>
                <w:rFonts w:ascii="Arial Narrow" w:hAnsi="Arial Narrow"/>
                <w:sz w:val="14"/>
                <w:szCs w:val="14"/>
              </w:rPr>
              <w:t>ων</w:t>
            </w:r>
            <w:r w:rsidR="001C6A3E" w:rsidRPr="005825E4">
              <w:rPr>
                <w:rFonts w:ascii="Arial Narrow" w:hAnsi="Arial Narrow"/>
                <w:sz w:val="14"/>
                <w:szCs w:val="14"/>
              </w:rPr>
              <w:t xml:space="preserve"> περιουσιακ</w:t>
            </w:r>
            <w:r w:rsidR="001C6A3E">
              <w:rPr>
                <w:rFonts w:ascii="Arial Narrow" w:hAnsi="Arial Narrow"/>
                <w:sz w:val="14"/>
                <w:szCs w:val="14"/>
              </w:rPr>
              <w:t>ών στοιχείων</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19</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42</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185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216</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251</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385</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422</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458</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497</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536</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575</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617</w:t>
            </w:r>
          </w:p>
        </w:tc>
      </w:tr>
      <w:tr w:rsidR="001C6A3E" w:rsidTr="00C704DF">
        <w:trPr>
          <w:trHeight w:val="170"/>
          <w:jc w:val="center"/>
        </w:trPr>
        <w:tc>
          <w:tcPr>
            <w:tcW w:w="240" w:type="dxa"/>
            <w:tcBorders>
              <w:top w:val="nil"/>
              <w:left w:val="single" w:sz="4" w:space="0" w:color="auto"/>
              <w:bottom w:val="nil"/>
              <w:right w:val="nil"/>
            </w:tcBorders>
            <w:vAlign w:val="center"/>
            <w:hideMark/>
          </w:tcPr>
          <w:p w:rsidR="001C6A3E" w:rsidRPr="005825E4" w:rsidRDefault="001C6A3E" w:rsidP="003F07CC">
            <w:pPr>
              <w:jc w:val="center"/>
              <w:rPr>
                <w:rFonts w:ascii="Arial Narrow" w:hAnsi="Arial Narrow"/>
                <w:sz w:val="14"/>
                <w:szCs w:val="14"/>
              </w:rPr>
            </w:pPr>
            <w:r w:rsidRPr="005825E4">
              <w:rPr>
                <w:rFonts w:ascii="Arial Narrow" w:hAnsi="Arial Narrow"/>
                <w:sz w:val="14"/>
                <w:szCs w:val="14"/>
              </w:rPr>
              <w:t>10</w:t>
            </w:r>
          </w:p>
        </w:tc>
        <w:tc>
          <w:tcPr>
            <w:tcW w:w="3160" w:type="dxa"/>
            <w:vAlign w:val="bottom"/>
            <w:hideMark/>
          </w:tcPr>
          <w:p w:rsidR="001C6A3E" w:rsidRPr="005825E4" w:rsidRDefault="001C6A3E" w:rsidP="003F07CC">
            <w:pPr>
              <w:rPr>
                <w:rFonts w:ascii="Arial Narrow" w:hAnsi="Arial Narrow"/>
                <w:sz w:val="14"/>
                <w:szCs w:val="14"/>
              </w:rPr>
            </w:pPr>
            <w:r w:rsidRPr="005825E4">
              <w:rPr>
                <w:rFonts w:ascii="Arial Narrow" w:hAnsi="Arial Narrow"/>
                <w:sz w:val="14"/>
                <w:szCs w:val="14"/>
              </w:rPr>
              <w:t>Τιμαλφή</w:t>
            </w:r>
          </w:p>
        </w:tc>
        <w:tc>
          <w:tcPr>
            <w:tcW w:w="52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60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8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4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60" w:type="dxa"/>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c>
          <w:tcPr>
            <w:tcW w:w="540" w:type="dxa"/>
            <w:tcBorders>
              <w:top w:val="nil"/>
              <w:left w:val="nil"/>
              <w:bottom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r w:rsidRPr="001C6A3E">
              <w:rPr>
                <w:rFonts w:ascii="Arial Narrow" w:hAnsi="Arial Narrow"/>
                <w:sz w:val="14"/>
                <w:szCs w:val="14"/>
              </w:rPr>
              <w:t>0</w:t>
            </w:r>
          </w:p>
        </w:tc>
      </w:tr>
      <w:tr w:rsidR="001C6A3E" w:rsidTr="003F07CC">
        <w:trPr>
          <w:trHeight w:val="170"/>
          <w:jc w:val="center"/>
        </w:trPr>
        <w:tc>
          <w:tcPr>
            <w:tcW w:w="240" w:type="dxa"/>
            <w:tcBorders>
              <w:top w:val="nil"/>
              <w:left w:val="single" w:sz="4" w:space="0" w:color="auto"/>
              <w:bottom w:val="nil"/>
              <w:right w:val="nil"/>
            </w:tcBorders>
            <w:shd w:val="clear" w:color="auto" w:fill="BFBFBF" w:themeFill="background1" w:themeFillShade="BF"/>
            <w:vAlign w:val="center"/>
            <w:hideMark/>
          </w:tcPr>
          <w:p w:rsidR="001C6A3E" w:rsidRPr="005825E4" w:rsidRDefault="001C6A3E" w:rsidP="003F07CC">
            <w:pPr>
              <w:jc w:val="center"/>
              <w:rPr>
                <w:rFonts w:ascii="Arial Narrow" w:hAnsi="Arial Narrow"/>
                <w:b/>
                <w:bCs/>
                <w:sz w:val="14"/>
                <w:szCs w:val="14"/>
              </w:rPr>
            </w:pPr>
            <w:r w:rsidRPr="005825E4">
              <w:rPr>
                <w:rFonts w:ascii="Arial Narrow" w:hAnsi="Arial Narrow"/>
                <w:b/>
                <w:bCs/>
                <w:sz w:val="14"/>
                <w:szCs w:val="14"/>
              </w:rPr>
              <w:t>III.</w:t>
            </w:r>
          </w:p>
        </w:tc>
        <w:tc>
          <w:tcPr>
            <w:tcW w:w="3160" w:type="dxa"/>
            <w:shd w:val="clear" w:color="auto" w:fill="BFBFBF" w:themeFill="background1" w:themeFillShade="BF"/>
            <w:vAlign w:val="center"/>
            <w:hideMark/>
          </w:tcPr>
          <w:p w:rsidR="001C6A3E" w:rsidRPr="005825E4" w:rsidRDefault="001C6A3E" w:rsidP="003F07CC">
            <w:pPr>
              <w:rPr>
                <w:rFonts w:ascii="Arial Narrow" w:hAnsi="Arial Narrow"/>
                <w:b/>
                <w:bCs/>
                <w:sz w:val="14"/>
                <w:szCs w:val="14"/>
              </w:rPr>
            </w:pPr>
            <w:r w:rsidRPr="005825E4">
              <w:rPr>
                <w:rFonts w:ascii="Arial Narrow" w:hAnsi="Arial Narrow"/>
                <w:b/>
                <w:bCs/>
                <w:sz w:val="14"/>
                <w:szCs w:val="14"/>
              </w:rPr>
              <w:t>Ταμειακό Ισοζύγιο Κρατικού Προϋπολογισμού (I-II)</w:t>
            </w:r>
          </w:p>
        </w:tc>
        <w:tc>
          <w:tcPr>
            <w:tcW w:w="52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-1.212</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-2.075</w:t>
            </w:r>
          </w:p>
        </w:tc>
        <w:tc>
          <w:tcPr>
            <w:tcW w:w="60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-3.638</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-3.652</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-4.609</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-5.678</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-5.514</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-5.862</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-4.292</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-3.787</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-3.837</w:t>
            </w:r>
          </w:p>
        </w:tc>
        <w:tc>
          <w:tcPr>
            <w:tcW w:w="540" w:type="dxa"/>
            <w:tcBorders>
              <w:top w:val="nil"/>
              <w:left w:val="nil"/>
              <w:bottom w:val="nil"/>
              <w:right w:val="single" w:sz="4" w:space="0" w:color="auto"/>
            </w:tcBorders>
            <w:shd w:val="clear" w:color="auto" w:fill="BFBFBF" w:themeFill="background1" w:themeFillShade="BF"/>
            <w:vAlign w:val="center"/>
            <w:hideMark/>
          </w:tcPr>
          <w:p w:rsidR="001C6A3E" w:rsidRPr="001C6A3E" w:rsidRDefault="00623EE2" w:rsidP="001C6A3E">
            <w:pPr>
              <w:ind w:right="57"/>
              <w:jc w:val="right"/>
              <w:rPr>
                <w:rFonts w:ascii="Arial Narrow" w:hAnsi="Arial Narrow"/>
                <w:b/>
                <w:bCs/>
                <w:sz w:val="14"/>
                <w:szCs w:val="14"/>
              </w:rPr>
            </w:pPr>
            <w:r>
              <w:rPr>
                <w:rFonts w:ascii="Arial Narrow" w:hAnsi="Arial Narrow"/>
                <w:b/>
                <w:bCs/>
                <w:sz w:val="14"/>
                <w:szCs w:val="14"/>
              </w:rPr>
              <w:t>-4.77</w:t>
            </w:r>
            <w:r w:rsidR="001C6A3E" w:rsidRPr="001C6A3E">
              <w:rPr>
                <w:rFonts w:ascii="Arial Narrow" w:hAnsi="Arial Narrow"/>
                <w:b/>
                <w:bCs/>
                <w:sz w:val="14"/>
                <w:szCs w:val="14"/>
              </w:rPr>
              <w:t>4</w:t>
            </w:r>
          </w:p>
        </w:tc>
      </w:tr>
      <w:tr w:rsidR="001C6A3E" w:rsidTr="00C704DF">
        <w:trPr>
          <w:trHeight w:val="170"/>
          <w:jc w:val="center"/>
        </w:trPr>
        <w:tc>
          <w:tcPr>
            <w:tcW w:w="240" w:type="dxa"/>
            <w:tcBorders>
              <w:top w:val="nil"/>
              <w:left w:val="single" w:sz="4" w:space="0" w:color="auto"/>
              <w:right w:val="nil"/>
            </w:tcBorders>
            <w:vAlign w:val="bottom"/>
            <w:hideMark/>
          </w:tcPr>
          <w:p w:rsidR="001C6A3E" w:rsidRPr="005825E4" w:rsidRDefault="001C6A3E" w:rsidP="003F07CC">
            <w:pPr>
              <w:rPr>
                <w:rFonts w:ascii="Arial Narrow" w:hAnsi="Arial Narrow"/>
                <w:sz w:val="14"/>
                <w:szCs w:val="14"/>
              </w:rPr>
            </w:pPr>
          </w:p>
        </w:tc>
        <w:tc>
          <w:tcPr>
            <w:tcW w:w="3160" w:type="dxa"/>
            <w:vAlign w:val="bottom"/>
            <w:hideMark/>
          </w:tcPr>
          <w:p w:rsidR="001C6A3E" w:rsidRPr="005825E4" w:rsidRDefault="001C6A3E" w:rsidP="003F07CC">
            <w:pPr>
              <w:rPr>
                <w:rFonts w:ascii="Arial Narrow" w:hAnsi="Arial Narrow"/>
                <w:sz w:val="14"/>
                <w:szCs w:val="14"/>
              </w:rPr>
            </w:pPr>
          </w:p>
        </w:tc>
        <w:tc>
          <w:tcPr>
            <w:tcW w:w="520" w:type="dxa"/>
            <w:vAlign w:val="bottom"/>
            <w:hideMark/>
          </w:tcPr>
          <w:p w:rsidR="001C6A3E" w:rsidRPr="001C6A3E" w:rsidRDefault="001C6A3E" w:rsidP="001C6A3E">
            <w:pPr>
              <w:ind w:right="57"/>
              <w:jc w:val="right"/>
              <w:rPr>
                <w:rFonts w:ascii="Arial Narrow" w:hAnsi="Arial Narrow"/>
                <w:sz w:val="14"/>
                <w:szCs w:val="14"/>
              </w:rPr>
            </w:pPr>
          </w:p>
        </w:tc>
        <w:tc>
          <w:tcPr>
            <w:tcW w:w="580" w:type="dxa"/>
            <w:vAlign w:val="bottom"/>
            <w:hideMark/>
          </w:tcPr>
          <w:p w:rsidR="001C6A3E" w:rsidRPr="001C6A3E" w:rsidRDefault="001C6A3E" w:rsidP="001C6A3E">
            <w:pPr>
              <w:ind w:right="57"/>
              <w:jc w:val="right"/>
              <w:rPr>
                <w:rFonts w:ascii="Arial Narrow" w:hAnsi="Arial Narrow"/>
                <w:sz w:val="14"/>
                <w:szCs w:val="14"/>
              </w:rPr>
            </w:pPr>
          </w:p>
        </w:tc>
        <w:tc>
          <w:tcPr>
            <w:tcW w:w="600" w:type="dxa"/>
            <w:vAlign w:val="bottom"/>
            <w:hideMark/>
          </w:tcPr>
          <w:p w:rsidR="001C6A3E" w:rsidRPr="001C6A3E" w:rsidRDefault="001C6A3E" w:rsidP="001C6A3E">
            <w:pPr>
              <w:ind w:right="57"/>
              <w:jc w:val="right"/>
              <w:rPr>
                <w:rFonts w:ascii="Arial Narrow" w:hAnsi="Arial Narrow"/>
                <w:sz w:val="14"/>
                <w:szCs w:val="14"/>
              </w:rPr>
            </w:pPr>
          </w:p>
        </w:tc>
        <w:tc>
          <w:tcPr>
            <w:tcW w:w="580" w:type="dxa"/>
            <w:vAlign w:val="bottom"/>
            <w:hideMark/>
          </w:tcPr>
          <w:p w:rsidR="001C6A3E" w:rsidRPr="001C6A3E" w:rsidRDefault="001C6A3E" w:rsidP="001C6A3E">
            <w:pPr>
              <w:ind w:right="57"/>
              <w:jc w:val="right"/>
              <w:rPr>
                <w:rFonts w:ascii="Arial Narrow" w:hAnsi="Arial Narrow"/>
                <w:sz w:val="14"/>
                <w:szCs w:val="14"/>
              </w:rPr>
            </w:pPr>
          </w:p>
        </w:tc>
        <w:tc>
          <w:tcPr>
            <w:tcW w:w="560" w:type="dxa"/>
            <w:vAlign w:val="bottom"/>
            <w:hideMark/>
          </w:tcPr>
          <w:p w:rsidR="001C6A3E" w:rsidRPr="001C6A3E" w:rsidRDefault="001C6A3E" w:rsidP="001C6A3E">
            <w:pPr>
              <w:ind w:right="57"/>
              <w:jc w:val="right"/>
              <w:rPr>
                <w:rFonts w:ascii="Arial Narrow" w:hAnsi="Arial Narrow"/>
                <w:sz w:val="14"/>
                <w:szCs w:val="14"/>
              </w:rPr>
            </w:pPr>
          </w:p>
        </w:tc>
        <w:tc>
          <w:tcPr>
            <w:tcW w:w="580" w:type="dxa"/>
            <w:vAlign w:val="bottom"/>
            <w:hideMark/>
          </w:tcPr>
          <w:p w:rsidR="001C6A3E" w:rsidRPr="001C6A3E" w:rsidRDefault="001C6A3E" w:rsidP="001C6A3E">
            <w:pPr>
              <w:ind w:right="57"/>
              <w:jc w:val="right"/>
              <w:rPr>
                <w:rFonts w:ascii="Arial Narrow" w:hAnsi="Arial Narrow"/>
                <w:sz w:val="14"/>
                <w:szCs w:val="14"/>
              </w:rPr>
            </w:pPr>
          </w:p>
        </w:tc>
        <w:tc>
          <w:tcPr>
            <w:tcW w:w="580" w:type="dxa"/>
            <w:vAlign w:val="bottom"/>
            <w:hideMark/>
          </w:tcPr>
          <w:p w:rsidR="001C6A3E" w:rsidRPr="001C6A3E" w:rsidRDefault="001C6A3E" w:rsidP="001C6A3E">
            <w:pPr>
              <w:ind w:right="57"/>
              <w:jc w:val="right"/>
              <w:rPr>
                <w:rFonts w:ascii="Arial Narrow" w:hAnsi="Arial Narrow"/>
                <w:sz w:val="14"/>
                <w:szCs w:val="14"/>
              </w:rPr>
            </w:pPr>
          </w:p>
        </w:tc>
        <w:tc>
          <w:tcPr>
            <w:tcW w:w="540" w:type="dxa"/>
            <w:vAlign w:val="bottom"/>
            <w:hideMark/>
          </w:tcPr>
          <w:p w:rsidR="001C6A3E" w:rsidRPr="001C6A3E" w:rsidRDefault="001C6A3E" w:rsidP="001C6A3E">
            <w:pPr>
              <w:ind w:right="57"/>
              <w:jc w:val="right"/>
              <w:rPr>
                <w:rFonts w:ascii="Arial Narrow" w:hAnsi="Arial Narrow"/>
                <w:sz w:val="14"/>
                <w:szCs w:val="14"/>
              </w:rPr>
            </w:pPr>
          </w:p>
        </w:tc>
        <w:tc>
          <w:tcPr>
            <w:tcW w:w="560" w:type="dxa"/>
            <w:vAlign w:val="bottom"/>
            <w:hideMark/>
          </w:tcPr>
          <w:p w:rsidR="001C6A3E" w:rsidRPr="001C6A3E" w:rsidRDefault="001C6A3E" w:rsidP="001C6A3E">
            <w:pPr>
              <w:ind w:right="57"/>
              <w:jc w:val="right"/>
              <w:rPr>
                <w:rFonts w:ascii="Arial Narrow" w:hAnsi="Arial Narrow"/>
                <w:sz w:val="14"/>
                <w:szCs w:val="14"/>
              </w:rPr>
            </w:pPr>
          </w:p>
        </w:tc>
        <w:tc>
          <w:tcPr>
            <w:tcW w:w="540" w:type="dxa"/>
            <w:vAlign w:val="bottom"/>
            <w:hideMark/>
          </w:tcPr>
          <w:p w:rsidR="001C6A3E" w:rsidRPr="001C6A3E" w:rsidRDefault="001C6A3E" w:rsidP="001C6A3E">
            <w:pPr>
              <w:ind w:right="57"/>
              <w:jc w:val="right"/>
              <w:rPr>
                <w:rFonts w:ascii="Arial Narrow" w:hAnsi="Arial Narrow"/>
                <w:sz w:val="14"/>
                <w:szCs w:val="14"/>
              </w:rPr>
            </w:pPr>
          </w:p>
        </w:tc>
        <w:tc>
          <w:tcPr>
            <w:tcW w:w="560" w:type="dxa"/>
            <w:vAlign w:val="bottom"/>
            <w:hideMark/>
          </w:tcPr>
          <w:p w:rsidR="001C6A3E" w:rsidRPr="001C6A3E" w:rsidRDefault="001C6A3E" w:rsidP="001C6A3E">
            <w:pPr>
              <w:ind w:right="57"/>
              <w:jc w:val="right"/>
              <w:rPr>
                <w:rFonts w:ascii="Arial Narrow" w:hAnsi="Arial Narrow"/>
                <w:sz w:val="14"/>
                <w:szCs w:val="14"/>
              </w:rPr>
            </w:pPr>
          </w:p>
        </w:tc>
        <w:tc>
          <w:tcPr>
            <w:tcW w:w="540" w:type="dxa"/>
            <w:tcBorders>
              <w:top w:val="nil"/>
              <w:left w:val="nil"/>
              <w:right w:val="single" w:sz="4" w:space="0" w:color="auto"/>
            </w:tcBorders>
            <w:vAlign w:val="bottom"/>
            <w:hideMark/>
          </w:tcPr>
          <w:p w:rsidR="001C6A3E" w:rsidRPr="001C6A3E" w:rsidRDefault="001C6A3E" w:rsidP="001C6A3E">
            <w:pPr>
              <w:ind w:right="57"/>
              <w:jc w:val="right"/>
              <w:rPr>
                <w:rFonts w:ascii="Arial Narrow" w:hAnsi="Arial Narrow"/>
                <w:sz w:val="14"/>
                <w:szCs w:val="14"/>
              </w:rPr>
            </w:pPr>
          </w:p>
        </w:tc>
      </w:tr>
      <w:tr w:rsidR="001C6A3E" w:rsidTr="003F07CC">
        <w:trPr>
          <w:trHeight w:val="170"/>
          <w:jc w:val="center"/>
        </w:trPr>
        <w:tc>
          <w:tcPr>
            <w:tcW w:w="240" w:type="dxa"/>
            <w:tcBorders>
              <w:top w:val="nil"/>
              <w:left w:val="single" w:sz="4" w:space="0" w:color="auto"/>
              <w:bottom w:val="single" w:sz="4" w:space="0" w:color="auto"/>
              <w:right w:val="nil"/>
            </w:tcBorders>
            <w:shd w:val="clear" w:color="auto" w:fill="BFBFBF" w:themeFill="background1" w:themeFillShade="BF"/>
            <w:hideMark/>
          </w:tcPr>
          <w:p w:rsidR="001C6A3E" w:rsidRPr="005825E4" w:rsidRDefault="001C6A3E" w:rsidP="003F07CC">
            <w:pPr>
              <w:jc w:val="center"/>
              <w:rPr>
                <w:rFonts w:ascii="Arial Narrow" w:hAnsi="Arial Narrow"/>
                <w:b/>
                <w:bCs/>
                <w:sz w:val="14"/>
                <w:szCs w:val="14"/>
              </w:rPr>
            </w:pPr>
            <w:r w:rsidRPr="005825E4">
              <w:rPr>
                <w:rFonts w:ascii="Arial Narrow" w:hAnsi="Arial Narrow"/>
                <w:b/>
                <w:bCs/>
                <w:sz w:val="14"/>
                <w:szCs w:val="14"/>
              </w:rPr>
              <w:t>IV.</w:t>
            </w:r>
          </w:p>
        </w:tc>
        <w:tc>
          <w:tcPr>
            <w:tcW w:w="3160" w:type="dxa"/>
            <w:tcBorders>
              <w:bottom w:val="single" w:sz="4" w:space="0" w:color="auto"/>
            </w:tcBorders>
            <w:shd w:val="clear" w:color="auto" w:fill="BFBFBF" w:themeFill="background1" w:themeFillShade="BF"/>
            <w:hideMark/>
          </w:tcPr>
          <w:p w:rsidR="001C6A3E" w:rsidRDefault="001C6A3E" w:rsidP="003F07CC">
            <w:pPr>
              <w:rPr>
                <w:rFonts w:ascii="Arial Narrow" w:hAnsi="Arial Narrow"/>
                <w:b/>
                <w:bCs/>
                <w:sz w:val="14"/>
                <w:szCs w:val="14"/>
              </w:rPr>
            </w:pPr>
            <w:r w:rsidRPr="005825E4">
              <w:rPr>
                <w:rFonts w:ascii="Arial Narrow" w:hAnsi="Arial Narrow"/>
                <w:b/>
                <w:bCs/>
                <w:sz w:val="14"/>
                <w:szCs w:val="14"/>
              </w:rPr>
              <w:t>Ταμειακό Πρωτογενές αποτέλεσμα Κρατικού</w:t>
            </w:r>
          </w:p>
          <w:p w:rsidR="001C6A3E" w:rsidRPr="005825E4" w:rsidRDefault="001C6A3E" w:rsidP="003F07CC">
            <w:pPr>
              <w:rPr>
                <w:rFonts w:ascii="Arial Narrow" w:hAnsi="Arial Narrow"/>
                <w:b/>
                <w:bCs/>
                <w:sz w:val="14"/>
                <w:szCs w:val="14"/>
              </w:rPr>
            </w:pPr>
            <w:r w:rsidRPr="005825E4">
              <w:rPr>
                <w:rFonts w:ascii="Arial Narrow" w:hAnsi="Arial Narrow"/>
                <w:b/>
                <w:bCs/>
                <w:sz w:val="14"/>
                <w:szCs w:val="14"/>
              </w:rPr>
              <w:t>Προϋπολογισμού (IIΙ + II.6 - I.5α)</w:t>
            </w:r>
          </w:p>
        </w:tc>
        <w:tc>
          <w:tcPr>
            <w:tcW w:w="52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-103</w:t>
            </w:r>
          </w:p>
        </w:tc>
        <w:tc>
          <w:tcPr>
            <w:tcW w:w="58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-196</w:t>
            </w:r>
          </w:p>
        </w:tc>
        <w:tc>
          <w:tcPr>
            <w:tcW w:w="60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-960</w:t>
            </w:r>
          </w:p>
        </w:tc>
        <w:tc>
          <w:tcPr>
            <w:tcW w:w="58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-670</w:t>
            </w:r>
          </w:p>
        </w:tc>
        <w:tc>
          <w:tcPr>
            <w:tcW w:w="56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-1.447</w:t>
            </w:r>
          </w:p>
        </w:tc>
        <w:tc>
          <w:tcPr>
            <w:tcW w:w="58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-1.573</w:t>
            </w:r>
          </w:p>
        </w:tc>
        <w:tc>
          <w:tcPr>
            <w:tcW w:w="58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-803</w:t>
            </w:r>
          </w:p>
        </w:tc>
        <w:tc>
          <w:tcPr>
            <w:tcW w:w="54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-272</w:t>
            </w:r>
          </w:p>
        </w:tc>
        <w:tc>
          <w:tcPr>
            <w:tcW w:w="56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1.467</w:t>
            </w:r>
          </w:p>
        </w:tc>
        <w:tc>
          <w:tcPr>
            <w:tcW w:w="54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2.314</w:t>
            </w:r>
          </w:p>
        </w:tc>
        <w:tc>
          <w:tcPr>
            <w:tcW w:w="560" w:type="dxa"/>
            <w:tcBorders>
              <w:bottom w:val="single" w:sz="4" w:space="0" w:color="auto"/>
            </w:tcBorders>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2.484</w:t>
            </w:r>
          </w:p>
        </w:tc>
        <w:tc>
          <w:tcPr>
            <w:tcW w:w="540" w:type="dxa"/>
            <w:tcBorders>
              <w:top w:val="nil"/>
              <w:left w:val="nil"/>
              <w:bottom w:val="single" w:sz="4" w:space="0" w:color="auto"/>
              <w:right w:val="single" w:sz="4" w:space="0" w:color="auto"/>
            </w:tcBorders>
            <w:shd w:val="clear" w:color="auto" w:fill="BFBFBF" w:themeFill="background1" w:themeFillShade="BF"/>
            <w:vAlign w:val="center"/>
            <w:hideMark/>
          </w:tcPr>
          <w:p w:rsidR="001C6A3E" w:rsidRPr="001C6A3E" w:rsidRDefault="00623EE2" w:rsidP="001C6A3E">
            <w:pPr>
              <w:ind w:right="57"/>
              <w:jc w:val="right"/>
              <w:rPr>
                <w:rFonts w:ascii="Arial Narrow" w:hAnsi="Arial Narrow"/>
                <w:b/>
                <w:bCs/>
                <w:sz w:val="14"/>
                <w:szCs w:val="14"/>
              </w:rPr>
            </w:pPr>
            <w:r>
              <w:rPr>
                <w:rFonts w:ascii="Arial Narrow" w:hAnsi="Arial Narrow"/>
                <w:b/>
                <w:bCs/>
                <w:sz w:val="14"/>
                <w:szCs w:val="14"/>
              </w:rPr>
              <w:t>1.82</w:t>
            </w:r>
            <w:r w:rsidR="001C6A3E" w:rsidRPr="001C6A3E">
              <w:rPr>
                <w:rFonts w:ascii="Arial Narrow" w:hAnsi="Arial Narrow"/>
                <w:b/>
                <w:bCs/>
                <w:sz w:val="14"/>
                <w:szCs w:val="14"/>
              </w:rPr>
              <w:t>6</w:t>
            </w:r>
          </w:p>
        </w:tc>
      </w:tr>
    </w:tbl>
    <w:p w:rsidR="008D2F78" w:rsidRPr="000822FB" w:rsidRDefault="008D2F78" w:rsidP="008D2F78">
      <w:pPr>
        <w:ind w:left="-426"/>
        <w:rPr>
          <w:sz w:val="12"/>
        </w:rPr>
      </w:pPr>
    </w:p>
    <w:p w:rsidR="008D2F78" w:rsidRPr="005825E4" w:rsidRDefault="008D2F78" w:rsidP="008D2F78">
      <w:pPr>
        <w:ind w:left="-426"/>
        <w:rPr>
          <w:rFonts w:ascii="Arial Narrow" w:hAnsi="Arial Narrow"/>
          <w:sz w:val="16"/>
          <w:szCs w:val="16"/>
        </w:rPr>
      </w:pPr>
      <w:r>
        <w:rPr>
          <w:rFonts w:ascii="Arial Narrow" w:hAnsi="Arial Narrow"/>
          <w:sz w:val="16"/>
          <w:szCs w:val="16"/>
        </w:rPr>
        <w:t>Πληροφοριακά στοιχεία:</w:t>
      </w:r>
    </w:p>
    <w:tbl>
      <w:tblPr>
        <w:tblW w:w="10140" w:type="dxa"/>
        <w:jc w:val="center"/>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CellMar>
          <w:left w:w="28" w:type="dxa"/>
          <w:right w:w="28" w:type="dxa"/>
        </w:tblCellMar>
        <w:tblLook w:val="04A0"/>
      </w:tblPr>
      <w:tblGrid>
        <w:gridCol w:w="3400"/>
        <w:gridCol w:w="520"/>
        <w:gridCol w:w="580"/>
        <w:gridCol w:w="600"/>
        <w:gridCol w:w="580"/>
        <w:gridCol w:w="560"/>
        <w:gridCol w:w="580"/>
        <w:gridCol w:w="580"/>
        <w:gridCol w:w="540"/>
        <w:gridCol w:w="560"/>
        <w:gridCol w:w="540"/>
        <w:gridCol w:w="560"/>
        <w:gridCol w:w="540"/>
      </w:tblGrid>
      <w:tr w:rsidR="001C6A3E" w:rsidTr="003F07CC">
        <w:trPr>
          <w:trHeight w:val="170"/>
          <w:jc w:val="center"/>
        </w:trPr>
        <w:tc>
          <w:tcPr>
            <w:tcW w:w="3400" w:type="dxa"/>
            <w:shd w:val="clear" w:color="auto" w:fill="BFBFBF" w:themeFill="background1" w:themeFillShade="BF"/>
            <w:vAlign w:val="center"/>
            <w:hideMark/>
          </w:tcPr>
          <w:p w:rsidR="001C6A3E" w:rsidRPr="005825E4" w:rsidRDefault="001C6A3E" w:rsidP="003F07CC">
            <w:pPr>
              <w:rPr>
                <w:rFonts w:ascii="Arial Narrow" w:hAnsi="Arial Narrow"/>
                <w:b/>
                <w:bCs/>
                <w:sz w:val="14"/>
                <w:szCs w:val="14"/>
              </w:rPr>
            </w:pPr>
            <w:r>
              <w:rPr>
                <w:rFonts w:ascii="Arial Narrow" w:hAnsi="Arial Narrow"/>
                <w:b/>
                <w:bCs/>
                <w:sz w:val="14"/>
                <w:szCs w:val="14"/>
              </w:rPr>
              <w:t>Έσοδα από το Πρόγραμμα Δημοσίων Επενδύσεων (ΠΔΕ)</w:t>
            </w:r>
          </w:p>
        </w:tc>
        <w:tc>
          <w:tcPr>
            <w:tcW w:w="52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116</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352</w:t>
            </w:r>
          </w:p>
        </w:tc>
        <w:tc>
          <w:tcPr>
            <w:tcW w:w="60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686</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856</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930</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1.276</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1.394</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1.483</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2.367</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2.441</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2.873</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3.740</w:t>
            </w:r>
          </w:p>
        </w:tc>
      </w:tr>
      <w:tr w:rsidR="001C6A3E" w:rsidRPr="005825E4" w:rsidTr="003F07CC">
        <w:trPr>
          <w:trHeight w:val="170"/>
          <w:jc w:val="center"/>
        </w:trPr>
        <w:tc>
          <w:tcPr>
            <w:tcW w:w="3400" w:type="dxa"/>
            <w:shd w:val="clear" w:color="auto" w:fill="BFBFBF" w:themeFill="background1" w:themeFillShade="BF"/>
            <w:vAlign w:val="center"/>
            <w:hideMark/>
          </w:tcPr>
          <w:p w:rsidR="001C6A3E" w:rsidRPr="005825E4" w:rsidRDefault="001C6A3E" w:rsidP="003F07CC">
            <w:pPr>
              <w:rPr>
                <w:rFonts w:ascii="Arial Narrow" w:hAnsi="Arial Narrow"/>
                <w:b/>
                <w:sz w:val="14"/>
                <w:szCs w:val="14"/>
              </w:rPr>
            </w:pPr>
            <w:r>
              <w:rPr>
                <w:rFonts w:ascii="Arial Narrow" w:hAnsi="Arial Narrow"/>
                <w:b/>
                <w:sz w:val="14"/>
                <w:szCs w:val="14"/>
              </w:rPr>
              <w:t>Δαπάνες από το Πρόγραμμα Δημοσίων Επενδύσεων (ΠΔΕ)</w:t>
            </w:r>
          </w:p>
        </w:tc>
        <w:tc>
          <w:tcPr>
            <w:tcW w:w="52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170</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380</w:t>
            </w:r>
          </w:p>
        </w:tc>
        <w:tc>
          <w:tcPr>
            <w:tcW w:w="60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665</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1.040</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1.305</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1.620</w:t>
            </w:r>
          </w:p>
        </w:tc>
        <w:tc>
          <w:tcPr>
            <w:tcW w:w="58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1.985</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2.380</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2.890</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3.400</w:t>
            </w:r>
          </w:p>
        </w:tc>
        <w:tc>
          <w:tcPr>
            <w:tcW w:w="56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4.055</w:t>
            </w:r>
          </w:p>
        </w:tc>
        <w:tc>
          <w:tcPr>
            <w:tcW w:w="540" w:type="dxa"/>
            <w:shd w:val="clear" w:color="auto" w:fill="BFBFBF" w:themeFill="background1" w:themeFillShade="BF"/>
            <w:vAlign w:val="center"/>
            <w:hideMark/>
          </w:tcPr>
          <w:p w:rsidR="001C6A3E" w:rsidRPr="001C6A3E" w:rsidRDefault="001C6A3E" w:rsidP="001C6A3E">
            <w:pPr>
              <w:ind w:right="57"/>
              <w:jc w:val="right"/>
              <w:rPr>
                <w:rFonts w:ascii="Arial Narrow" w:hAnsi="Arial Narrow"/>
                <w:b/>
                <w:bCs/>
                <w:sz w:val="14"/>
                <w:szCs w:val="14"/>
              </w:rPr>
            </w:pPr>
            <w:r w:rsidRPr="001C6A3E">
              <w:rPr>
                <w:rFonts w:ascii="Arial Narrow" w:hAnsi="Arial Narrow"/>
                <w:b/>
                <w:bCs/>
                <w:sz w:val="14"/>
                <w:szCs w:val="14"/>
              </w:rPr>
              <w:t>6.750</w:t>
            </w:r>
          </w:p>
        </w:tc>
      </w:tr>
    </w:tbl>
    <w:p w:rsidR="00554660" w:rsidRDefault="00584BEB" w:rsidP="00326ECB">
      <w:pPr>
        <w:ind w:left="-142" w:hanging="284"/>
        <w:jc w:val="both"/>
        <w:rPr>
          <w:rFonts w:ascii="Arial Narrow" w:hAnsi="Arial Narrow"/>
          <w:sz w:val="16"/>
          <w:szCs w:val="16"/>
        </w:rPr>
      </w:pPr>
      <w:r>
        <w:rPr>
          <w:rFonts w:ascii="Arial Narrow" w:hAnsi="Arial Narrow"/>
          <w:sz w:val="16"/>
          <w:szCs w:val="16"/>
          <w:vertAlign w:val="superscript"/>
        </w:rPr>
        <w:t>1</w:t>
      </w:r>
      <w:r w:rsidR="008D2F78" w:rsidRPr="009B0838">
        <w:rPr>
          <w:rFonts w:ascii="Arial Narrow" w:hAnsi="Arial Narrow"/>
          <w:sz w:val="16"/>
          <w:szCs w:val="16"/>
        </w:rPr>
        <w:tab/>
      </w:r>
      <w:r w:rsidR="00520D16">
        <w:rPr>
          <w:rFonts w:ascii="Arial Narrow" w:hAnsi="Arial Narrow"/>
          <w:sz w:val="16"/>
          <w:szCs w:val="16"/>
        </w:rPr>
        <w:t>Τα έσοδα του</w:t>
      </w:r>
      <w:r w:rsidR="00554660">
        <w:rPr>
          <w:rFonts w:ascii="Arial Narrow" w:hAnsi="Arial Narrow"/>
          <w:sz w:val="16"/>
          <w:szCs w:val="16"/>
        </w:rPr>
        <w:t xml:space="preserve"> </w:t>
      </w:r>
      <w:r w:rsidR="008D2F78" w:rsidRPr="009B0838">
        <w:rPr>
          <w:rFonts w:ascii="Arial Narrow" w:hAnsi="Arial Narrow"/>
          <w:sz w:val="16"/>
          <w:szCs w:val="16"/>
        </w:rPr>
        <w:t xml:space="preserve">ΠΔΕ </w:t>
      </w:r>
      <w:r w:rsidR="00520D16">
        <w:rPr>
          <w:rFonts w:ascii="Arial Narrow" w:hAnsi="Arial Narrow"/>
          <w:sz w:val="16"/>
          <w:szCs w:val="16"/>
        </w:rPr>
        <w:t>περιέχον</w:t>
      </w:r>
      <w:r w:rsidR="00554660">
        <w:rPr>
          <w:rFonts w:ascii="Arial Narrow" w:hAnsi="Arial Narrow"/>
          <w:sz w:val="16"/>
          <w:szCs w:val="16"/>
        </w:rPr>
        <w:t xml:space="preserve">ται στις μεταβιβάσεις και </w:t>
      </w:r>
      <w:r w:rsidR="00520D16">
        <w:rPr>
          <w:rFonts w:ascii="Arial Narrow" w:hAnsi="Arial Narrow"/>
          <w:sz w:val="16"/>
          <w:szCs w:val="16"/>
        </w:rPr>
        <w:t>στα λοιπά τρέχοντα έσοδα, ενώ οι δαπάνες του</w:t>
      </w:r>
      <w:r w:rsidR="00554660">
        <w:rPr>
          <w:rFonts w:ascii="Arial Narrow" w:hAnsi="Arial Narrow"/>
          <w:sz w:val="16"/>
          <w:szCs w:val="16"/>
        </w:rPr>
        <w:t xml:space="preserve"> ΠΔΕ </w:t>
      </w:r>
      <w:r w:rsidR="00520D16">
        <w:rPr>
          <w:rFonts w:ascii="Arial Narrow" w:hAnsi="Arial Narrow"/>
          <w:sz w:val="16"/>
          <w:szCs w:val="16"/>
        </w:rPr>
        <w:t>περιέχον</w:t>
      </w:r>
      <w:r w:rsidR="00554660">
        <w:rPr>
          <w:rFonts w:ascii="Arial Narrow" w:hAnsi="Arial Narrow"/>
          <w:sz w:val="16"/>
          <w:szCs w:val="16"/>
        </w:rPr>
        <w:t>ται στις πιστώσεις υπό κατανομή.</w:t>
      </w:r>
    </w:p>
    <w:p w:rsidR="00554660" w:rsidRPr="00554660" w:rsidRDefault="00584BEB" w:rsidP="00326ECB">
      <w:pPr>
        <w:ind w:left="-142" w:hanging="284"/>
        <w:jc w:val="both"/>
        <w:rPr>
          <w:rFonts w:ascii="Arial Narrow" w:hAnsi="Arial Narrow"/>
          <w:sz w:val="16"/>
          <w:szCs w:val="16"/>
        </w:rPr>
      </w:pPr>
      <w:r>
        <w:rPr>
          <w:rFonts w:ascii="Arial Narrow" w:hAnsi="Arial Narrow"/>
          <w:sz w:val="16"/>
          <w:szCs w:val="16"/>
          <w:vertAlign w:val="superscript"/>
        </w:rPr>
        <w:t>2</w:t>
      </w:r>
      <w:r w:rsidR="00554660">
        <w:rPr>
          <w:rFonts w:ascii="Arial Narrow" w:hAnsi="Arial Narrow"/>
          <w:sz w:val="16"/>
          <w:szCs w:val="16"/>
        </w:rPr>
        <w:tab/>
        <w:t>Οι πιστώσεις υπό κατανομή περιλαμβάνουν από το μήνα Ιανουάριο 98</w:t>
      </w:r>
      <w:r w:rsidR="00D76D23">
        <w:rPr>
          <w:rFonts w:ascii="Arial Narrow" w:hAnsi="Arial Narrow"/>
          <w:sz w:val="16"/>
          <w:szCs w:val="16"/>
        </w:rPr>
        <w:t>2</w:t>
      </w:r>
      <w:r w:rsidR="00554660">
        <w:rPr>
          <w:rFonts w:ascii="Arial Narrow" w:hAnsi="Arial Narrow"/>
          <w:sz w:val="16"/>
          <w:szCs w:val="16"/>
        </w:rPr>
        <w:t xml:space="preserve"> εκατ. ευρώ, τα οποία θα χρησιμοποιηθούν στην περίπτωση κατά την οποία δεν έχουν ολοκληρωθεί οι πληρωμές εφάπαξ χρηματικών ποσών των άρ</w:t>
      </w:r>
      <w:r w:rsidR="000039AA">
        <w:rPr>
          <w:rFonts w:ascii="Arial Narrow" w:hAnsi="Arial Narrow"/>
          <w:sz w:val="16"/>
          <w:szCs w:val="16"/>
        </w:rPr>
        <w:t>θρων 10 έως 14 του ν. 4575/2018 εντός του 2018.</w:t>
      </w:r>
    </w:p>
    <w:p w:rsidR="00C12FE7" w:rsidRDefault="00C12FE7" w:rsidP="000822FB">
      <w:pPr>
        <w:ind w:left="-426"/>
        <w:jc w:val="both"/>
        <w:rPr>
          <w:bCs/>
          <w:sz w:val="20"/>
          <w:szCs w:val="22"/>
        </w:rPr>
      </w:pPr>
    </w:p>
    <w:p w:rsidR="00C1623F" w:rsidRDefault="00C1623F">
      <w:pPr>
        <w:rPr>
          <w:bCs/>
          <w:sz w:val="20"/>
          <w:szCs w:val="22"/>
        </w:rPr>
      </w:pPr>
      <w:r>
        <w:rPr>
          <w:bCs/>
          <w:sz w:val="20"/>
          <w:szCs w:val="22"/>
        </w:rPr>
        <w:br w:type="page"/>
      </w:r>
    </w:p>
    <w:p w:rsidR="00C12FE7" w:rsidRDefault="00C12FE7" w:rsidP="000822FB">
      <w:pPr>
        <w:ind w:left="-426"/>
        <w:jc w:val="both"/>
        <w:rPr>
          <w:bCs/>
          <w:sz w:val="20"/>
          <w:szCs w:val="22"/>
        </w:rPr>
      </w:pPr>
    </w:p>
    <w:p w:rsidR="00C12FE7" w:rsidRPr="00221A99" w:rsidRDefault="00C12FE7" w:rsidP="00C12FE7">
      <w:pPr>
        <w:shd w:val="clear" w:color="auto" w:fill="BFBFBF" w:themeFill="background1" w:themeFillShade="BF"/>
        <w:spacing w:line="235" w:lineRule="auto"/>
        <w:rPr>
          <w:rFonts w:ascii="Arial Narrow" w:hAnsi="Arial Narrow"/>
          <w:b/>
          <w:szCs w:val="26"/>
        </w:rPr>
      </w:pPr>
      <w:r>
        <w:rPr>
          <w:rFonts w:ascii="Arial Narrow" w:hAnsi="Arial Narrow"/>
          <w:b/>
          <w:szCs w:val="26"/>
        </w:rPr>
        <w:t>4.5</w:t>
      </w:r>
      <w:r w:rsidRPr="00221A99">
        <w:rPr>
          <w:rFonts w:ascii="Arial Narrow" w:hAnsi="Arial Narrow"/>
          <w:b/>
          <w:szCs w:val="26"/>
        </w:rPr>
        <w:tab/>
      </w:r>
      <w:r>
        <w:rPr>
          <w:rFonts w:ascii="Arial Narrow" w:hAnsi="Arial Narrow"/>
          <w:b/>
          <w:szCs w:val="26"/>
        </w:rPr>
        <w:t>Χρηματοροές μεταξύ Ελλάδας και Ευρωπαϊκής Ένωσης 2017-2019</w:t>
      </w:r>
    </w:p>
    <w:p w:rsidR="00C12FE7" w:rsidRPr="00C12FE7" w:rsidRDefault="00C12FE7" w:rsidP="00C12FE7">
      <w:pPr>
        <w:jc w:val="both"/>
        <w:rPr>
          <w:bCs/>
          <w:sz w:val="22"/>
          <w:szCs w:val="22"/>
        </w:rPr>
      </w:pPr>
    </w:p>
    <w:p w:rsidR="00F26421" w:rsidRPr="00F26421" w:rsidRDefault="00F26421" w:rsidP="00F26421">
      <w:pPr>
        <w:jc w:val="both"/>
        <w:rPr>
          <w:bCs/>
          <w:sz w:val="22"/>
          <w:szCs w:val="22"/>
        </w:rPr>
      </w:pPr>
      <w:r w:rsidRPr="00F26421">
        <w:rPr>
          <w:bCs/>
          <w:sz w:val="22"/>
          <w:szCs w:val="22"/>
        </w:rPr>
        <w:t xml:space="preserve">Οι χρηματοροές μεταξύ Ελλάδας και Ευρωπαϊκής Ένωσης </w:t>
      </w:r>
      <w:r>
        <w:rPr>
          <w:bCs/>
          <w:sz w:val="22"/>
          <w:szCs w:val="22"/>
        </w:rPr>
        <w:t xml:space="preserve">(ΕΕ) </w:t>
      </w:r>
      <w:r w:rsidRPr="00F26421">
        <w:rPr>
          <w:bCs/>
          <w:sz w:val="22"/>
          <w:szCs w:val="22"/>
        </w:rPr>
        <w:t>κατά τα έτη 2017-2019 αποτυπώνο</w:t>
      </w:r>
      <w:r w:rsidRPr="00F26421">
        <w:rPr>
          <w:bCs/>
          <w:sz w:val="22"/>
          <w:szCs w:val="22"/>
        </w:rPr>
        <w:t>ν</w:t>
      </w:r>
      <w:r w:rsidRPr="00F26421">
        <w:rPr>
          <w:bCs/>
          <w:sz w:val="22"/>
          <w:szCs w:val="22"/>
        </w:rPr>
        <w:t xml:space="preserve">ται στον πίνακα </w:t>
      </w:r>
      <w:r w:rsidR="00C74862">
        <w:rPr>
          <w:bCs/>
          <w:sz w:val="22"/>
          <w:szCs w:val="22"/>
        </w:rPr>
        <w:t>3.13.</w:t>
      </w:r>
      <w:r w:rsidRPr="00F26421">
        <w:rPr>
          <w:bCs/>
          <w:sz w:val="22"/>
          <w:szCs w:val="22"/>
        </w:rPr>
        <w:t xml:space="preserve"> Από τη σύγκριση απολήψεων και αποδόσεων προκύπτει ότι το ταμειακό όφελος της Ελλάδας από τον προϋπολογισμό της ΕΕ για το έτος 2017 διαμορφώθηκε στα 2.561 εκατ. ευρώ, ενώ για το 2018 εκτιμάται σε 4.16</w:t>
      </w:r>
      <w:r>
        <w:rPr>
          <w:bCs/>
          <w:sz w:val="22"/>
          <w:szCs w:val="22"/>
        </w:rPr>
        <w:t>6</w:t>
      </w:r>
      <w:r w:rsidRPr="00F26421">
        <w:rPr>
          <w:bCs/>
          <w:sz w:val="22"/>
          <w:szCs w:val="22"/>
        </w:rPr>
        <w:t xml:space="preserve"> εκατ. ευρώ, αντι</w:t>
      </w:r>
      <w:r w:rsidR="00AA042E">
        <w:rPr>
          <w:bCs/>
          <w:sz w:val="22"/>
          <w:szCs w:val="22"/>
        </w:rPr>
        <w:t>προσωπεύοντας το 1,4% και το 2,2</w:t>
      </w:r>
      <w:r w:rsidRPr="00F26421">
        <w:rPr>
          <w:bCs/>
          <w:sz w:val="22"/>
          <w:szCs w:val="22"/>
        </w:rPr>
        <w:t xml:space="preserve">% του ΑΕΠ αντίστοιχα. </w:t>
      </w:r>
      <w:r w:rsidRPr="00F26421">
        <w:rPr>
          <w:bCs/>
          <w:sz w:val="22"/>
          <w:szCs w:val="22"/>
          <w:lang w:val="en-US"/>
        </w:rPr>
        <w:t>T</w:t>
      </w:r>
      <w:r w:rsidRPr="00F26421">
        <w:rPr>
          <w:bCs/>
          <w:sz w:val="22"/>
          <w:szCs w:val="22"/>
        </w:rPr>
        <w:t>ο έτος 2019 το ταμειακό όφελος προβλέπεται σε 3.867 εκατ. ευρώ ή ποσοστό 2</w:t>
      </w:r>
      <w:r w:rsidR="00AA042E">
        <w:rPr>
          <w:bCs/>
          <w:sz w:val="22"/>
          <w:szCs w:val="22"/>
        </w:rPr>
        <w:t>,0</w:t>
      </w:r>
      <w:r w:rsidRPr="00F26421">
        <w:rPr>
          <w:bCs/>
          <w:sz w:val="22"/>
          <w:szCs w:val="22"/>
        </w:rPr>
        <w:t>% του ΑΕΠ. Η σχέση απολήψεων - αποδόσεων αναμένεται να διαμορφωθεί σε 3,2/1 και 3/1 αντίστοιχα για τα έτη 2018 και 2019.</w:t>
      </w:r>
    </w:p>
    <w:p w:rsidR="00F26421" w:rsidRPr="00F26421" w:rsidRDefault="00F26421" w:rsidP="00F26421">
      <w:pPr>
        <w:jc w:val="both"/>
        <w:rPr>
          <w:bCs/>
          <w:sz w:val="22"/>
          <w:szCs w:val="22"/>
        </w:rPr>
      </w:pPr>
    </w:p>
    <w:p w:rsidR="00F26421" w:rsidRPr="00F26421" w:rsidRDefault="00F26421" w:rsidP="00F26421">
      <w:pPr>
        <w:jc w:val="both"/>
        <w:rPr>
          <w:bCs/>
          <w:sz w:val="22"/>
          <w:szCs w:val="22"/>
        </w:rPr>
      </w:pPr>
      <w:r w:rsidRPr="00F26421">
        <w:rPr>
          <w:bCs/>
          <w:sz w:val="22"/>
          <w:szCs w:val="22"/>
        </w:rPr>
        <w:t>Οι πόροι των διαρθρωτικών ταμείων (ΕΤΠΑ, ΕΚΤ) και του Ταμείου Συνοχής συνιστούν το μεγαλύτ</w:t>
      </w:r>
      <w:r w:rsidRPr="00F26421">
        <w:rPr>
          <w:bCs/>
          <w:sz w:val="22"/>
          <w:szCs w:val="22"/>
        </w:rPr>
        <w:t>ε</w:t>
      </w:r>
      <w:r w:rsidRPr="00F26421">
        <w:rPr>
          <w:bCs/>
          <w:sz w:val="22"/>
          <w:szCs w:val="22"/>
        </w:rPr>
        <w:t>ρο τμήμα της ευρωπαϊκής χρηματοδότησης, το οποίο κατευθύνεται σε τομείς αναπτυξιακής πολιτικής, προκειμένου να διασφαλιστεί κυρίως η στήριξη του στόχου της οικονομικής, κοινωνικής και εδαφικής συνοχής, η ενίσχυση της απασχόλησης και η βελτίωση των υποδομών και της ανταγωνιστικότητας της ελληνικής οικονομίας.</w:t>
      </w:r>
    </w:p>
    <w:p w:rsidR="00F26421" w:rsidRPr="00F26421" w:rsidRDefault="00F26421" w:rsidP="00F26421">
      <w:pPr>
        <w:jc w:val="both"/>
        <w:rPr>
          <w:bCs/>
          <w:sz w:val="22"/>
          <w:szCs w:val="22"/>
        </w:rPr>
      </w:pPr>
    </w:p>
    <w:p w:rsidR="00F26421" w:rsidRPr="00F26421" w:rsidRDefault="00F26421" w:rsidP="00F26421">
      <w:pPr>
        <w:jc w:val="both"/>
        <w:rPr>
          <w:bCs/>
          <w:sz w:val="22"/>
          <w:szCs w:val="22"/>
        </w:rPr>
      </w:pPr>
      <w:r w:rsidRPr="00F26421">
        <w:rPr>
          <w:bCs/>
          <w:sz w:val="22"/>
          <w:szCs w:val="22"/>
        </w:rPr>
        <w:t>Ειδικότερα, η μεταφορά πόρων από την ΕΕ στην ελληνική οικονομία συμβάλλει στην χρηματοδότηση των μεγάλων έργων υποδομών</w:t>
      </w:r>
      <w:r>
        <w:rPr>
          <w:bCs/>
          <w:sz w:val="22"/>
          <w:szCs w:val="22"/>
        </w:rPr>
        <w:t>,</w:t>
      </w:r>
      <w:r w:rsidRPr="00F26421">
        <w:rPr>
          <w:bCs/>
          <w:sz w:val="22"/>
          <w:szCs w:val="22"/>
        </w:rPr>
        <w:t xml:space="preserve"> κυρίως στους τομείς μεταφορών, περιβάλλοντος και ενέργειας, στην ενίσχυση της κοινωνικής πολιτικής, της περιφερειακής ανάπτυξης, της επαγγελματικής εκπαίδευσης και κατάρτισης, της έρευνας, της καινοτομίας και της επιχειρηματικότητας. Επίσης, ένα σημαντικό τμήμα ευρωπαϊκών πόρων προορίζεται για το γεωργικό τομέα, αφενός μέσω των εισοδηματικών ενι</w:t>
      </w:r>
      <w:r w:rsidRPr="00F26421">
        <w:rPr>
          <w:bCs/>
          <w:sz w:val="22"/>
          <w:szCs w:val="22"/>
        </w:rPr>
        <w:t>σ</w:t>
      </w:r>
      <w:r w:rsidRPr="00F26421">
        <w:rPr>
          <w:bCs/>
          <w:sz w:val="22"/>
          <w:szCs w:val="22"/>
        </w:rPr>
        <w:t>χύσεων από το Ευρωπαϊκό Γεωργικό Ταμείο Εγγυήσεων (ΕΓΤΕ),</w:t>
      </w:r>
      <w:r>
        <w:rPr>
          <w:bCs/>
          <w:sz w:val="22"/>
          <w:szCs w:val="22"/>
        </w:rPr>
        <w:t xml:space="preserve"> </w:t>
      </w:r>
      <w:r w:rsidRPr="00F26421">
        <w:rPr>
          <w:bCs/>
          <w:sz w:val="22"/>
          <w:szCs w:val="22"/>
        </w:rPr>
        <w:t xml:space="preserve">αφετέρου μέσω των προγραμμάτων για την αγροτική ανάπτυξη από το Ευρωπαϊκό Γεωργικό Ταμείο Αγροτικής Ανάπτυξης (ΕΓΤΑΑ). </w:t>
      </w:r>
    </w:p>
    <w:p w:rsidR="00F26421" w:rsidRPr="00F26421" w:rsidRDefault="00F26421" w:rsidP="00F26421">
      <w:pPr>
        <w:jc w:val="both"/>
        <w:rPr>
          <w:bCs/>
          <w:sz w:val="22"/>
          <w:szCs w:val="22"/>
        </w:rPr>
      </w:pPr>
    </w:p>
    <w:p w:rsidR="00F26421" w:rsidRPr="00F26421" w:rsidRDefault="00F26421" w:rsidP="00F26421">
      <w:pPr>
        <w:jc w:val="both"/>
        <w:rPr>
          <w:rFonts w:ascii="Arial Narrow" w:hAnsi="Arial Narrow"/>
          <w:b/>
          <w:color w:val="000080"/>
          <w:szCs w:val="22"/>
        </w:rPr>
      </w:pPr>
      <w:r w:rsidRPr="00F26421">
        <w:rPr>
          <w:rFonts w:ascii="Arial Narrow" w:hAnsi="Arial Narrow"/>
          <w:b/>
          <w:color w:val="000080"/>
          <w:szCs w:val="22"/>
        </w:rPr>
        <w:t>Χρηματοροές μεταξύ Ελλάδας και Ευρωπαϊκής Ένωσης το 2018</w:t>
      </w:r>
    </w:p>
    <w:p w:rsidR="00F26421" w:rsidRPr="00847079" w:rsidRDefault="00F26421" w:rsidP="00F26421">
      <w:pPr>
        <w:keepNext/>
        <w:jc w:val="both"/>
        <w:outlineLvl w:val="4"/>
        <w:rPr>
          <w:b/>
          <w:sz w:val="22"/>
          <w:szCs w:val="22"/>
        </w:rPr>
      </w:pPr>
    </w:p>
    <w:p w:rsidR="00F26421" w:rsidRPr="00F26421" w:rsidRDefault="00F26421" w:rsidP="00F26421">
      <w:pPr>
        <w:keepNext/>
        <w:jc w:val="both"/>
        <w:outlineLvl w:val="4"/>
        <w:rPr>
          <w:rFonts w:ascii="Arial Narrow" w:hAnsi="Arial Narrow"/>
          <w:b/>
          <w:sz w:val="22"/>
          <w:szCs w:val="22"/>
        </w:rPr>
      </w:pPr>
      <w:r w:rsidRPr="00F26421">
        <w:rPr>
          <w:rFonts w:ascii="Arial Narrow" w:hAnsi="Arial Narrow"/>
          <w:b/>
          <w:sz w:val="22"/>
          <w:szCs w:val="22"/>
        </w:rPr>
        <w:t>Απολήψεις</w:t>
      </w:r>
    </w:p>
    <w:p w:rsidR="00F26421" w:rsidRPr="00847079" w:rsidRDefault="00F26421" w:rsidP="00F26421">
      <w:pPr>
        <w:jc w:val="both"/>
        <w:rPr>
          <w:sz w:val="22"/>
          <w:szCs w:val="22"/>
        </w:rPr>
      </w:pPr>
    </w:p>
    <w:p w:rsidR="00F26421" w:rsidRPr="00847079" w:rsidRDefault="00F26421" w:rsidP="00F26421">
      <w:pPr>
        <w:jc w:val="both"/>
        <w:rPr>
          <w:sz w:val="22"/>
          <w:szCs w:val="22"/>
        </w:rPr>
      </w:pPr>
      <w:r w:rsidRPr="00847079">
        <w:rPr>
          <w:sz w:val="22"/>
          <w:szCs w:val="22"/>
        </w:rPr>
        <w:t>Οι συνολικές εισροές από την ΕΕ κατά το έτος 2018 εκτιμάται ότι θα ανέλθουν σε 6.04</w:t>
      </w:r>
      <w:r>
        <w:rPr>
          <w:sz w:val="22"/>
          <w:szCs w:val="22"/>
        </w:rPr>
        <w:t>4</w:t>
      </w:r>
      <w:r w:rsidRPr="00847079">
        <w:rPr>
          <w:sz w:val="22"/>
          <w:szCs w:val="22"/>
        </w:rPr>
        <w:t xml:space="preserve"> εκατ. ευρώ, παρουσιάζοντας αύξηση έναντι του 2017, κυρίως λόγω αυξημένων αναμενόμενων απολήψεων από το Πρόγραμμα Δημοσίων Επενδύσεων (ΠΔΕ).</w:t>
      </w:r>
    </w:p>
    <w:p w:rsidR="00F26421" w:rsidRPr="00847079" w:rsidRDefault="00F26421" w:rsidP="00F26421">
      <w:pPr>
        <w:jc w:val="both"/>
        <w:rPr>
          <w:sz w:val="22"/>
          <w:szCs w:val="22"/>
          <w:highlight w:val="yellow"/>
        </w:rPr>
      </w:pPr>
    </w:p>
    <w:p w:rsidR="00F26421" w:rsidRPr="00847079" w:rsidRDefault="00F26421" w:rsidP="00F26421">
      <w:pPr>
        <w:jc w:val="both"/>
        <w:rPr>
          <w:sz w:val="22"/>
          <w:szCs w:val="22"/>
        </w:rPr>
      </w:pPr>
      <w:r w:rsidRPr="00847079">
        <w:rPr>
          <w:sz w:val="22"/>
          <w:szCs w:val="22"/>
        </w:rPr>
        <w:t>Ειδικότερα, το έτος 2018</w:t>
      </w:r>
      <w:r w:rsidR="00AA042E">
        <w:rPr>
          <w:sz w:val="22"/>
          <w:szCs w:val="22"/>
        </w:rPr>
        <w:t xml:space="preserve"> αναμένονται τα ακόλουθα</w:t>
      </w:r>
      <w:r w:rsidRPr="00847079">
        <w:rPr>
          <w:sz w:val="22"/>
          <w:szCs w:val="22"/>
        </w:rPr>
        <w:t>:</w:t>
      </w:r>
    </w:p>
    <w:p w:rsidR="00F26421" w:rsidRPr="00847079" w:rsidRDefault="00F26421" w:rsidP="00F26421">
      <w:pPr>
        <w:keepNext/>
        <w:jc w:val="both"/>
        <w:outlineLvl w:val="4"/>
        <w:rPr>
          <w:bCs/>
          <w:sz w:val="22"/>
          <w:szCs w:val="22"/>
        </w:rPr>
      </w:pPr>
    </w:p>
    <w:p w:rsidR="00F26421" w:rsidRPr="00847079" w:rsidRDefault="00F26421" w:rsidP="00F26421">
      <w:pPr>
        <w:jc w:val="both"/>
        <w:rPr>
          <w:b/>
          <w:i/>
          <w:sz w:val="22"/>
          <w:szCs w:val="22"/>
        </w:rPr>
      </w:pPr>
      <w:r w:rsidRPr="00847079">
        <w:rPr>
          <w:b/>
          <w:i/>
          <w:sz w:val="22"/>
          <w:szCs w:val="22"/>
        </w:rPr>
        <w:t>Τακτικός προϋπολογισμός</w:t>
      </w:r>
    </w:p>
    <w:p w:rsidR="00F26421" w:rsidRPr="00847079" w:rsidRDefault="00F26421" w:rsidP="00F26421">
      <w:pPr>
        <w:jc w:val="both"/>
        <w:rPr>
          <w:b/>
          <w:i/>
          <w:sz w:val="22"/>
          <w:szCs w:val="22"/>
        </w:rPr>
      </w:pPr>
    </w:p>
    <w:p w:rsidR="00F26421" w:rsidRPr="00847079" w:rsidRDefault="00F26421" w:rsidP="00F26421">
      <w:pPr>
        <w:jc w:val="both"/>
        <w:rPr>
          <w:sz w:val="22"/>
          <w:szCs w:val="22"/>
        </w:rPr>
      </w:pPr>
      <w:r w:rsidRPr="00847079">
        <w:rPr>
          <w:sz w:val="22"/>
          <w:szCs w:val="22"/>
        </w:rPr>
        <w:t>Οι απολήψεις του τακτικού προϋπολογισμού συνίστανται, κατά κύριο λόγο, σε κοινοτικές ενισχύσεις για τη στήριξη του γεωργικού εισοδήματος και την υλοποίηση προγραμμάτων και δράσεων αγροτικής ανάπτυξης, όπως αγροπεριβαλλοντικά μέτρα (βιολογική γεωργία, μακροχρόνια παύση, κτηνοτροφία), τη στήριξη ορεινών και μειονεκτικών περιοχών, τη δάσωση, κ.λπ. Επίσης, συμπεριλαμβάνουν και κ</w:t>
      </w:r>
      <w:r w:rsidRPr="00847079">
        <w:rPr>
          <w:sz w:val="22"/>
          <w:szCs w:val="22"/>
        </w:rPr>
        <w:t>ο</w:t>
      </w:r>
      <w:r w:rsidRPr="00847079">
        <w:rPr>
          <w:sz w:val="22"/>
          <w:szCs w:val="22"/>
        </w:rPr>
        <w:t>ινοτικές ενισχύσεις για την υλοποίηση δράσεων μεταναστευτικών ροών από το Υπουργείο Εθνικής Άμυνας και λοιπά Υπουργεία.</w:t>
      </w:r>
    </w:p>
    <w:p w:rsidR="00F26421" w:rsidRPr="00847079" w:rsidRDefault="00F26421" w:rsidP="00F26421">
      <w:pPr>
        <w:jc w:val="both"/>
        <w:rPr>
          <w:sz w:val="22"/>
          <w:szCs w:val="22"/>
        </w:rPr>
      </w:pPr>
    </w:p>
    <w:p w:rsidR="00F26421" w:rsidRPr="00847079" w:rsidRDefault="00F26421" w:rsidP="00F26421">
      <w:pPr>
        <w:jc w:val="both"/>
        <w:rPr>
          <w:sz w:val="22"/>
          <w:szCs w:val="22"/>
        </w:rPr>
      </w:pPr>
      <w:r w:rsidRPr="00847079">
        <w:rPr>
          <w:sz w:val="22"/>
          <w:szCs w:val="22"/>
        </w:rPr>
        <w:t>Μέσω του τακτικού προϋπολογισμού αναμένεται να εισρεύσουν συνολικά 444</w:t>
      </w:r>
      <w:r>
        <w:rPr>
          <w:sz w:val="22"/>
          <w:szCs w:val="22"/>
        </w:rPr>
        <w:t xml:space="preserve"> </w:t>
      </w:r>
      <w:r w:rsidRPr="00847079">
        <w:rPr>
          <w:sz w:val="22"/>
          <w:szCs w:val="22"/>
        </w:rPr>
        <w:t>εκατ. ευρώ, εκ των οποίων 10</w:t>
      </w:r>
      <w:r>
        <w:rPr>
          <w:sz w:val="22"/>
          <w:szCs w:val="22"/>
        </w:rPr>
        <w:t>7</w:t>
      </w:r>
      <w:r w:rsidRPr="00847079">
        <w:rPr>
          <w:sz w:val="22"/>
          <w:szCs w:val="22"/>
        </w:rPr>
        <w:t xml:space="preserve"> εκατ. ευρώ αφορούν απολήψεις από το ΕΓΤΑΑ, 17</w:t>
      </w:r>
      <w:r>
        <w:rPr>
          <w:sz w:val="22"/>
          <w:szCs w:val="22"/>
        </w:rPr>
        <w:t>2</w:t>
      </w:r>
      <w:r w:rsidRPr="00847079">
        <w:rPr>
          <w:sz w:val="22"/>
          <w:szCs w:val="22"/>
        </w:rPr>
        <w:t xml:space="preserve"> εκατ. ευρώ επιστροφές από την ΕΕ και 100 εκατ. ευρώ αναλογούν σε δράσεις μεταναστευτικών ροών.</w:t>
      </w:r>
    </w:p>
    <w:p w:rsidR="00F26421" w:rsidRPr="00847079" w:rsidRDefault="00F26421" w:rsidP="00F26421">
      <w:pPr>
        <w:jc w:val="both"/>
        <w:rPr>
          <w:sz w:val="22"/>
          <w:szCs w:val="22"/>
        </w:rPr>
      </w:pPr>
    </w:p>
    <w:p w:rsidR="00F26421" w:rsidRPr="00847079" w:rsidRDefault="00F26421" w:rsidP="00F26421">
      <w:pPr>
        <w:jc w:val="both"/>
        <w:rPr>
          <w:b/>
          <w:bCs/>
          <w:i/>
          <w:sz w:val="22"/>
          <w:szCs w:val="22"/>
        </w:rPr>
      </w:pPr>
      <w:r w:rsidRPr="00847079">
        <w:rPr>
          <w:b/>
          <w:bCs/>
          <w:i/>
          <w:sz w:val="22"/>
          <w:szCs w:val="22"/>
        </w:rPr>
        <w:t>Προϋπολογισμός Δημοσίων Επενδύσεων</w:t>
      </w:r>
    </w:p>
    <w:p w:rsidR="00F26421" w:rsidRPr="00847079" w:rsidRDefault="00F26421" w:rsidP="00F26421">
      <w:pPr>
        <w:jc w:val="both"/>
        <w:rPr>
          <w:b/>
          <w:bCs/>
          <w:i/>
          <w:sz w:val="22"/>
          <w:szCs w:val="22"/>
        </w:rPr>
      </w:pPr>
    </w:p>
    <w:p w:rsidR="00F26421" w:rsidRPr="00847079" w:rsidRDefault="00F26421" w:rsidP="00F26421">
      <w:pPr>
        <w:jc w:val="both"/>
        <w:rPr>
          <w:sz w:val="22"/>
          <w:szCs w:val="22"/>
        </w:rPr>
      </w:pPr>
      <w:r w:rsidRPr="00847079">
        <w:rPr>
          <w:sz w:val="22"/>
          <w:szCs w:val="22"/>
        </w:rPr>
        <w:t>Το 59% των συνολικών απολήψεων από την ΕΕ, ήτοι ποσό ύψους 3.555 εκατ. ευρώ, εκτιμάται ότι θα εισρεύσει το 2018 μέσω του Προγράμματος Δημοσίων Επενδύσεων (ΠΔΕ). Οι εισροές του ΠΔΕ αφ</w:t>
      </w:r>
      <w:r w:rsidRPr="00847079">
        <w:rPr>
          <w:sz w:val="22"/>
          <w:szCs w:val="22"/>
        </w:rPr>
        <w:t>ο</w:t>
      </w:r>
      <w:r w:rsidRPr="00847079">
        <w:rPr>
          <w:sz w:val="22"/>
          <w:szCs w:val="22"/>
        </w:rPr>
        <w:t>ρούν τα κοινοτικά ταμεία και ειδικότερα, το Ευρωπαϊκό Ταμείο Περιφερειακής Ανάπτυξης (ΕΤΠΑ), το Ευρωπαϊκό Κοινωνικό Ταμείο (ΕΚΤ), το Ταμείο Συνοχής, καθώς και το Ευρωπαϊκό Γεωργικό Τ</w:t>
      </w:r>
      <w:r w:rsidRPr="00847079">
        <w:rPr>
          <w:sz w:val="22"/>
          <w:szCs w:val="22"/>
        </w:rPr>
        <w:t>α</w:t>
      </w:r>
      <w:r w:rsidRPr="00847079">
        <w:rPr>
          <w:sz w:val="22"/>
          <w:szCs w:val="22"/>
        </w:rPr>
        <w:t xml:space="preserve">μείο Αγροτικής Ανάπτυξης (ΕΓΤΑΑ) και το Ευρωπαϊκό Ταμείο Θάλασσας και Αλιείας (ΕΤΘΑ). Στις </w:t>
      </w:r>
      <w:r w:rsidRPr="00847079">
        <w:rPr>
          <w:sz w:val="22"/>
          <w:szCs w:val="22"/>
        </w:rPr>
        <w:lastRenderedPageBreak/>
        <w:t xml:space="preserve">εκτιμώμενες εισροές του ΠΔΕ συμπεριλαμβάνονται επίσης και οι απολήψεις </w:t>
      </w:r>
      <w:r w:rsidR="0081082E">
        <w:rPr>
          <w:sz w:val="22"/>
          <w:szCs w:val="22"/>
        </w:rPr>
        <w:t>των Ταμείων για τις μ</w:t>
      </w:r>
      <w:r w:rsidR="0081082E">
        <w:rPr>
          <w:sz w:val="22"/>
          <w:szCs w:val="22"/>
        </w:rPr>
        <w:t>ε</w:t>
      </w:r>
      <w:r w:rsidR="0081082E">
        <w:rPr>
          <w:sz w:val="22"/>
          <w:szCs w:val="22"/>
        </w:rPr>
        <w:t>ταναστευτικές ροές</w:t>
      </w:r>
      <w:r w:rsidRPr="00847079">
        <w:rPr>
          <w:sz w:val="22"/>
          <w:szCs w:val="22"/>
        </w:rPr>
        <w:t>.</w:t>
      </w:r>
    </w:p>
    <w:p w:rsidR="00F26421" w:rsidRPr="00847079" w:rsidRDefault="00F26421" w:rsidP="00F26421">
      <w:pPr>
        <w:jc w:val="both"/>
        <w:rPr>
          <w:sz w:val="22"/>
          <w:szCs w:val="22"/>
        </w:rPr>
      </w:pPr>
    </w:p>
    <w:p w:rsidR="00F26421" w:rsidRPr="00847079" w:rsidRDefault="00F26421" w:rsidP="00F26421">
      <w:pPr>
        <w:jc w:val="both"/>
        <w:rPr>
          <w:b/>
          <w:i/>
          <w:sz w:val="22"/>
          <w:szCs w:val="22"/>
        </w:rPr>
      </w:pPr>
      <w:r w:rsidRPr="00847079">
        <w:rPr>
          <w:b/>
          <w:i/>
          <w:sz w:val="22"/>
          <w:szCs w:val="22"/>
        </w:rPr>
        <w:t xml:space="preserve">Προϋπολογισμός </w:t>
      </w:r>
      <w:r w:rsidR="0081082E">
        <w:rPr>
          <w:b/>
          <w:i/>
          <w:sz w:val="22"/>
          <w:szCs w:val="22"/>
        </w:rPr>
        <w:t xml:space="preserve"> Ειδικ</w:t>
      </w:r>
      <w:r w:rsidR="00AB6540">
        <w:rPr>
          <w:b/>
          <w:i/>
          <w:sz w:val="22"/>
          <w:szCs w:val="22"/>
        </w:rPr>
        <w:t>ού</w:t>
      </w:r>
      <w:r w:rsidR="0081082E">
        <w:rPr>
          <w:b/>
          <w:i/>
          <w:sz w:val="22"/>
          <w:szCs w:val="22"/>
        </w:rPr>
        <w:t xml:space="preserve"> Λογαριασμ</w:t>
      </w:r>
      <w:r w:rsidR="00AB6540">
        <w:rPr>
          <w:b/>
          <w:i/>
          <w:sz w:val="22"/>
          <w:szCs w:val="22"/>
        </w:rPr>
        <w:t>ού</w:t>
      </w:r>
      <w:r w:rsidR="0081082E">
        <w:rPr>
          <w:b/>
          <w:i/>
          <w:sz w:val="22"/>
          <w:szCs w:val="22"/>
        </w:rPr>
        <w:t xml:space="preserve"> Εγγυήσεων Γεωργικών Προϊόντων (</w:t>
      </w:r>
      <w:r w:rsidRPr="00847079">
        <w:rPr>
          <w:b/>
          <w:i/>
          <w:sz w:val="22"/>
          <w:szCs w:val="22"/>
        </w:rPr>
        <w:t>ΕΛΕΓΕΠ</w:t>
      </w:r>
      <w:r w:rsidR="0081082E">
        <w:rPr>
          <w:b/>
          <w:i/>
          <w:sz w:val="22"/>
          <w:szCs w:val="22"/>
        </w:rPr>
        <w:t>)</w:t>
      </w:r>
    </w:p>
    <w:p w:rsidR="00F26421" w:rsidRPr="00847079" w:rsidRDefault="00F26421" w:rsidP="00F26421">
      <w:pPr>
        <w:jc w:val="both"/>
        <w:rPr>
          <w:b/>
          <w:i/>
          <w:sz w:val="22"/>
          <w:szCs w:val="22"/>
        </w:rPr>
      </w:pPr>
    </w:p>
    <w:p w:rsidR="00F26421" w:rsidRPr="00847079" w:rsidRDefault="00F26421" w:rsidP="00F26421">
      <w:pPr>
        <w:jc w:val="both"/>
        <w:rPr>
          <w:bCs/>
          <w:sz w:val="22"/>
          <w:szCs w:val="22"/>
        </w:rPr>
      </w:pPr>
      <w:r w:rsidRPr="00847079">
        <w:rPr>
          <w:bCs/>
          <w:sz w:val="22"/>
          <w:szCs w:val="22"/>
        </w:rPr>
        <w:t>Οι απολήψεις του τομέα εγγυήσεων γεωργικών προϊόντων που περιλαμβάνονται στον προϋπολογισμό ΕΛΕΓΕΠ (ΕΓΤΕ/ Εγγυήσεις), χρηματοδοτούν τη στήριξη του εισοδήματος του αγροτικού πληθυσμού και την ανάπτυξη της υπαίθρου. Οι εισροές από το Ευρωπαϊκό Γεωργικό Ταμείο Εγγυήσεων (ΕΓΤΕ) αναμένεται να ανέλθουν σε 2.045 εκατ. ευρώ για το έτος 2018, αντιπροσωπεύοντας το 34% των σ</w:t>
      </w:r>
      <w:r w:rsidRPr="00847079">
        <w:rPr>
          <w:bCs/>
          <w:sz w:val="22"/>
          <w:szCs w:val="22"/>
        </w:rPr>
        <w:t>υ</w:t>
      </w:r>
      <w:r w:rsidRPr="00847079">
        <w:rPr>
          <w:bCs/>
          <w:sz w:val="22"/>
          <w:szCs w:val="22"/>
        </w:rPr>
        <w:t>νολικών απολήψεων από την ΕΕ.</w:t>
      </w:r>
    </w:p>
    <w:p w:rsidR="00F26421" w:rsidRPr="00847079" w:rsidRDefault="00F26421" w:rsidP="00F26421">
      <w:pPr>
        <w:keepNext/>
        <w:jc w:val="both"/>
        <w:outlineLvl w:val="4"/>
        <w:rPr>
          <w:b/>
          <w:bCs/>
          <w:sz w:val="22"/>
          <w:szCs w:val="22"/>
        </w:rPr>
      </w:pPr>
    </w:p>
    <w:p w:rsidR="00F26421" w:rsidRPr="0081082E" w:rsidRDefault="00F26421" w:rsidP="00F26421">
      <w:pPr>
        <w:keepNext/>
        <w:jc w:val="both"/>
        <w:outlineLvl w:val="4"/>
        <w:rPr>
          <w:rFonts w:ascii="Arial Narrow" w:hAnsi="Arial Narrow"/>
          <w:b/>
          <w:sz w:val="22"/>
          <w:szCs w:val="22"/>
        </w:rPr>
      </w:pPr>
      <w:r w:rsidRPr="0081082E">
        <w:rPr>
          <w:rFonts w:ascii="Arial Narrow" w:hAnsi="Arial Narrow"/>
          <w:b/>
          <w:sz w:val="22"/>
          <w:szCs w:val="22"/>
        </w:rPr>
        <w:t>Αποδόσεις</w:t>
      </w:r>
    </w:p>
    <w:p w:rsidR="00F26421" w:rsidRPr="00847079" w:rsidRDefault="00F26421" w:rsidP="00F26421">
      <w:pPr>
        <w:jc w:val="both"/>
        <w:rPr>
          <w:sz w:val="22"/>
          <w:szCs w:val="22"/>
        </w:rPr>
      </w:pPr>
    </w:p>
    <w:p w:rsidR="00F26421" w:rsidRDefault="00F26421" w:rsidP="00F26421">
      <w:pPr>
        <w:jc w:val="both"/>
        <w:rPr>
          <w:sz w:val="22"/>
          <w:szCs w:val="22"/>
        </w:rPr>
      </w:pPr>
      <w:r w:rsidRPr="00847079">
        <w:rPr>
          <w:sz w:val="22"/>
          <w:szCs w:val="22"/>
        </w:rPr>
        <w:t>Οι συνολικές συνεισφορές της Ελλάδας στον κοινοτικό προϋπολογισμό κατά το έτος 2018, εκτιμάται ότι θα ανέλθουν σε 1.878 εκατ. ευρώ, εκ των οποίων ποσό 1.203 εκατ. ευρώ προέρχεται από τις συν</w:t>
      </w:r>
      <w:r w:rsidRPr="00847079">
        <w:rPr>
          <w:sz w:val="22"/>
          <w:szCs w:val="22"/>
        </w:rPr>
        <w:t>ε</w:t>
      </w:r>
      <w:r w:rsidRPr="00847079">
        <w:rPr>
          <w:sz w:val="22"/>
          <w:szCs w:val="22"/>
        </w:rPr>
        <w:t xml:space="preserve">ισφορές βάσει Ακαθάριστου Εθνικού Εισοδήματος (ΑΕΕ). </w:t>
      </w:r>
    </w:p>
    <w:p w:rsidR="00C1623F" w:rsidRPr="00D77C59" w:rsidRDefault="00C1623F" w:rsidP="00C1623F">
      <w:pPr>
        <w:jc w:val="both"/>
        <w:rPr>
          <w:sz w:val="18"/>
          <w:szCs w:val="22"/>
        </w:rPr>
      </w:pPr>
    </w:p>
    <w:p w:rsidR="00D77C59" w:rsidRPr="007E1375" w:rsidRDefault="00D77C59" w:rsidP="00D77C59">
      <w:pPr>
        <w:jc w:val="both"/>
        <w:rPr>
          <w:rFonts w:ascii="Arial Narrow" w:hAnsi="Arial Narrow"/>
          <w:b/>
          <w:color w:val="000080"/>
          <w:szCs w:val="22"/>
        </w:rPr>
      </w:pPr>
      <w:r w:rsidRPr="007E1375">
        <w:rPr>
          <w:rFonts w:ascii="Arial Narrow" w:hAnsi="Arial Narrow"/>
          <w:b/>
          <w:color w:val="000080"/>
          <w:szCs w:val="22"/>
        </w:rPr>
        <w:t>Χρηματοροές μεταξύ Ελλάδας και Ευρωπαϊκής Ένωσης το 2019</w:t>
      </w:r>
    </w:p>
    <w:p w:rsidR="00D77C59" w:rsidRPr="00847079" w:rsidRDefault="00D77C59" w:rsidP="00D77C59">
      <w:pPr>
        <w:keepNext/>
        <w:jc w:val="both"/>
        <w:outlineLvl w:val="4"/>
        <w:rPr>
          <w:b/>
          <w:sz w:val="22"/>
          <w:szCs w:val="22"/>
        </w:rPr>
      </w:pPr>
    </w:p>
    <w:p w:rsidR="00D77C59" w:rsidRPr="00847079" w:rsidRDefault="00D77C59" w:rsidP="00D77C59">
      <w:pPr>
        <w:keepNext/>
        <w:jc w:val="both"/>
        <w:outlineLvl w:val="4"/>
        <w:rPr>
          <w:sz w:val="22"/>
          <w:szCs w:val="22"/>
        </w:rPr>
      </w:pPr>
      <w:r w:rsidRPr="00847079">
        <w:rPr>
          <w:sz w:val="22"/>
          <w:szCs w:val="22"/>
        </w:rPr>
        <w:t>Βάση των προβλέψεων των χρηματοροών με την Ευρωπαϊκή Ένωση για το έτος 2019 αποτελεί κυρ</w:t>
      </w:r>
      <w:r w:rsidRPr="00847079">
        <w:rPr>
          <w:sz w:val="22"/>
          <w:szCs w:val="22"/>
        </w:rPr>
        <w:t>ί</w:t>
      </w:r>
      <w:r w:rsidRPr="00847079">
        <w:rPr>
          <w:sz w:val="22"/>
          <w:szCs w:val="22"/>
        </w:rPr>
        <w:t>ως το σχέδιο προϋπολογισμού της ΕΕ του έτους αυτού, η πρόοδος υλοποίησης των συγχρηματοδοτ</w:t>
      </w:r>
      <w:r w:rsidRPr="00847079">
        <w:rPr>
          <w:sz w:val="22"/>
          <w:szCs w:val="22"/>
        </w:rPr>
        <w:t>ο</w:t>
      </w:r>
      <w:r w:rsidRPr="00847079">
        <w:rPr>
          <w:sz w:val="22"/>
          <w:szCs w:val="22"/>
        </w:rPr>
        <w:t>ύμενων προγραμμάτων και οι εισροές που αναμένονται στον προϋπολογισμό ΕΛΕΓΕΠ</w:t>
      </w:r>
      <w:r w:rsidRPr="00847079">
        <w:rPr>
          <w:bCs/>
          <w:sz w:val="22"/>
          <w:szCs w:val="22"/>
        </w:rPr>
        <w:t>.</w:t>
      </w:r>
    </w:p>
    <w:p w:rsidR="00D77C59" w:rsidRPr="00847079" w:rsidRDefault="00D77C59" w:rsidP="00D77C59">
      <w:pPr>
        <w:keepNext/>
        <w:jc w:val="both"/>
        <w:outlineLvl w:val="5"/>
        <w:rPr>
          <w:b/>
          <w:bCs/>
          <w:sz w:val="22"/>
          <w:szCs w:val="22"/>
          <w:highlight w:val="yellow"/>
        </w:rPr>
      </w:pPr>
    </w:p>
    <w:p w:rsidR="00D77C59" w:rsidRPr="007E1375" w:rsidRDefault="00D77C59" w:rsidP="00D77C59">
      <w:pPr>
        <w:keepNext/>
        <w:jc w:val="both"/>
        <w:outlineLvl w:val="4"/>
        <w:rPr>
          <w:rFonts w:ascii="Arial Narrow" w:hAnsi="Arial Narrow"/>
          <w:b/>
          <w:sz w:val="22"/>
          <w:szCs w:val="22"/>
        </w:rPr>
      </w:pPr>
      <w:r w:rsidRPr="007E1375">
        <w:rPr>
          <w:rFonts w:ascii="Arial Narrow" w:hAnsi="Arial Narrow"/>
          <w:b/>
          <w:sz w:val="22"/>
          <w:szCs w:val="22"/>
        </w:rPr>
        <w:t>Απολήψεις</w:t>
      </w:r>
    </w:p>
    <w:p w:rsidR="00D77C59" w:rsidRPr="00847079" w:rsidRDefault="00D77C59" w:rsidP="00D77C59">
      <w:pPr>
        <w:jc w:val="both"/>
        <w:rPr>
          <w:sz w:val="22"/>
          <w:szCs w:val="22"/>
        </w:rPr>
      </w:pPr>
    </w:p>
    <w:p w:rsidR="00D77C59" w:rsidRPr="00847079" w:rsidRDefault="00D77C59" w:rsidP="00D77C59">
      <w:pPr>
        <w:jc w:val="both"/>
        <w:rPr>
          <w:sz w:val="22"/>
          <w:szCs w:val="22"/>
        </w:rPr>
      </w:pPr>
      <w:r w:rsidRPr="00847079">
        <w:rPr>
          <w:sz w:val="22"/>
          <w:szCs w:val="22"/>
        </w:rPr>
        <w:t>Το σύνολο των εισροών της Ελλάδας από την ΕΕ κατά το έτος 2019 προβλέπεται να ανέλθει στο π</w:t>
      </w:r>
      <w:r w:rsidRPr="00847079">
        <w:rPr>
          <w:sz w:val="22"/>
          <w:szCs w:val="22"/>
        </w:rPr>
        <w:t>ο</w:t>
      </w:r>
      <w:r w:rsidRPr="00847079">
        <w:rPr>
          <w:sz w:val="22"/>
          <w:szCs w:val="22"/>
        </w:rPr>
        <w:t xml:space="preserve">σό των 5.778 εκατ. ευρώ, παρουσιάζοντας μικρή μείωση 4,4% σε σχέση με το 2018, λόγω μειωμένων απολήψεων από τον Τακτικό Προϋπολογισμό. </w:t>
      </w:r>
    </w:p>
    <w:p w:rsidR="00D77C59" w:rsidRPr="00847079" w:rsidRDefault="00D77C59" w:rsidP="00D77C59">
      <w:pPr>
        <w:jc w:val="both"/>
        <w:rPr>
          <w:sz w:val="22"/>
          <w:szCs w:val="22"/>
          <w:highlight w:val="yellow"/>
        </w:rPr>
      </w:pPr>
    </w:p>
    <w:p w:rsidR="00D77C59" w:rsidRPr="00847079" w:rsidRDefault="00D77C59" w:rsidP="00D77C59">
      <w:pPr>
        <w:jc w:val="both"/>
        <w:rPr>
          <w:sz w:val="22"/>
          <w:szCs w:val="22"/>
        </w:rPr>
      </w:pPr>
      <w:r w:rsidRPr="00847079">
        <w:rPr>
          <w:sz w:val="22"/>
          <w:szCs w:val="22"/>
        </w:rPr>
        <w:t>Ειδικότερα, προβλέπονται τα εξής:</w:t>
      </w:r>
    </w:p>
    <w:p w:rsidR="00D77C59" w:rsidRPr="00847079" w:rsidRDefault="00D77C59" w:rsidP="00D77C59">
      <w:pPr>
        <w:jc w:val="both"/>
        <w:rPr>
          <w:b/>
          <w:i/>
          <w:sz w:val="22"/>
          <w:szCs w:val="22"/>
        </w:rPr>
      </w:pPr>
    </w:p>
    <w:p w:rsidR="00D77C59" w:rsidRPr="00847079" w:rsidRDefault="00D77C59" w:rsidP="00D77C59">
      <w:pPr>
        <w:jc w:val="both"/>
        <w:rPr>
          <w:b/>
          <w:i/>
          <w:sz w:val="22"/>
          <w:szCs w:val="22"/>
        </w:rPr>
      </w:pPr>
      <w:r w:rsidRPr="00847079">
        <w:rPr>
          <w:b/>
          <w:i/>
          <w:sz w:val="22"/>
          <w:szCs w:val="22"/>
        </w:rPr>
        <w:t>Τακτικός προϋπολογισμός</w:t>
      </w:r>
    </w:p>
    <w:p w:rsidR="00D77C59" w:rsidRPr="00847079" w:rsidRDefault="00D77C59" w:rsidP="00D77C59">
      <w:pPr>
        <w:jc w:val="both"/>
        <w:rPr>
          <w:sz w:val="22"/>
          <w:szCs w:val="22"/>
          <w:highlight w:val="yellow"/>
        </w:rPr>
      </w:pPr>
    </w:p>
    <w:p w:rsidR="00D77C59" w:rsidRPr="00847079" w:rsidRDefault="00D77C59" w:rsidP="00D77C59">
      <w:pPr>
        <w:jc w:val="both"/>
        <w:rPr>
          <w:sz w:val="22"/>
          <w:szCs w:val="22"/>
        </w:rPr>
      </w:pPr>
      <w:r w:rsidRPr="00847079">
        <w:rPr>
          <w:sz w:val="22"/>
          <w:szCs w:val="22"/>
        </w:rPr>
        <w:t xml:space="preserve">Οι προβλεπόμενες εισροές για τον τακτικό προϋπολογισμό ανέρχονται συνολικά σε 63 εκατ. ευρώ. Οι απολήψεις από το ΕΓΤΑΑ για το έτος 2019 αφορούν στο σύνολό τους το Πρόγραμμα Δημοσίων </w:t>
      </w:r>
      <w:r w:rsidRPr="00847079">
        <w:rPr>
          <w:sz w:val="22"/>
          <w:szCs w:val="22"/>
        </w:rPr>
        <w:t>Ε</w:t>
      </w:r>
      <w:r w:rsidRPr="00847079">
        <w:rPr>
          <w:sz w:val="22"/>
          <w:szCs w:val="22"/>
        </w:rPr>
        <w:t>πενδύσεων.</w:t>
      </w:r>
    </w:p>
    <w:p w:rsidR="00D77C59" w:rsidRPr="00847079" w:rsidRDefault="00D77C59" w:rsidP="00D77C59">
      <w:pPr>
        <w:jc w:val="both"/>
        <w:rPr>
          <w:sz w:val="22"/>
          <w:szCs w:val="22"/>
          <w:highlight w:val="yellow"/>
        </w:rPr>
      </w:pPr>
    </w:p>
    <w:p w:rsidR="00D77C59" w:rsidRPr="00847079" w:rsidRDefault="00D77C59" w:rsidP="00D77C59">
      <w:pPr>
        <w:jc w:val="both"/>
        <w:rPr>
          <w:b/>
          <w:i/>
          <w:sz w:val="22"/>
          <w:szCs w:val="22"/>
        </w:rPr>
      </w:pPr>
      <w:r w:rsidRPr="00847079">
        <w:rPr>
          <w:b/>
          <w:i/>
          <w:sz w:val="22"/>
          <w:szCs w:val="22"/>
        </w:rPr>
        <w:t>Προϋπολογισμός Δημοσίων Επενδύσεων</w:t>
      </w:r>
    </w:p>
    <w:p w:rsidR="00D77C59" w:rsidRPr="00847079" w:rsidRDefault="00D77C59" w:rsidP="00D77C59">
      <w:pPr>
        <w:jc w:val="both"/>
        <w:rPr>
          <w:sz w:val="22"/>
          <w:szCs w:val="22"/>
        </w:rPr>
      </w:pPr>
    </w:p>
    <w:p w:rsidR="00D77C59" w:rsidRPr="00847079" w:rsidRDefault="00D77C59" w:rsidP="00D77C59">
      <w:pPr>
        <w:jc w:val="both"/>
        <w:rPr>
          <w:sz w:val="22"/>
          <w:szCs w:val="22"/>
        </w:rPr>
      </w:pPr>
      <w:r w:rsidRPr="00847079">
        <w:rPr>
          <w:sz w:val="22"/>
          <w:szCs w:val="22"/>
        </w:rPr>
        <w:t xml:space="preserve">Οι εισροές του ΠΔΕ, σύμφωνα με τον τρέχοντα σχεδιασμό, προβλέπεται να διαμορφωθούν στο ύψος των 3.560 εκατ. ευρώ σημειώνοντας οριακή αύξηση </w:t>
      </w:r>
      <w:r>
        <w:rPr>
          <w:sz w:val="22"/>
          <w:szCs w:val="22"/>
        </w:rPr>
        <w:t xml:space="preserve">κατά </w:t>
      </w:r>
      <w:r w:rsidRPr="00847079">
        <w:rPr>
          <w:sz w:val="22"/>
          <w:szCs w:val="22"/>
        </w:rPr>
        <w:t>0,1% σε σχέση με το 2018.</w:t>
      </w:r>
    </w:p>
    <w:p w:rsidR="00AB6540" w:rsidRDefault="00AB6540" w:rsidP="00D77C59">
      <w:pPr>
        <w:jc w:val="both"/>
        <w:rPr>
          <w:b/>
          <w:i/>
          <w:sz w:val="22"/>
          <w:szCs w:val="22"/>
        </w:rPr>
      </w:pPr>
    </w:p>
    <w:p w:rsidR="00D77C59" w:rsidRPr="00847079" w:rsidRDefault="00D77C59" w:rsidP="00D77C59">
      <w:pPr>
        <w:jc w:val="both"/>
        <w:rPr>
          <w:b/>
          <w:i/>
          <w:sz w:val="22"/>
          <w:szCs w:val="22"/>
        </w:rPr>
      </w:pPr>
      <w:r w:rsidRPr="00847079">
        <w:rPr>
          <w:b/>
          <w:i/>
          <w:sz w:val="22"/>
          <w:szCs w:val="22"/>
        </w:rPr>
        <w:t>Προϋπολογισμός ΕΛΕΓΕΠ</w:t>
      </w:r>
    </w:p>
    <w:p w:rsidR="00D77C59" w:rsidRPr="00847079" w:rsidRDefault="00D77C59" w:rsidP="00D77C59">
      <w:pPr>
        <w:jc w:val="both"/>
        <w:rPr>
          <w:sz w:val="22"/>
          <w:szCs w:val="22"/>
        </w:rPr>
      </w:pPr>
    </w:p>
    <w:p w:rsidR="00D77C59" w:rsidRPr="00847079" w:rsidRDefault="00D77C59" w:rsidP="00D77C59">
      <w:pPr>
        <w:jc w:val="both"/>
        <w:rPr>
          <w:sz w:val="22"/>
          <w:szCs w:val="22"/>
        </w:rPr>
      </w:pPr>
      <w:r w:rsidRPr="00847079">
        <w:rPr>
          <w:sz w:val="22"/>
          <w:szCs w:val="22"/>
        </w:rPr>
        <w:t>Η πρόβλεψη για τις απολήψεις του προϋπολογισμού ΕΛΕΓΕΠ μέσω του ΕΓΤΕ για το 2019 είναι ποσό ύψους 2.155 εκατ. ευρώ, που αντιστοιχεί σε αύξηση της τάξεως του 5,4% σε σχέση με το προηγούμ</w:t>
      </w:r>
      <w:r w:rsidRPr="00847079">
        <w:rPr>
          <w:sz w:val="22"/>
          <w:szCs w:val="22"/>
        </w:rPr>
        <w:t>ε</w:t>
      </w:r>
      <w:r w:rsidRPr="00847079">
        <w:rPr>
          <w:sz w:val="22"/>
          <w:szCs w:val="22"/>
        </w:rPr>
        <w:t>νο έτος.</w:t>
      </w:r>
    </w:p>
    <w:p w:rsidR="00D77C59" w:rsidRPr="00847079" w:rsidRDefault="00D77C59" w:rsidP="00D77C59">
      <w:pPr>
        <w:jc w:val="both"/>
        <w:rPr>
          <w:sz w:val="22"/>
          <w:szCs w:val="22"/>
          <w:highlight w:val="yellow"/>
        </w:rPr>
      </w:pPr>
    </w:p>
    <w:p w:rsidR="00D77C59" w:rsidRPr="007E1375" w:rsidRDefault="00D77C59" w:rsidP="00D77C59">
      <w:pPr>
        <w:keepNext/>
        <w:jc w:val="both"/>
        <w:outlineLvl w:val="4"/>
        <w:rPr>
          <w:rFonts w:ascii="Arial Narrow" w:hAnsi="Arial Narrow"/>
          <w:b/>
          <w:sz w:val="22"/>
          <w:szCs w:val="22"/>
        </w:rPr>
      </w:pPr>
      <w:r w:rsidRPr="007E1375">
        <w:rPr>
          <w:rFonts w:ascii="Arial Narrow" w:hAnsi="Arial Narrow"/>
          <w:b/>
          <w:sz w:val="22"/>
          <w:szCs w:val="22"/>
        </w:rPr>
        <w:t>Αποδόσεις</w:t>
      </w:r>
    </w:p>
    <w:p w:rsidR="00D77C59" w:rsidRPr="00847079" w:rsidRDefault="00D77C59" w:rsidP="00D77C59">
      <w:pPr>
        <w:jc w:val="both"/>
        <w:rPr>
          <w:b/>
          <w:bCs/>
          <w:sz w:val="22"/>
          <w:szCs w:val="22"/>
        </w:rPr>
      </w:pPr>
    </w:p>
    <w:p w:rsidR="00D77C59" w:rsidRPr="00847079" w:rsidRDefault="00D77C59" w:rsidP="00D77C59">
      <w:pPr>
        <w:jc w:val="both"/>
        <w:outlineLvl w:val="0"/>
        <w:rPr>
          <w:sz w:val="22"/>
          <w:szCs w:val="22"/>
        </w:rPr>
      </w:pPr>
      <w:r w:rsidRPr="00847079">
        <w:rPr>
          <w:sz w:val="22"/>
          <w:szCs w:val="22"/>
        </w:rPr>
        <w:t>Οι συνεισφορές της χώρας μας στον κοινοτικό προϋπολογισμό για το οικονομικό έτος 2019 προβλ</w:t>
      </w:r>
      <w:r w:rsidRPr="00847079">
        <w:rPr>
          <w:sz w:val="22"/>
          <w:szCs w:val="22"/>
        </w:rPr>
        <w:t>έ</w:t>
      </w:r>
      <w:r w:rsidRPr="00847079">
        <w:rPr>
          <w:sz w:val="22"/>
          <w:szCs w:val="22"/>
        </w:rPr>
        <w:t>πεται ότι θα ανέλθουν στο ποσό των 1.911 εκατ. ευρώ, καταγράφοντας μεταβολή 1,8% συγκριτικά με το 2018.</w:t>
      </w:r>
    </w:p>
    <w:p w:rsidR="00C1623F" w:rsidRDefault="00C1623F">
      <w:pPr>
        <w:rPr>
          <w:bCs/>
          <w:sz w:val="20"/>
          <w:szCs w:val="22"/>
        </w:rPr>
      </w:pPr>
    </w:p>
    <w:p w:rsidR="00C1623F" w:rsidRPr="00847079" w:rsidRDefault="00C1623F" w:rsidP="00C1623F">
      <w:pPr>
        <w:jc w:val="both"/>
        <w:rPr>
          <w:sz w:val="22"/>
          <w:szCs w:val="22"/>
        </w:rPr>
      </w:pPr>
    </w:p>
    <w:tbl>
      <w:tblPr>
        <w:tblW w:w="9002" w:type="dxa"/>
        <w:tblInd w:w="98" w:type="dxa"/>
        <w:tblLayout w:type="fixed"/>
        <w:tblLook w:val="04A0"/>
      </w:tblPr>
      <w:tblGrid>
        <w:gridCol w:w="3440"/>
        <w:gridCol w:w="1310"/>
        <w:gridCol w:w="1276"/>
        <w:gridCol w:w="1276"/>
        <w:gridCol w:w="850"/>
        <w:gridCol w:w="850"/>
      </w:tblGrid>
      <w:tr w:rsidR="00C1623F" w:rsidRPr="00986E1C" w:rsidTr="00A56F4F">
        <w:trPr>
          <w:trHeight w:val="372"/>
        </w:trPr>
        <w:tc>
          <w:tcPr>
            <w:tcW w:w="9002" w:type="dxa"/>
            <w:gridSpan w:val="6"/>
            <w:vMerge w:val="restart"/>
            <w:tcBorders>
              <w:top w:val="single" w:sz="4" w:space="0" w:color="auto"/>
              <w:left w:val="single" w:sz="4" w:space="0" w:color="auto"/>
              <w:bottom w:val="nil"/>
              <w:right w:val="single" w:sz="4" w:space="0" w:color="000000"/>
            </w:tcBorders>
            <w:shd w:val="clear" w:color="auto" w:fill="404040" w:themeFill="text1" w:themeFillTint="BF"/>
            <w:tcMar>
              <w:left w:w="28" w:type="dxa"/>
              <w:right w:w="28" w:type="dxa"/>
            </w:tcMar>
            <w:hideMark/>
          </w:tcPr>
          <w:p w:rsidR="00C1623F" w:rsidRPr="00986E1C" w:rsidRDefault="00C1623F" w:rsidP="00A56F4F">
            <w:pPr>
              <w:spacing w:before="60"/>
              <w:jc w:val="center"/>
              <w:rPr>
                <w:rFonts w:ascii="Arial Narrow" w:hAnsi="Arial Narrow"/>
                <w:b/>
                <w:bCs/>
                <w:color w:val="FFFFFF"/>
                <w:szCs w:val="22"/>
              </w:rPr>
            </w:pPr>
            <w:bookmarkStart w:id="9" w:name="RANGE!A3:G46"/>
            <w:r>
              <w:rPr>
                <w:rFonts w:ascii="Arial Narrow" w:hAnsi="Arial Narrow"/>
                <w:b/>
                <w:bCs/>
                <w:color w:val="FFFFFF"/>
                <w:szCs w:val="22"/>
              </w:rPr>
              <w:lastRenderedPageBreak/>
              <w:t xml:space="preserve">Πίνακας </w:t>
            </w:r>
            <w:r w:rsidR="00A177B5">
              <w:rPr>
                <w:rFonts w:ascii="Arial Narrow" w:hAnsi="Arial Narrow"/>
                <w:b/>
                <w:bCs/>
                <w:color w:val="FFFFFF"/>
                <w:szCs w:val="22"/>
              </w:rPr>
              <w:t>3.13</w:t>
            </w:r>
            <w:r>
              <w:rPr>
                <w:rFonts w:ascii="Arial Narrow" w:hAnsi="Arial Narrow"/>
                <w:b/>
                <w:bCs/>
                <w:color w:val="FFFFFF"/>
                <w:szCs w:val="22"/>
              </w:rPr>
              <w:t xml:space="preserve"> </w:t>
            </w:r>
            <w:r w:rsidRPr="00986E1C">
              <w:rPr>
                <w:rFonts w:ascii="Arial Narrow" w:hAnsi="Arial Narrow"/>
                <w:b/>
                <w:bCs/>
                <w:color w:val="FFFFFF"/>
                <w:szCs w:val="22"/>
              </w:rPr>
              <w:t xml:space="preserve"> Χρηματ</w:t>
            </w:r>
            <w:r>
              <w:rPr>
                <w:rFonts w:ascii="Arial Narrow" w:hAnsi="Arial Narrow"/>
                <w:b/>
                <w:bCs/>
                <w:color w:val="FFFFFF"/>
                <w:szCs w:val="22"/>
              </w:rPr>
              <w:t>οροές μεταξύ Ελλάδας και ΕΕ 2017-2019</w:t>
            </w:r>
          </w:p>
          <w:p w:rsidR="00C1623F" w:rsidRPr="00986E1C" w:rsidRDefault="00C1623F" w:rsidP="00A56F4F">
            <w:pPr>
              <w:spacing w:after="60"/>
              <w:jc w:val="center"/>
              <w:rPr>
                <w:rFonts w:ascii="Arial Narrow" w:hAnsi="Arial Narrow"/>
                <w:b/>
                <w:bCs/>
                <w:color w:val="FFFFFF"/>
                <w:sz w:val="22"/>
                <w:szCs w:val="22"/>
              </w:rPr>
            </w:pPr>
            <w:r w:rsidRPr="00986E1C">
              <w:rPr>
                <w:rFonts w:ascii="Arial Narrow" w:hAnsi="Arial Narrow"/>
                <w:b/>
                <w:bCs/>
                <w:color w:val="FFFFFF"/>
                <w:szCs w:val="22"/>
              </w:rPr>
              <w:t>(σε εκατ. ευρώ)</w:t>
            </w:r>
            <w:bookmarkEnd w:id="9"/>
          </w:p>
        </w:tc>
      </w:tr>
      <w:tr w:rsidR="00C1623F" w:rsidRPr="00986E1C" w:rsidTr="00A56F4F">
        <w:trPr>
          <w:trHeight w:val="300"/>
        </w:trPr>
        <w:tc>
          <w:tcPr>
            <w:tcW w:w="9002" w:type="dxa"/>
            <w:gridSpan w:val="6"/>
            <w:vMerge/>
            <w:tcBorders>
              <w:top w:val="single" w:sz="4" w:space="0" w:color="auto"/>
              <w:left w:val="single" w:sz="4" w:space="0" w:color="auto"/>
              <w:bottom w:val="nil"/>
              <w:right w:val="single" w:sz="4" w:space="0" w:color="000000"/>
            </w:tcBorders>
            <w:shd w:val="clear" w:color="auto" w:fill="404040" w:themeFill="text1" w:themeFillTint="BF"/>
            <w:tcMar>
              <w:left w:w="28" w:type="dxa"/>
              <w:right w:w="28" w:type="dxa"/>
            </w:tcMar>
            <w:vAlign w:val="center"/>
            <w:hideMark/>
          </w:tcPr>
          <w:p w:rsidR="00C1623F" w:rsidRPr="00986E1C" w:rsidRDefault="00C1623F" w:rsidP="00A56F4F">
            <w:pPr>
              <w:rPr>
                <w:rFonts w:ascii="Arial Narrow" w:hAnsi="Arial Narrow"/>
                <w:b/>
                <w:bCs/>
                <w:color w:val="FFFFFF"/>
                <w:sz w:val="22"/>
                <w:szCs w:val="22"/>
              </w:rPr>
            </w:pPr>
          </w:p>
        </w:tc>
      </w:tr>
      <w:tr w:rsidR="00C1623F" w:rsidRPr="00D77C59" w:rsidTr="00A56F4F">
        <w:trPr>
          <w:trHeight w:val="20"/>
        </w:trPr>
        <w:tc>
          <w:tcPr>
            <w:tcW w:w="3440"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C1623F" w:rsidRPr="00D77C59" w:rsidRDefault="00C1623F" w:rsidP="00A56F4F">
            <w:pPr>
              <w:jc w:val="center"/>
              <w:rPr>
                <w:rFonts w:ascii="Arial Narrow" w:hAnsi="Arial Narrow"/>
                <w:b/>
                <w:bCs/>
                <w:color w:val="000000"/>
                <w:sz w:val="12"/>
                <w:szCs w:val="22"/>
              </w:rPr>
            </w:pPr>
            <w:r w:rsidRPr="00D77C59">
              <w:rPr>
                <w:rFonts w:ascii="Arial Narrow" w:hAnsi="Arial Narrow"/>
                <w:b/>
                <w:bCs/>
                <w:color w:val="000000"/>
                <w:sz w:val="12"/>
                <w:szCs w:val="22"/>
              </w:rPr>
              <w:t> </w:t>
            </w:r>
          </w:p>
        </w:tc>
        <w:tc>
          <w:tcPr>
            <w:tcW w:w="1310" w:type="dxa"/>
            <w:tcBorders>
              <w:top w:val="nil"/>
              <w:left w:val="nil"/>
              <w:bottom w:val="single" w:sz="4" w:space="0" w:color="auto"/>
              <w:right w:val="nil"/>
            </w:tcBorders>
            <w:shd w:val="clear" w:color="auto" w:fill="auto"/>
            <w:tcMar>
              <w:left w:w="28" w:type="dxa"/>
              <w:right w:w="28" w:type="dxa"/>
            </w:tcMar>
            <w:vAlign w:val="bottom"/>
            <w:hideMark/>
          </w:tcPr>
          <w:p w:rsidR="00C1623F" w:rsidRPr="00D77C59" w:rsidRDefault="00C1623F" w:rsidP="00A56F4F">
            <w:pPr>
              <w:jc w:val="center"/>
              <w:rPr>
                <w:rFonts w:ascii="Arial Narrow" w:hAnsi="Arial Narrow"/>
                <w:b/>
                <w:bCs/>
                <w:color w:val="000000"/>
                <w:sz w:val="12"/>
                <w:szCs w:val="22"/>
              </w:rPr>
            </w:pPr>
            <w:r w:rsidRPr="00D77C59">
              <w:rPr>
                <w:rFonts w:ascii="Arial Narrow" w:hAnsi="Arial Narrow"/>
                <w:b/>
                <w:bCs/>
                <w:color w:val="000000"/>
                <w:sz w:val="12"/>
                <w:szCs w:val="22"/>
              </w:rPr>
              <w:t> </w:t>
            </w:r>
          </w:p>
        </w:tc>
        <w:tc>
          <w:tcPr>
            <w:tcW w:w="1276" w:type="dxa"/>
            <w:tcBorders>
              <w:top w:val="nil"/>
              <w:left w:val="nil"/>
              <w:bottom w:val="single" w:sz="4" w:space="0" w:color="auto"/>
              <w:right w:val="nil"/>
            </w:tcBorders>
            <w:shd w:val="clear" w:color="auto" w:fill="auto"/>
            <w:tcMar>
              <w:left w:w="28" w:type="dxa"/>
              <w:right w:w="28" w:type="dxa"/>
            </w:tcMar>
            <w:vAlign w:val="bottom"/>
            <w:hideMark/>
          </w:tcPr>
          <w:p w:rsidR="00C1623F" w:rsidRPr="00D77C59" w:rsidRDefault="00C1623F" w:rsidP="00A56F4F">
            <w:pPr>
              <w:jc w:val="center"/>
              <w:rPr>
                <w:rFonts w:ascii="Arial Narrow" w:hAnsi="Arial Narrow"/>
                <w:b/>
                <w:bCs/>
                <w:color w:val="000000"/>
                <w:sz w:val="12"/>
                <w:szCs w:val="22"/>
              </w:rPr>
            </w:pPr>
            <w:r w:rsidRPr="00D77C59">
              <w:rPr>
                <w:rFonts w:ascii="Arial Narrow" w:hAnsi="Arial Narrow"/>
                <w:b/>
                <w:bCs/>
                <w:color w:val="000000"/>
                <w:sz w:val="12"/>
                <w:szCs w:val="22"/>
              </w:rPr>
              <w:t> </w:t>
            </w:r>
          </w:p>
        </w:tc>
        <w:tc>
          <w:tcPr>
            <w:tcW w:w="1276" w:type="dxa"/>
            <w:tcBorders>
              <w:top w:val="nil"/>
              <w:left w:val="nil"/>
              <w:bottom w:val="nil"/>
              <w:right w:val="nil"/>
            </w:tcBorders>
            <w:shd w:val="clear" w:color="auto" w:fill="auto"/>
            <w:tcMar>
              <w:left w:w="28" w:type="dxa"/>
              <w:right w:w="28" w:type="dxa"/>
            </w:tcMar>
            <w:vAlign w:val="bottom"/>
            <w:hideMark/>
          </w:tcPr>
          <w:p w:rsidR="00C1623F" w:rsidRPr="00D77C59" w:rsidRDefault="00C1623F" w:rsidP="00A56F4F">
            <w:pPr>
              <w:jc w:val="center"/>
              <w:rPr>
                <w:rFonts w:ascii="Arial Narrow" w:hAnsi="Arial Narrow"/>
                <w:b/>
                <w:bCs/>
                <w:color w:val="000000"/>
                <w:sz w:val="12"/>
                <w:szCs w:val="22"/>
              </w:rPr>
            </w:pPr>
          </w:p>
        </w:tc>
        <w:tc>
          <w:tcPr>
            <w:tcW w:w="850" w:type="dxa"/>
            <w:tcBorders>
              <w:top w:val="nil"/>
              <w:left w:val="nil"/>
              <w:bottom w:val="nil"/>
              <w:right w:val="nil"/>
            </w:tcBorders>
            <w:shd w:val="clear" w:color="auto" w:fill="auto"/>
            <w:tcMar>
              <w:left w:w="28" w:type="dxa"/>
              <w:right w:w="28" w:type="dxa"/>
            </w:tcMar>
            <w:vAlign w:val="bottom"/>
            <w:hideMark/>
          </w:tcPr>
          <w:p w:rsidR="00C1623F" w:rsidRPr="00D77C59" w:rsidRDefault="00C1623F" w:rsidP="00A56F4F">
            <w:pPr>
              <w:jc w:val="center"/>
              <w:rPr>
                <w:rFonts w:ascii="Arial Narrow" w:hAnsi="Arial Narrow"/>
                <w:b/>
                <w:bCs/>
                <w:color w:val="000000"/>
                <w:sz w:val="12"/>
                <w:szCs w:val="22"/>
              </w:rPr>
            </w:pPr>
          </w:p>
        </w:tc>
        <w:tc>
          <w:tcPr>
            <w:tcW w:w="850" w:type="dxa"/>
            <w:tcBorders>
              <w:top w:val="nil"/>
              <w:left w:val="nil"/>
              <w:bottom w:val="nil"/>
              <w:right w:val="single" w:sz="4" w:space="0" w:color="auto"/>
            </w:tcBorders>
            <w:shd w:val="clear" w:color="auto" w:fill="auto"/>
            <w:tcMar>
              <w:left w:w="28" w:type="dxa"/>
              <w:right w:w="28" w:type="dxa"/>
            </w:tcMar>
            <w:vAlign w:val="bottom"/>
            <w:hideMark/>
          </w:tcPr>
          <w:p w:rsidR="00C1623F" w:rsidRPr="00D77C59" w:rsidRDefault="00C1623F" w:rsidP="00A56F4F">
            <w:pPr>
              <w:jc w:val="center"/>
              <w:rPr>
                <w:rFonts w:ascii="Arial Narrow" w:hAnsi="Arial Narrow"/>
                <w:b/>
                <w:bCs/>
                <w:color w:val="000000"/>
                <w:sz w:val="12"/>
                <w:szCs w:val="22"/>
              </w:rPr>
            </w:pPr>
            <w:r w:rsidRPr="00D77C59">
              <w:rPr>
                <w:rFonts w:ascii="Arial Narrow" w:hAnsi="Arial Narrow"/>
                <w:b/>
                <w:bCs/>
                <w:color w:val="000000"/>
                <w:sz w:val="12"/>
                <w:szCs w:val="22"/>
              </w:rPr>
              <w:t> </w:t>
            </w:r>
          </w:p>
        </w:tc>
      </w:tr>
      <w:tr w:rsidR="00C1623F" w:rsidRPr="00986E1C" w:rsidTr="00A56F4F">
        <w:trPr>
          <w:trHeight w:val="20"/>
        </w:trPr>
        <w:tc>
          <w:tcPr>
            <w:tcW w:w="3440" w:type="dxa"/>
            <w:vMerge w:val="restart"/>
            <w:tcBorders>
              <w:top w:val="nil"/>
              <w:left w:val="single" w:sz="4" w:space="0" w:color="auto"/>
              <w:bottom w:val="single" w:sz="4" w:space="0" w:color="000000"/>
              <w:right w:val="nil"/>
            </w:tcBorders>
            <w:shd w:val="clear" w:color="auto" w:fill="auto"/>
            <w:noWrap/>
            <w:tcMar>
              <w:left w:w="28" w:type="dxa"/>
              <w:right w:w="28" w:type="dxa"/>
            </w:tcMar>
            <w:vAlign w:val="bottom"/>
            <w:hideMark/>
          </w:tcPr>
          <w:p w:rsidR="00C1623F" w:rsidRPr="00986E1C" w:rsidRDefault="00C1623F" w:rsidP="00A56F4F">
            <w:pPr>
              <w:rPr>
                <w:rFonts w:ascii="Arial Narrow" w:hAnsi="Arial Narrow"/>
                <w:color w:val="000000"/>
                <w:sz w:val="16"/>
                <w:szCs w:val="16"/>
              </w:rPr>
            </w:pPr>
            <w:r w:rsidRPr="00986E1C">
              <w:rPr>
                <w:rFonts w:ascii="Arial Narrow" w:hAnsi="Arial Narrow"/>
                <w:color w:val="000000"/>
                <w:sz w:val="16"/>
                <w:szCs w:val="16"/>
              </w:rPr>
              <w:t> </w:t>
            </w:r>
          </w:p>
        </w:tc>
        <w:tc>
          <w:tcPr>
            <w:tcW w:w="1310"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sidRPr="00986E1C">
              <w:rPr>
                <w:rFonts w:ascii="Arial Narrow" w:hAnsi="Arial Narrow"/>
                <w:b/>
                <w:bCs/>
                <w:color w:val="000000"/>
                <w:sz w:val="16"/>
                <w:szCs w:val="16"/>
              </w:rPr>
              <w:t>201</w:t>
            </w:r>
            <w:r>
              <w:rPr>
                <w:rFonts w:ascii="Arial Narrow" w:hAnsi="Arial Narrow"/>
                <w:b/>
                <w:bCs/>
                <w:color w:val="000000"/>
                <w:sz w:val="16"/>
                <w:szCs w:val="16"/>
              </w:rPr>
              <w:t>7</w:t>
            </w:r>
          </w:p>
        </w:tc>
        <w:tc>
          <w:tcPr>
            <w:tcW w:w="1276"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Pr>
                <w:rFonts w:ascii="Arial Narrow" w:hAnsi="Arial Narrow"/>
                <w:b/>
                <w:bCs/>
                <w:color w:val="000000"/>
                <w:sz w:val="16"/>
                <w:szCs w:val="16"/>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Pr>
                <w:rFonts w:ascii="Arial Narrow" w:hAnsi="Arial Narrow"/>
                <w:b/>
                <w:bCs/>
                <w:color w:val="000000"/>
                <w:sz w:val="16"/>
                <w:szCs w:val="16"/>
              </w:rPr>
              <w:t>2019</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Pr>
                <w:rFonts w:ascii="Arial Narrow" w:hAnsi="Arial Narrow"/>
                <w:b/>
                <w:bCs/>
                <w:color w:val="000000"/>
                <w:sz w:val="16"/>
                <w:szCs w:val="16"/>
              </w:rPr>
              <w:t>2018/17</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Pr>
                <w:rFonts w:ascii="Arial Narrow" w:hAnsi="Arial Narrow"/>
                <w:b/>
                <w:bCs/>
                <w:color w:val="000000"/>
                <w:sz w:val="16"/>
                <w:szCs w:val="16"/>
              </w:rPr>
              <w:t>2019/18</w:t>
            </w:r>
          </w:p>
        </w:tc>
      </w:tr>
      <w:tr w:rsidR="00C1623F" w:rsidRPr="00986E1C" w:rsidTr="00A56F4F">
        <w:trPr>
          <w:trHeight w:val="20"/>
        </w:trPr>
        <w:tc>
          <w:tcPr>
            <w:tcW w:w="3440" w:type="dxa"/>
            <w:vMerge/>
            <w:tcBorders>
              <w:top w:val="nil"/>
              <w:left w:val="single" w:sz="4" w:space="0" w:color="auto"/>
              <w:bottom w:val="single" w:sz="4" w:space="0" w:color="000000"/>
              <w:right w:val="nil"/>
            </w:tcBorders>
            <w:tcMar>
              <w:left w:w="28" w:type="dxa"/>
              <w:right w:w="28" w:type="dxa"/>
            </w:tcMar>
            <w:vAlign w:val="center"/>
            <w:hideMark/>
          </w:tcPr>
          <w:p w:rsidR="00C1623F" w:rsidRPr="00986E1C" w:rsidRDefault="00C1623F" w:rsidP="00A56F4F">
            <w:pPr>
              <w:rPr>
                <w:rFonts w:ascii="Arial Narrow" w:hAnsi="Arial Narrow"/>
                <w:color w:val="000000"/>
                <w:sz w:val="16"/>
                <w:szCs w:val="16"/>
              </w:rPr>
            </w:pPr>
          </w:p>
        </w:tc>
        <w:tc>
          <w:tcPr>
            <w:tcW w:w="1310"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sidRPr="00986E1C">
              <w:rPr>
                <w:rFonts w:ascii="Arial Narrow" w:hAnsi="Arial Narrow"/>
                <w:b/>
                <w:bCs/>
                <w:color w:val="000000"/>
                <w:sz w:val="16"/>
                <w:szCs w:val="16"/>
              </w:rPr>
              <w:t>Πραγμ/σεις</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sidRPr="00986E1C">
              <w:rPr>
                <w:rFonts w:ascii="Arial Narrow" w:hAnsi="Arial Narrow"/>
                <w:b/>
                <w:bCs/>
                <w:color w:val="000000"/>
                <w:sz w:val="16"/>
                <w:szCs w:val="16"/>
              </w:rPr>
              <w:t>Εκτιμήσεις</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sidRPr="00986E1C">
              <w:rPr>
                <w:rFonts w:ascii="Arial Narrow" w:hAnsi="Arial Narrow"/>
                <w:b/>
                <w:bCs/>
                <w:color w:val="000000"/>
                <w:sz w:val="16"/>
                <w:szCs w:val="16"/>
              </w:rPr>
              <w:t>Προβλέψεις</w:t>
            </w:r>
          </w:p>
        </w:tc>
        <w:tc>
          <w:tcPr>
            <w:tcW w:w="1700"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bottom"/>
            <w:hideMark/>
          </w:tcPr>
          <w:p w:rsidR="00C1623F" w:rsidRPr="00986E1C" w:rsidRDefault="00C1623F" w:rsidP="00A56F4F">
            <w:pPr>
              <w:jc w:val="center"/>
              <w:rPr>
                <w:rFonts w:ascii="Arial Narrow" w:hAnsi="Arial Narrow"/>
                <w:b/>
                <w:bCs/>
                <w:color w:val="000000"/>
                <w:sz w:val="16"/>
                <w:szCs w:val="16"/>
              </w:rPr>
            </w:pPr>
            <w:r w:rsidRPr="00986E1C">
              <w:rPr>
                <w:rFonts w:ascii="Arial Narrow" w:hAnsi="Arial Narrow"/>
                <w:b/>
                <w:bCs/>
                <w:color w:val="000000"/>
                <w:sz w:val="16"/>
                <w:szCs w:val="16"/>
              </w:rPr>
              <w:t>Μεταβολή %</w:t>
            </w:r>
          </w:p>
        </w:tc>
      </w:tr>
      <w:tr w:rsidR="00C1623F" w:rsidRPr="00986E1C" w:rsidTr="00A56F4F">
        <w:trPr>
          <w:trHeight w:val="227"/>
        </w:trPr>
        <w:tc>
          <w:tcPr>
            <w:tcW w:w="3440" w:type="dxa"/>
            <w:tcBorders>
              <w:top w:val="nil"/>
              <w:left w:val="single" w:sz="4" w:space="0" w:color="auto"/>
              <w:bottom w:val="nil"/>
              <w:right w:val="nil"/>
            </w:tcBorders>
            <w:shd w:val="clear" w:color="auto" w:fill="BFBFBF" w:themeFill="background1" w:themeFillShade="BF"/>
            <w:noWrap/>
            <w:tcMar>
              <w:left w:w="28" w:type="dxa"/>
              <w:right w:w="28" w:type="dxa"/>
            </w:tcMar>
            <w:vAlign w:val="bottom"/>
            <w:hideMark/>
          </w:tcPr>
          <w:p w:rsidR="00C1623F" w:rsidRPr="00986E1C" w:rsidRDefault="00C1623F" w:rsidP="00A56F4F">
            <w:pPr>
              <w:spacing w:before="40" w:after="40"/>
              <w:rPr>
                <w:rFonts w:ascii="Arial Narrow" w:hAnsi="Arial Narrow"/>
                <w:b/>
                <w:bCs/>
                <w:color w:val="000000"/>
                <w:sz w:val="16"/>
                <w:szCs w:val="16"/>
              </w:rPr>
            </w:pPr>
            <w:r w:rsidRPr="00986E1C">
              <w:rPr>
                <w:rFonts w:ascii="Arial Narrow" w:hAnsi="Arial Narrow"/>
                <w:b/>
                <w:bCs/>
                <w:color w:val="000000"/>
                <w:sz w:val="16"/>
                <w:szCs w:val="16"/>
              </w:rPr>
              <w:t>Αποδόσεις στην Ευρωπαϊκή Ένωση (Ι)</w:t>
            </w:r>
          </w:p>
        </w:tc>
        <w:tc>
          <w:tcPr>
            <w:tcW w:w="1310" w:type="dxa"/>
            <w:tcBorders>
              <w:top w:val="nil"/>
              <w:left w:val="nil"/>
              <w:bottom w:val="nil"/>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1.866</w:t>
            </w:r>
          </w:p>
        </w:tc>
        <w:tc>
          <w:tcPr>
            <w:tcW w:w="1276" w:type="dxa"/>
            <w:tcBorders>
              <w:top w:val="nil"/>
              <w:left w:val="nil"/>
              <w:bottom w:val="nil"/>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1.878</w:t>
            </w:r>
          </w:p>
        </w:tc>
        <w:tc>
          <w:tcPr>
            <w:tcW w:w="1276" w:type="dxa"/>
            <w:tcBorders>
              <w:top w:val="nil"/>
              <w:left w:val="nil"/>
              <w:bottom w:val="nil"/>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1.911</w:t>
            </w:r>
          </w:p>
        </w:tc>
        <w:tc>
          <w:tcPr>
            <w:tcW w:w="850" w:type="dxa"/>
            <w:tcBorders>
              <w:top w:val="nil"/>
              <w:left w:val="nil"/>
              <w:bottom w:val="nil"/>
              <w:right w:val="nil"/>
            </w:tcBorders>
            <w:shd w:val="clear" w:color="auto" w:fill="BFBFBF" w:themeFill="background1" w:themeFillShade="BF"/>
            <w:noWrap/>
            <w:tcMar>
              <w:left w:w="28" w:type="dxa"/>
              <w:right w:w="28" w:type="dxa"/>
            </w:tcMar>
            <w:vAlign w:val="center"/>
            <w:hideMark/>
          </w:tcPr>
          <w:p w:rsidR="00C1623F" w:rsidRDefault="00C1623F" w:rsidP="00A56F4F">
            <w:pPr>
              <w:tabs>
                <w:tab w:val="decimal" w:pos="538"/>
              </w:tabs>
              <w:spacing w:before="40" w:after="40"/>
              <w:jc w:val="both"/>
              <w:rPr>
                <w:rFonts w:ascii="Arial Narrow" w:hAnsi="Arial Narrow" w:cs="Arial"/>
                <w:b/>
                <w:bCs/>
                <w:sz w:val="16"/>
                <w:szCs w:val="16"/>
              </w:rPr>
            </w:pPr>
            <w:r>
              <w:rPr>
                <w:rFonts w:ascii="Arial Narrow" w:hAnsi="Arial Narrow" w:cs="Arial"/>
                <w:b/>
                <w:bCs/>
                <w:sz w:val="16"/>
                <w:szCs w:val="16"/>
              </w:rPr>
              <w:t>0,7</w:t>
            </w:r>
          </w:p>
        </w:tc>
        <w:tc>
          <w:tcPr>
            <w:tcW w:w="850" w:type="dxa"/>
            <w:tcBorders>
              <w:top w:val="nil"/>
              <w:left w:val="nil"/>
              <w:bottom w:val="nil"/>
              <w:right w:val="single" w:sz="4" w:space="0" w:color="auto"/>
            </w:tcBorders>
            <w:shd w:val="clear" w:color="auto" w:fill="BFBFBF" w:themeFill="background1" w:themeFillShade="BF"/>
            <w:noWrap/>
            <w:tcMar>
              <w:left w:w="28" w:type="dxa"/>
              <w:right w:w="28" w:type="dxa"/>
            </w:tcMar>
            <w:vAlign w:val="center"/>
            <w:hideMark/>
          </w:tcPr>
          <w:p w:rsidR="00C1623F" w:rsidRDefault="00C1623F" w:rsidP="00A56F4F">
            <w:pPr>
              <w:tabs>
                <w:tab w:val="decimal" w:pos="538"/>
              </w:tabs>
              <w:spacing w:before="40" w:after="40"/>
              <w:jc w:val="both"/>
              <w:rPr>
                <w:rFonts w:ascii="Arial Narrow" w:hAnsi="Arial Narrow" w:cs="Arial"/>
                <w:b/>
                <w:bCs/>
                <w:sz w:val="16"/>
                <w:szCs w:val="16"/>
              </w:rPr>
            </w:pPr>
            <w:r>
              <w:rPr>
                <w:rFonts w:ascii="Arial Narrow" w:hAnsi="Arial Narrow" w:cs="Arial"/>
                <w:b/>
                <w:bCs/>
                <w:sz w:val="16"/>
                <w:szCs w:val="16"/>
              </w:rPr>
              <w:t>1,8</w:t>
            </w:r>
          </w:p>
        </w:tc>
      </w:tr>
      <w:tr w:rsidR="00C1623F" w:rsidRPr="00986E1C" w:rsidTr="00A56F4F">
        <w:trPr>
          <w:trHeight w:val="227"/>
        </w:trPr>
        <w:tc>
          <w:tcPr>
            <w:tcW w:w="3440" w:type="dxa"/>
            <w:tcBorders>
              <w:top w:val="nil"/>
              <w:left w:val="single" w:sz="4" w:space="0" w:color="auto"/>
              <w:bottom w:val="nil"/>
              <w:right w:val="nil"/>
            </w:tcBorders>
            <w:shd w:val="clear" w:color="auto" w:fill="D9D9D9" w:themeFill="background1" w:themeFillShade="D9"/>
            <w:noWrap/>
            <w:tcMar>
              <w:left w:w="28" w:type="dxa"/>
              <w:right w:w="28" w:type="dxa"/>
            </w:tcMar>
            <w:vAlign w:val="bottom"/>
            <w:hideMark/>
          </w:tcPr>
          <w:p w:rsidR="00C1623F" w:rsidRPr="00986E1C" w:rsidRDefault="00C1623F" w:rsidP="00A56F4F">
            <w:pPr>
              <w:rPr>
                <w:rFonts w:ascii="Arial Narrow" w:hAnsi="Arial Narrow"/>
                <w:b/>
                <w:bCs/>
                <w:color w:val="000000"/>
                <w:sz w:val="16"/>
                <w:szCs w:val="16"/>
              </w:rPr>
            </w:pPr>
            <w:r w:rsidRPr="00986E1C">
              <w:rPr>
                <w:rFonts w:ascii="Arial Narrow" w:hAnsi="Arial Narrow"/>
                <w:b/>
                <w:bCs/>
                <w:color w:val="000000"/>
                <w:sz w:val="16"/>
                <w:szCs w:val="16"/>
              </w:rPr>
              <w:t>Ίδιοι κοινοτικοί πόροι</w:t>
            </w:r>
          </w:p>
        </w:tc>
        <w:tc>
          <w:tcPr>
            <w:tcW w:w="1310"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1.627</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1.745</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1.778</w:t>
            </w:r>
          </w:p>
        </w:tc>
        <w:tc>
          <w:tcPr>
            <w:tcW w:w="850" w:type="dxa"/>
            <w:tcBorders>
              <w:top w:val="nil"/>
              <w:left w:val="nil"/>
              <w:bottom w:val="nil"/>
              <w:right w:val="nil"/>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7,3</w:t>
            </w:r>
          </w:p>
        </w:tc>
        <w:tc>
          <w:tcPr>
            <w:tcW w:w="850"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1,9</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Δασμοί ΚΕΔ και αντιντάμπιγκ</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266</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219</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204</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-17,8</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-6,8</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Εισφορές ζάχαρης και ισογλυκόζης</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5,3</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0,0</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Συνεισφορές βάσει ΦΠΑ</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342</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321</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327</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-6,3</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1,9</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Συνεισφορές βάσει ΑΕΕ</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1.016</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1.203</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1.245</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18,4</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3,5</w:t>
            </w:r>
          </w:p>
        </w:tc>
      </w:tr>
      <w:tr w:rsidR="00C1623F" w:rsidRPr="00986E1C" w:rsidTr="00A56F4F">
        <w:trPr>
          <w:trHeight w:val="227"/>
        </w:trPr>
        <w:tc>
          <w:tcPr>
            <w:tcW w:w="3440" w:type="dxa"/>
            <w:tcBorders>
              <w:top w:val="nil"/>
              <w:left w:val="single" w:sz="4" w:space="0" w:color="auto"/>
              <w:bottom w:val="nil"/>
              <w:right w:val="nil"/>
            </w:tcBorders>
            <w:shd w:val="clear" w:color="auto" w:fill="D9D9D9" w:themeFill="background1" w:themeFillShade="D9"/>
            <w:noWrap/>
            <w:tcMar>
              <w:left w:w="28" w:type="dxa"/>
              <w:right w:w="28" w:type="dxa"/>
            </w:tcMar>
            <w:vAlign w:val="bottom"/>
            <w:hideMark/>
          </w:tcPr>
          <w:p w:rsidR="00C1623F" w:rsidRPr="00986E1C" w:rsidRDefault="00C1623F" w:rsidP="00A56F4F">
            <w:pPr>
              <w:rPr>
                <w:rFonts w:ascii="Arial Narrow" w:hAnsi="Arial Narrow"/>
                <w:b/>
                <w:bCs/>
                <w:color w:val="000000"/>
                <w:sz w:val="16"/>
                <w:szCs w:val="16"/>
              </w:rPr>
            </w:pPr>
            <w:r w:rsidRPr="00986E1C">
              <w:rPr>
                <w:rFonts w:ascii="Arial Narrow" w:hAnsi="Arial Narrow"/>
                <w:b/>
                <w:bCs/>
                <w:color w:val="000000"/>
                <w:sz w:val="16"/>
                <w:szCs w:val="16"/>
              </w:rPr>
              <w:t xml:space="preserve">Λοιπές συνεισφορές-επιστροφές </w:t>
            </w:r>
          </w:p>
        </w:tc>
        <w:tc>
          <w:tcPr>
            <w:tcW w:w="1310"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168</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55</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55</w:t>
            </w:r>
          </w:p>
        </w:tc>
        <w:tc>
          <w:tcPr>
            <w:tcW w:w="850" w:type="dxa"/>
            <w:tcBorders>
              <w:top w:val="nil"/>
              <w:left w:val="nil"/>
              <w:bottom w:val="nil"/>
              <w:right w:val="nil"/>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-67,2</w:t>
            </w:r>
          </w:p>
        </w:tc>
        <w:tc>
          <w:tcPr>
            <w:tcW w:w="850"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0,0</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Πρόσθετες έκτακτες συνεισφορές</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53</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5</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5</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-90,5</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0,0</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Επιστροφές από ανεκτέλεστα προγράμματα</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115</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50</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50</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-56,6</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0,0</w:t>
            </w:r>
          </w:p>
        </w:tc>
      </w:tr>
      <w:tr w:rsidR="00C1623F" w:rsidRPr="00986E1C" w:rsidTr="00A56F4F">
        <w:trPr>
          <w:trHeight w:val="227"/>
        </w:trPr>
        <w:tc>
          <w:tcPr>
            <w:tcW w:w="3440" w:type="dxa"/>
            <w:tcBorders>
              <w:top w:val="nil"/>
              <w:left w:val="single" w:sz="4" w:space="0" w:color="auto"/>
              <w:bottom w:val="nil"/>
              <w:right w:val="nil"/>
            </w:tcBorders>
            <w:shd w:val="clear" w:color="auto" w:fill="D9D9D9" w:themeFill="background1" w:themeFillShade="D9"/>
            <w:noWrap/>
            <w:tcMar>
              <w:left w:w="28" w:type="dxa"/>
              <w:right w:w="28" w:type="dxa"/>
            </w:tcMar>
            <w:vAlign w:val="bottom"/>
            <w:hideMark/>
          </w:tcPr>
          <w:p w:rsidR="00C1623F" w:rsidRPr="00986E1C" w:rsidRDefault="00C1623F" w:rsidP="00A56F4F">
            <w:pPr>
              <w:rPr>
                <w:rFonts w:ascii="Arial Narrow" w:hAnsi="Arial Narrow"/>
                <w:b/>
                <w:bCs/>
                <w:color w:val="000000"/>
                <w:sz w:val="16"/>
                <w:szCs w:val="16"/>
              </w:rPr>
            </w:pPr>
            <w:r w:rsidRPr="00986E1C">
              <w:rPr>
                <w:rFonts w:ascii="Arial Narrow" w:hAnsi="Arial Narrow"/>
                <w:b/>
                <w:bCs/>
                <w:color w:val="000000"/>
                <w:sz w:val="16"/>
                <w:szCs w:val="16"/>
              </w:rPr>
              <w:t xml:space="preserve">Λοιπές συνεισφορές εκτός προϋπολογισμού ΕΕ </w:t>
            </w:r>
          </w:p>
        </w:tc>
        <w:tc>
          <w:tcPr>
            <w:tcW w:w="1310"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71</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78</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78</w:t>
            </w:r>
          </w:p>
        </w:tc>
        <w:tc>
          <w:tcPr>
            <w:tcW w:w="850" w:type="dxa"/>
            <w:tcBorders>
              <w:top w:val="nil"/>
              <w:left w:val="nil"/>
              <w:bottom w:val="nil"/>
              <w:right w:val="nil"/>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9,8</w:t>
            </w:r>
          </w:p>
        </w:tc>
        <w:tc>
          <w:tcPr>
            <w:tcW w:w="850"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0,0</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Συμμετοχή στο Ευρωπαϊκό Ταμείο Ανάπτυξης</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60</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72</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74</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19,9</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2,8</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Λοιπές αποδόσεις</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11</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6</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4</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 </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-33,3</w:t>
            </w:r>
          </w:p>
        </w:tc>
      </w:tr>
      <w:tr w:rsidR="00C1623F" w:rsidRPr="00986E1C" w:rsidTr="00A56F4F">
        <w:trPr>
          <w:trHeight w:val="227"/>
        </w:trPr>
        <w:tc>
          <w:tcPr>
            <w:tcW w:w="3440" w:type="dxa"/>
            <w:tcBorders>
              <w:top w:val="nil"/>
              <w:left w:val="single" w:sz="4" w:space="0" w:color="auto"/>
              <w:bottom w:val="nil"/>
              <w:right w:val="nil"/>
            </w:tcBorders>
            <w:shd w:val="clear" w:color="auto" w:fill="BFBFBF" w:themeFill="background1" w:themeFillShade="BF"/>
            <w:noWrap/>
            <w:tcMar>
              <w:left w:w="28" w:type="dxa"/>
              <w:right w:w="28" w:type="dxa"/>
            </w:tcMar>
            <w:vAlign w:val="bottom"/>
            <w:hideMark/>
          </w:tcPr>
          <w:p w:rsidR="00C1623F" w:rsidRPr="00986E1C" w:rsidRDefault="00C1623F" w:rsidP="00A56F4F">
            <w:pPr>
              <w:spacing w:before="40" w:after="40"/>
              <w:rPr>
                <w:rFonts w:ascii="Arial Narrow" w:hAnsi="Arial Narrow"/>
                <w:b/>
                <w:bCs/>
                <w:color w:val="000000"/>
                <w:sz w:val="16"/>
                <w:szCs w:val="16"/>
              </w:rPr>
            </w:pPr>
            <w:r w:rsidRPr="00986E1C">
              <w:rPr>
                <w:rFonts w:ascii="Arial Narrow" w:hAnsi="Arial Narrow"/>
                <w:b/>
                <w:bCs/>
                <w:color w:val="000000"/>
                <w:sz w:val="16"/>
                <w:szCs w:val="16"/>
              </w:rPr>
              <w:t>Απολήψεις από την Ευρωπαϊκή Ένωση (ΙΙ)</w:t>
            </w:r>
          </w:p>
        </w:tc>
        <w:tc>
          <w:tcPr>
            <w:tcW w:w="1310" w:type="dxa"/>
            <w:tcBorders>
              <w:top w:val="nil"/>
              <w:left w:val="nil"/>
              <w:bottom w:val="nil"/>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4.427</w:t>
            </w:r>
          </w:p>
        </w:tc>
        <w:tc>
          <w:tcPr>
            <w:tcW w:w="1276" w:type="dxa"/>
            <w:tcBorders>
              <w:top w:val="nil"/>
              <w:left w:val="nil"/>
              <w:bottom w:val="nil"/>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6.044</w:t>
            </w:r>
          </w:p>
        </w:tc>
        <w:tc>
          <w:tcPr>
            <w:tcW w:w="1276" w:type="dxa"/>
            <w:tcBorders>
              <w:top w:val="nil"/>
              <w:left w:val="nil"/>
              <w:bottom w:val="nil"/>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5.778</w:t>
            </w:r>
          </w:p>
        </w:tc>
        <w:tc>
          <w:tcPr>
            <w:tcW w:w="850" w:type="dxa"/>
            <w:tcBorders>
              <w:top w:val="nil"/>
              <w:left w:val="nil"/>
              <w:bottom w:val="nil"/>
              <w:right w:val="nil"/>
            </w:tcBorders>
            <w:shd w:val="clear" w:color="auto" w:fill="BFBFBF" w:themeFill="background1" w:themeFillShade="BF"/>
            <w:noWrap/>
            <w:tcMar>
              <w:left w:w="28" w:type="dxa"/>
              <w:right w:w="28" w:type="dxa"/>
            </w:tcMar>
            <w:vAlign w:val="center"/>
            <w:hideMark/>
          </w:tcPr>
          <w:p w:rsidR="00C1623F" w:rsidRDefault="00C1623F" w:rsidP="00A56F4F">
            <w:pPr>
              <w:tabs>
                <w:tab w:val="decimal" w:pos="538"/>
              </w:tabs>
              <w:spacing w:before="40" w:after="40"/>
              <w:jc w:val="both"/>
              <w:rPr>
                <w:rFonts w:ascii="Arial Narrow" w:hAnsi="Arial Narrow" w:cs="Arial"/>
                <w:b/>
                <w:bCs/>
                <w:sz w:val="16"/>
                <w:szCs w:val="16"/>
              </w:rPr>
            </w:pPr>
            <w:r>
              <w:rPr>
                <w:rFonts w:ascii="Arial Narrow" w:hAnsi="Arial Narrow" w:cs="Arial"/>
                <w:b/>
                <w:bCs/>
                <w:sz w:val="16"/>
                <w:szCs w:val="16"/>
              </w:rPr>
              <w:t>36,5</w:t>
            </w:r>
          </w:p>
        </w:tc>
        <w:tc>
          <w:tcPr>
            <w:tcW w:w="850" w:type="dxa"/>
            <w:tcBorders>
              <w:top w:val="nil"/>
              <w:left w:val="nil"/>
              <w:bottom w:val="nil"/>
              <w:right w:val="single" w:sz="4" w:space="0" w:color="auto"/>
            </w:tcBorders>
            <w:shd w:val="clear" w:color="auto" w:fill="BFBFBF" w:themeFill="background1" w:themeFillShade="BF"/>
            <w:noWrap/>
            <w:tcMar>
              <w:left w:w="28" w:type="dxa"/>
              <w:right w:w="28" w:type="dxa"/>
            </w:tcMar>
            <w:vAlign w:val="center"/>
            <w:hideMark/>
          </w:tcPr>
          <w:p w:rsidR="00C1623F" w:rsidRDefault="00C1623F" w:rsidP="00A56F4F">
            <w:pPr>
              <w:tabs>
                <w:tab w:val="decimal" w:pos="538"/>
              </w:tabs>
              <w:spacing w:before="40" w:after="40"/>
              <w:jc w:val="both"/>
              <w:rPr>
                <w:rFonts w:ascii="Arial Narrow" w:hAnsi="Arial Narrow" w:cs="Arial"/>
                <w:b/>
                <w:bCs/>
                <w:sz w:val="16"/>
                <w:szCs w:val="16"/>
              </w:rPr>
            </w:pPr>
            <w:r>
              <w:rPr>
                <w:rFonts w:ascii="Arial Narrow" w:hAnsi="Arial Narrow" w:cs="Arial"/>
                <w:b/>
                <w:bCs/>
                <w:sz w:val="16"/>
                <w:szCs w:val="16"/>
              </w:rPr>
              <w:t>-4,4</w:t>
            </w:r>
          </w:p>
        </w:tc>
      </w:tr>
      <w:tr w:rsidR="00C1623F" w:rsidRPr="00986E1C" w:rsidTr="00A56F4F">
        <w:trPr>
          <w:trHeight w:val="227"/>
        </w:trPr>
        <w:tc>
          <w:tcPr>
            <w:tcW w:w="3440" w:type="dxa"/>
            <w:tcBorders>
              <w:top w:val="nil"/>
              <w:left w:val="single" w:sz="4" w:space="0" w:color="auto"/>
              <w:bottom w:val="nil"/>
              <w:right w:val="nil"/>
            </w:tcBorders>
            <w:shd w:val="clear" w:color="auto" w:fill="D9D9D9" w:themeFill="background1" w:themeFillShade="D9"/>
            <w:noWrap/>
            <w:tcMar>
              <w:left w:w="28" w:type="dxa"/>
              <w:right w:w="28" w:type="dxa"/>
            </w:tcMar>
            <w:vAlign w:val="bottom"/>
            <w:hideMark/>
          </w:tcPr>
          <w:p w:rsidR="00C1623F" w:rsidRPr="00986E1C" w:rsidRDefault="00C1623F" w:rsidP="00A56F4F">
            <w:pPr>
              <w:rPr>
                <w:rFonts w:ascii="Arial Narrow" w:hAnsi="Arial Narrow"/>
                <w:b/>
                <w:bCs/>
                <w:color w:val="000000"/>
                <w:sz w:val="16"/>
                <w:szCs w:val="16"/>
              </w:rPr>
            </w:pPr>
            <w:r w:rsidRPr="00986E1C">
              <w:rPr>
                <w:rFonts w:ascii="Arial Narrow" w:hAnsi="Arial Narrow"/>
                <w:b/>
                <w:bCs/>
                <w:color w:val="000000"/>
                <w:sz w:val="16"/>
                <w:szCs w:val="16"/>
              </w:rPr>
              <w:t xml:space="preserve">Τακτικός Προϋπολογισμός </w:t>
            </w:r>
          </w:p>
        </w:tc>
        <w:tc>
          <w:tcPr>
            <w:tcW w:w="1310"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388</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color w:val="000000"/>
                <w:sz w:val="16"/>
                <w:szCs w:val="16"/>
              </w:rPr>
            </w:pPr>
            <w:r>
              <w:rPr>
                <w:rFonts w:ascii="Arial Narrow" w:hAnsi="Arial Narrow" w:cs="Arial"/>
                <w:b/>
                <w:bCs/>
                <w:color w:val="000000"/>
                <w:sz w:val="16"/>
                <w:szCs w:val="16"/>
              </w:rPr>
              <w:t>444</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color w:val="000000"/>
                <w:sz w:val="16"/>
                <w:szCs w:val="16"/>
              </w:rPr>
            </w:pPr>
            <w:r>
              <w:rPr>
                <w:rFonts w:ascii="Arial Narrow" w:hAnsi="Arial Narrow" w:cs="Arial"/>
                <w:b/>
                <w:bCs/>
                <w:color w:val="000000"/>
                <w:sz w:val="16"/>
                <w:szCs w:val="16"/>
              </w:rPr>
              <w:t>63</w:t>
            </w:r>
          </w:p>
        </w:tc>
        <w:tc>
          <w:tcPr>
            <w:tcW w:w="850" w:type="dxa"/>
            <w:tcBorders>
              <w:top w:val="nil"/>
              <w:left w:val="nil"/>
              <w:bottom w:val="nil"/>
              <w:right w:val="nil"/>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14,4</w:t>
            </w:r>
          </w:p>
        </w:tc>
        <w:tc>
          <w:tcPr>
            <w:tcW w:w="850"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-85,8</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Έξοδα είσπραξης ιδίων πόρων για λογαριασμό της ΕΕ</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40</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44</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41</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9,2</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-6,8</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Επιστροφές ιδίων πόρων ΕΕ</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114</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172</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0</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 </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-100,0</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Απολήψεις ΕΓΤΑΑ</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206</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107</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0</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-48,1</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-100,0</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Λοιπές τρέχουσες μεταβιβάσεις από τα κοινοτικά ταμεία και τα κράτη-μέλη της ΕΕ</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23</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22</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22</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-4,0</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1,8</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Απολήψεις για δράσεις μεταναστευτικών ροών του Υπ. Εθνικής Άμυνας</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4</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100</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0</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Απολήψεις για δράσεις μεταναστευτικών ροών λοιπών Υπουργείων</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1</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p>
        </w:tc>
      </w:tr>
      <w:tr w:rsidR="00C1623F" w:rsidRPr="00986E1C" w:rsidTr="00A56F4F">
        <w:trPr>
          <w:trHeight w:val="227"/>
        </w:trPr>
        <w:tc>
          <w:tcPr>
            <w:tcW w:w="3440" w:type="dxa"/>
            <w:tcBorders>
              <w:top w:val="nil"/>
              <w:left w:val="single" w:sz="4" w:space="0" w:color="auto"/>
              <w:bottom w:val="nil"/>
              <w:right w:val="nil"/>
            </w:tcBorders>
            <w:shd w:val="clear" w:color="auto" w:fill="D9D9D9" w:themeFill="background1" w:themeFillShade="D9"/>
            <w:noWrap/>
            <w:tcMar>
              <w:left w:w="28" w:type="dxa"/>
              <w:right w:w="28" w:type="dxa"/>
            </w:tcMar>
            <w:vAlign w:val="bottom"/>
            <w:hideMark/>
          </w:tcPr>
          <w:p w:rsidR="00C1623F" w:rsidRPr="00986E1C" w:rsidRDefault="00C1623F" w:rsidP="00A56F4F">
            <w:pPr>
              <w:rPr>
                <w:rFonts w:ascii="Arial Narrow" w:hAnsi="Arial Narrow"/>
                <w:b/>
                <w:bCs/>
                <w:color w:val="000000"/>
                <w:sz w:val="16"/>
                <w:szCs w:val="16"/>
              </w:rPr>
            </w:pPr>
            <w:r w:rsidRPr="00986E1C">
              <w:rPr>
                <w:rFonts w:ascii="Arial Narrow" w:hAnsi="Arial Narrow"/>
                <w:b/>
                <w:bCs/>
                <w:color w:val="000000"/>
                <w:sz w:val="16"/>
                <w:szCs w:val="16"/>
              </w:rPr>
              <w:t>Προϋπολογισμός Δημοσίων Επενδύσεων</w:t>
            </w:r>
          </w:p>
        </w:tc>
        <w:tc>
          <w:tcPr>
            <w:tcW w:w="1310"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sz w:val="16"/>
                <w:szCs w:val="16"/>
              </w:rPr>
            </w:pPr>
            <w:r>
              <w:rPr>
                <w:rFonts w:ascii="Arial Narrow" w:hAnsi="Arial Narrow" w:cs="Arial"/>
                <w:b/>
                <w:bCs/>
                <w:sz w:val="16"/>
                <w:szCs w:val="16"/>
              </w:rPr>
              <w:t>1.964</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color w:val="000000"/>
                <w:sz w:val="16"/>
                <w:szCs w:val="16"/>
              </w:rPr>
            </w:pPr>
            <w:r>
              <w:rPr>
                <w:rFonts w:ascii="Arial Narrow" w:hAnsi="Arial Narrow" w:cs="Arial"/>
                <w:b/>
                <w:bCs/>
                <w:color w:val="000000"/>
                <w:sz w:val="16"/>
                <w:szCs w:val="16"/>
              </w:rPr>
              <w:t>3.555</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color w:val="000000"/>
                <w:sz w:val="16"/>
                <w:szCs w:val="16"/>
              </w:rPr>
            </w:pPr>
            <w:r>
              <w:rPr>
                <w:rFonts w:ascii="Arial Narrow" w:hAnsi="Arial Narrow" w:cs="Arial"/>
                <w:b/>
                <w:bCs/>
                <w:color w:val="000000"/>
                <w:sz w:val="16"/>
                <w:szCs w:val="16"/>
              </w:rPr>
              <w:t>3.560</w:t>
            </w:r>
          </w:p>
        </w:tc>
        <w:tc>
          <w:tcPr>
            <w:tcW w:w="850" w:type="dxa"/>
            <w:tcBorders>
              <w:top w:val="nil"/>
              <w:left w:val="nil"/>
              <w:bottom w:val="nil"/>
              <w:right w:val="nil"/>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81,0</w:t>
            </w:r>
          </w:p>
        </w:tc>
        <w:tc>
          <w:tcPr>
            <w:tcW w:w="850"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0,1</w:t>
            </w:r>
          </w:p>
        </w:tc>
      </w:tr>
      <w:tr w:rsidR="00C1623F" w:rsidRPr="00986E1C" w:rsidTr="00A56F4F">
        <w:trPr>
          <w:trHeight w:val="227"/>
        </w:trPr>
        <w:tc>
          <w:tcPr>
            <w:tcW w:w="3440" w:type="dxa"/>
            <w:tcBorders>
              <w:top w:val="nil"/>
              <w:left w:val="single" w:sz="4" w:space="0" w:color="auto"/>
              <w:bottom w:val="nil"/>
              <w:right w:val="nil"/>
            </w:tcBorders>
            <w:shd w:val="clear" w:color="auto" w:fill="D9D9D9" w:themeFill="background1" w:themeFillShade="D9"/>
            <w:noWrap/>
            <w:tcMar>
              <w:left w:w="28" w:type="dxa"/>
              <w:right w:w="28" w:type="dxa"/>
            </w:tcMar>
            <w:vAlign w:val="bottom"/>
            <w:hideMark/>
          </w:tcPr>
          <w:p w:rsidR="00C1623F" w:rsidRPr="00986E1C" w:rsidRDefault="00C1623F" w:rsidP="00A56F4F">
            <w:pPr>
              <w:rPr>
                <w:rFonts w:ascii="Arial Narrow" w:hAnsi="Arial Narrow"/>
                <w:b/>
                <w:bCs/>
                <w:color w:val="000000"/>
                <w:sz w:val="16"/>
                <w:szCs w:val="16"/>
              </w:rPr>
            </w:pPr>
            <w:r w:rsidRPr="00986E1C">
              <w:rPr>
                <w:rFonts w:ascii="Arial Narrow" w:hAnsi="Arial Narrow"/>
                <w:b/>
                <w:bCs/>
                <w:color w:val="000000"/>
                <w:sz w:val="16"/>
                <w:szCs w:val="16"/>
              </w:rPr>
              <w:t>Προϋπολογισμός ΕΛΕΓΕΠ</w:t>
            </w:r>
          </w:p>
        </w:tc>
        <w:tc>
          <w:tcPr>
            <w:tcW w:w="1310"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color w:val="000000"/>
                <w:sz w:val="16"/>
                <w:szCs w:val="16"/>
              </w:rPr>
            </w:pPr>
            <w:r>
              <w:rPr>
                <w:rFonts w:ascii="Arial Narrow" w:hAnsi="Arial Narrow" w:cs="Arial"/>
                <w:b/>
                <w:bCs/>
                <w:color w:val="000000"/>
                <w:sz w:val="16"/>
                <w:szCs w:val="16"/>
              </w:rPr>
              <w:t>2.075</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color w:val="000000"/>
                <w:sz w:val="16"/>
                <w:szCs w:val="16"/>
              </w:rPr>
            </w:pPr>
            <w:r>
              <w:rPr>
                <w:rFonts w:ascii="Arial Narrow" w:hAnsi="Arial Narrow" w:cs="Arial"/>
                <w:b/>
                <w:bCs/>
                <w:color w:val="000000"/>
                <w:sz w:val="16"/>
                <w:szCs w:val="16"/>
              </w:rPr>
              <w:t>2.045</w:t>
            </w:r>
          </w:p>
        </w:tc>
        <w:tc>
          <w:tcPr>
            <w:tcW w:w="1276" w:type="dxa"/>
            <w:tcBorders>
              <w:top w:val="nil"/>
              <w:left w:val="nil"/>
              <w:bottom w:val="nil"/>
              <w:right w:val="nil"/>
            </w:tcBorders>
            <w:shd w:val="clear" w:color="auto" w:fill="D9D9D9" w:themeFill="background1" w:themeFillShade="D9"/>
            <w:tcMar>
              <w:left w:w="28" w:type="dxa"/>
              <w:right w:w="28" w:type="dxa"/>
            </w:tcMar>
            <w:vAlign w:val="center"/>
            <w:hideMark/>
          </w:tcPr>
          <w:p w:rsidR="00C1623F" w:rsidRDefault="00C1623F" w:rsidP="00A56F4F">
            <w:pPr>
              <w:tabs>
                <w:tab w:val="decimal" w:pos="709"/>
              </w:tabs>
              <w:jc w:val="both"/>
              <w:rPr>
                <w:rFonts w:ascii="Arial Narrow" w:hAnsi="Arial Narrow" w:cs="Arial"/>
                <w:b/>
                <w:bCs/>
                <w:color w:val="000000"/>
                <w:sz w:val="16"/>
                <w:szCs w:val="16"/>
              </w:rPr>
            </w:pPr>
            <w:r>
              <w:rPr>
                <w:rFonts w:ascii="Arial Narrow" w:hAnsi="Arial Narrow" w:cs="Arial"/>
                <w:b/>
                <w:bCs/>
                <w:color w:val="000000"/>
                <w:sz w:val="16"/>
                <w:szCs w:val="16"/>
              </w:rPr>
              <w:t>2.155</w:t>
            </w:r>
          </w:p>
        </w:tc>
        <w:tc>
          <w:tcPr>
            <w:tcW w:w="850" w:type="dxa"/>
            <w:tcBorders>
              <w:top w:val="nil"/>
              <w:left w:val="nil"/>
              <w:bottom w:val="nil"/>
              <w:right w:val="nil"/>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-1,5</w:t>
            </w:r>
          </w:p>
        </w:tc>
        <w:tc>
          <w:tcPr>
            <w:tcW w:w="850"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C1623F" w:rsidRDefault="00C1623F" w:rsidP="00A56F4F">
            <w:pPr>
              <w:tabs>
                <w:tab w:val="decimal" w:pos="538"/>
              </w:tabs>
              <w:jc w:val="both"/>
              <w:rPr>
                <w:rFonts w:ascii="Arial Narrow" w:hAnsi="Arial Narrow" w:cs="Arial"/>
                <w:b/>
                <w:bCs/>
                <w:sz w:val="16"/>
                <w:szCs w:val="16"/>
              </w:rPr>
            </w:pPr>
            <w:r>
              <w:rPr>
                <w:rFonts w:ascii="Arial Narrow" w:hAnsi="Arial Narrow" w:cs="Arial"/>
                <w:b/>
                <w:bCs/>
                <w:sz w:val="16"/>
                <w:szCs w:val="16"/>
              </w:rPr>
              <w:t>5,4</w:t>
            </w:r>
          </w:p>
        </w:tc>
      </w:tr>
      <w:tr w:rsidR="00C1623F" w:rsidRPr="006479DC" w:rsidTr="00A56F4F">
        <w:trPr>
          <w:trHeight w:val="227"/>
        </w:trPr>
        <w:tc>
          <w:tcPr>
            <w:tcW w:w="3440" w:type="dxa"/>
            <w:tcBorders>
              <w:top w:val="nil"/>
              <w:left w:val="single" w:sz="4" w:space="0" w:color="auto"/>
              <w:bottom w:val="nil"/>
              <w:right w:val="nil"/>
            </w:tcBorders>
            <w:shd w:val="clear" w:color="auto" w:fill="auto"/>
            <w:noWrap/>
            <w:tcMar>
              <w:left w:w="28" w:type="dxa"/>
              <w:right w:w="28" w:type="dxa"/>
            </w:tcMar>
            <w:vAlign w:val="bottom"/>
            <w:hideMark/>
          </w:tcPr>
          <w:p w:rsidR="00C1623F" w:rsidRPr="006479DC" w:rsidRDefault="00C1623F" w:rsidP="00A56F4F">
            <w:pPr>
              <w:rPr>
                <w:rFonts w:ascii="Arial Narrow" w:hAnsi="Arial Narrow"/>
                <w:color w:val="000000"/>
                <w:sz w:val="16"/>
                <w:szCs w:val="16"/>
              </w:rPr>
            </w:pPr>
            <w:r w:rsidRPr="006479DC">
              <w:rPr>
                <w:rFonts w:ascii="Arial Narrow" w:hAnsi="Arial Narrow"/>
                <w:color w:val="000000"/>
                <w:sz w:val="16"/>
                <w:szCs w:val="16"/>
              </w:rPr>
              <w:t>Απολήψεις από ΕΓΤΕ</w:t>
            </w:r>
          </w:p>
        </w:tc>
        <w:tc>
          <w:tcPr>
            <w:tcW w:w="1310"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2.075</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2.045</w:t>
            </w:r>
          </w:p>
        </w:tc>
        <w:tc>
          <w:tcPr>
            <w:tcW w:w="1276" w:type="dxa"/>
            <w:tcBorders>
              <w:top w:val="nil"/>
              <w:left w:val="nil"/>
              <w:bottom w:val="nil"/>
              <w:right w:val="nil"/>
            </w:tcBorders>
            <w:shd w:val="clear" w:color="auto" w:fill="auto"/>
            <w:tcMar>
              <w:left w:w="28" w:type="dxa"/>
              <w:right w:w="28" w:type="dxa"/>
            </w:tcMar>
            <w:vAlign w:val="center"/>
            <w:hideMark/>
          </w:tcPr>
          <w:p w:rsidR="00C1623F" w:rsidRPr="006479DC" w:rsidRDefault="00C1623F" w:rsidP="00A56F4F">
            <w:pPr>
              <w:tabs>
                <w:tab w:val="decimal" w:pos="709"/>
              </w:tabs>
              <w:jc w:val="both"/>
              <w:rPr>
                <w:rFonts w:ascii="Arial Narrow" w:hAnsi="Arial Narrow" w:cs="Arial"/>
                <w:sz w:val="16"/>
                <w:szCs w:val="16"/>
              </w:rPr>
            </w:pPr>
            <w:r w:rsidRPr="006479DC">
              <w:rPr>
                <w:rFonts w:ascii="Arial Narrow" w:hAnsi="Arial Narrow" w:cs="Arial"/>
                <w:sz w:val="16"/>
                <w:szCs w:val="16"/>
              </w:rPr>
              <w:t>2.155</w:t>
            </w:r>
          </w:p>
        </w:tc>
        <w:tc>
          <w:tcPr>
            <w:tcW w:w="850" w:type="dxa"/>
            <w:tcBorders>
              <w:top w:val="nil"/>
              <w:left w:val="nil"/>
              <w:bottom w:val="nil"/>
              <w:right w:val="nil"/>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-1,5</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C1623F" w:rsidRPr="006479DC" w:rsidRDefault="00C1623F" w:rsidP="00A56F4F">
            <w:pPr>
              <w:tabs>
                <w:tab w:val="decimal" w:pos="538"/>
              </w:tabs>
              <w:jc w:val="both"/>
              <w:rPr>
                <w:rFonts w:ascii="Arial Narrow" w:hAnsi="Arial Narrow" w:cs="Arial"/>
                <w:bCs/>
                <w:sz w:val="16"/>
                <w:szCs w:val="16"/>
              </w:rPr>
            </w:pPr>
            <w:r w:rsidRPr="006479DC">
              <w:rPr>
                <w:rFonts w:ascii="Arial Narrow" w:hAnsi="Arial Narrow" w:cs="Arial"/>
                <w:bCs/>
                <w:sz w:val="16"/>
                <w:szCs w:val="16"/>
              </w:rPr>
              <w:t>5,4</w:t>
            </w:r>
          </w:p>
        </w:tc>
      </w:tr>
      <w:tr w:rsidR="00C1623F" w:rsidRPr="00986E1C" w:rsidTr="00A56F4F">
        <w:trPr>
          <w:trHeight w:val="227"/>
        </w:trPr>
        <w:tc>
          <w:tcPr>
            <w:tcW w:w="3440" w:type="dxa"/>
            <w:tcBorders>
              <w:top w:val="nil"/>
              <w:left w:val="single" w:sz="4" w:space="0" w:color="auto"/>
              <w:bottom w:val="single" w:sz="4" w:space="0" w:color="auto"/>
              <w:right w:val="nil"/>
            </w:tcBorders>
            <w:shd w:val="clear" w:color="auto" w:fill="BFBFBF" w:themeFill="background1" w:themeFillShade="BF"/>
            <w:noWrap/>
            <w:tcMar>
              <w:left w:w="28" w:type="dxa"/>
              <w:right w:w="28" w:type="dxa"/>
            </w:tcMar>
            <w:vAlign w:val="bottom"/>
            <w:hideMark/>
          </w:tcPr>
          <w:p w:rsidR="00C1623F" w:rsidRPr="00986E1C" w:rsidRDefault="00C1623F" w:rsidP="00A56F4F">
            <w:pPr>
              <w:spacing w:before="40" w:after="40"/>
              <w:rPr>
                <w:rFonts w:ascii="Arial Narrow" w:hAnsi="Arial Narrow"/>
                <w:b/>
                <w:bCs/>
                <w:color w:val="000000"/>
                <w:sz w:val="16"/>
                <w:szCs w:val="16"/>
              </w:rPr>
            </w:pPr>
            <w:r w:rsidRPr="00986E1C">
              <w:rPr>
                <w:rFonts w:ascii="Arial Narrow" w:hAnsi="Arial Narrow"/>
                <w:b/>
                <w:bCs/>
                <w:color w:val="000000"/>
                <w:sz w:val="16"/>
                <w:szCs w:val="16"/>
              </w:rPr>
              <w:t>Ταμειακό αποτέλεσμα  ( ΙΙ-Ι )</w:t>
            </w:r>
          </w:p>
        </w:tc>
        <w:tc>
          <w:tcPr>
            <w:tcW w:w="1310" w:type="dxa"/>
            <w:tcBorders>
              <w:top w:val="nil"/>
              <w:left w:val="nil"/>
              <w:bottom w:val="single" w:sz="4" w:space="0" w:color="auto"/>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2.561</w:t>
            </w:r>
          </w:p>
        </w:tc>
        <w:tc>
          <w:tcPr>
            <w:tcW w:w="1276" w:type="dxa"/>
            <w:tcBorders>
              <w:top w:val="nil"/>
              <w:left w:val="nil"/>
              <w:bottom w:val="single" w:sz="4" w:space="0" w:color="auto"/>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4.166</w:t>
            </w:r>
          </w:p>
        </w:tc>
        <w:tc>
          <w:tcPr>
            <w:tcW w:w="1276" w:type="dxa"/>
            <w:tcBorders>
              <w:top w:val="nil"/>
              <w:left w:val="nil"/>
              <w:bottom w:val="single" w:sz="4" w:space="0" w:color="auto"/>
              <w:right w:val="nil"/>
            </w:tcBorders>
            <w:shd w:val="clear" w:color="auto" w:fill="BFBFBF" w:themeFill="background1" w:themeFillShade="BF"/>
            <w:tcMar>
              <w:left w:w="28" w:type="dxa"/>
              <w:right w:w="28" w:type="dxa"/>
            </w:tcMar>
            <w:vAlign w:val="center"/>
            <w:hideMark/>
          </w:tcPr>
          <w:p w:rsidR="00C1623F" w:rsidRDefault="00C1623F" w:rsidP="00A56F4F">
            <w:pPr>
              <w:tabs>
                <w:tab w:val="decimal" w:pos="709"/>
              </w:tabs>
              <w:spacing w:before="40" w:after="40"/>
              <w:jc w:val="both"/>
              <w:rPr>
                <w:rFonts w:ascii="Arial Narrow" w:hAnsi="Arial Narrow" w:cs="Arial"/>
                <w:b/>
                <w:bCs/>
                <w:sz w:val="16"/>
                <w:szCs w:val="16"/>
              </w:rPr>
            </w:pPr>
            <w:r>
              <w:rPr>
                <w:rFonts w:ascii="Arial Narrow" w:hAnsi="Arial Narrow" w:cs="Arial"/>
                <w:b/>
                <w:bCs/>
                <w:sz w:val="16"/>
                <w:szCs w:val="16"/>
              </w:rPr>
              <w:t>3.867</w:t>
            </w:r>
          </w:p>
        </w:tc>
        <w:tc>
          <w:tcPr>
            <w:tcW w:w="850" w:type="dxa"/>
            <w:tcBorders>
              <w:top w:val="nil"/>
              <w:left w:val="nil"/>
              <w:bottom w:val="single" w:sz="4" w:space="0" w:color="auto"/>
              <w:right w:val="nil"/>
            </w:tcBorders>
            <w:shd w:val="clear" w:color="auto" w:fill="BFBFBF" w:themeFill="background1" w:themeFillShade="BF"/>
            <w:noWrap/>
            <w:tcMar>
              <w:left w:w="28" w:type="dxa"/>
              <w:right w:w="28" w:type="dxa"/>
            </w:tcMar>
            <w:vAlign w:val="center"/>
            <w:hideMark/>
          </w:tcPr>
          <w:p w:rsidR="00C1623F" w:rsidRDefault="00C1623F" w:rsidP="00A56F4F">
            <w:pPr>
              <w:tabs>
                <w:tab w:val="decimal" w:pos="538"/>
              </w:tabs>
              <w:spacing w:before="40" w:after="40"/>
              <w:jc w:val="both"/>
              <w:rPr>
                <w:rFonts w:ascii="Arial Narrow" w:hAnsi="Arial Narrow" w:cs="Arial"/>
                <w:b/>
                <w:bCs/>
                <w:sz w:val="16"/>
                <w:szCs w:val="16"/>
              </w:rPr>
            </w:pPr>
            <w:r>
              <w:rPr>
                <w:rFonts w:ascii="Arial Narrow" w:hAnsi="Arial Narrow" w:cs="Arial"/>
                <w:b/>
                <w:bCs/>
                <w:sz w:val="16"/>
                <w:szCs w:val="16"/>
              </w:rPr>
              <w:t>62,6</w:t>
            </w:r>
          </w:p>
        </w:tc>
        <w:tc>
          <w:tcPr>
            <w:tcW w:w="850" w:type="dxa"/>
            <w:tcBorders>
              <w:top w:val="nil"/>
              <w:left w:val="nil"/>
              <w:bottom w:val="single" w:sz="4" w:space="0" w:color="auto"/>
              <w:right w:val="single" w:sz="4" w:space="0" w:color="auto"/>
            </w:tcBorders>
            <w:shd w:val="clear" w:color="auto" w:fill="BFBFBF" w:themeFill="background1" w:themeFillShade="BF"/>
            <w:noWrap/>
            <w:tcMar>
              <w:left w:w="28" w:type="dxa"/>
              <w:right w:w="28" w:type="dxa"/>
            </w:tcMar>
            <w:vAlign w:val="center"/>
            <w:hideMark/>
          </w:tcPr>
          <w:p w:rsidR="00C1623F" w:rsidRDefault="00C1623F" w:rsidP="00A56F4F">
            <w:pPr>
              <w:tabs>
                <w:tab w:val="decimal" w:pos="538"/>
              </w:tabs>
              <w:spacing w:before="40" w:after="40"/>
              <w:jc w:val="both"/>
              <w:rPr>
                <w:rFonts w:ascii="Arial Narrow" w:hAnsi="Arial Narrow" w:cs="Arial"/>
                <w:b/>
                <w:bCs/>
                <w:sz w:val="16"/>
                <w:szCs w:val="16"/>
              </w:rPr>
            </w:pPr>
            <w:r>
              <w:rPr>
                <w:rFonts w:ascii="Arial Narrow" w:hAnsi="Arial Narrow" w:cs="Arial"/>
                <w:b/>
                <w:bCs/>
                <w:sz w:val="16"/>
                <w:szCs w:val="16"/>
              </w:rPr>
              <w:t>-7,2</w:t>
            </w:r>
          </w:p>
        </w:tc>
      </w:tr>
    </w:tbl>
    <w:p w:rsidR="00C1623F" w:rsidRDefault="00C1623F" w:rsidP="00C1623F">
      <w:pPr>
        <w:jc w:val="both"/>
        <w:rPr>
          <w:rFonts w:ascii="Arial Narrow" w:hAnsi="Arial Narrow" w:cs="Arial"/>
          <w:b/>
          <w:sz w:val="16"/>
          <w:szCs w:val="16"/>
        </w:rPr>
      </w:pPr>
    </w:p>
    <w:p w:rsidR="00C1623F" w:rsidRDefault="00C1623F">
      <w:pPr>
        <w:rPr>
          <w:bCs/>
          <w:sz w:val="20"/>
          <w:szCs w:val="22"/>
        </w:rPr>
      </w:pPr>
      <w:r>
        <w:rPr>
          <w:bCs/>
          <w:sz w:val="20"/>
          <w:szCs w:val="22"/>
        </w:rPr>
        <w:br w:type="page"/>
      </w:r>
    </w:p>
    <w:p w:rsidR="00C255C0" w:rsidRDefault="00C255C0" w:rsidP="00C12FE7">
      <w:pPr>
        <w:jc w:val="both"/>
        <w:rPr>
          <w:bCs/>
          <w:sz w:val="20"/>
          <w:szCs w:val="22"/>
        </w:rPr>
      </w:pPr>
    </w:p>
    <w:p w:rsidR="00C255C0" w:rsidRPr="00221A99" w:rsidRDefault="00D77C59" w:rsidP="00C255C0">
      <w:pPr>
        <w:shd w:val="clear" w:color="auto" w:fill="BFBFBF" w:themeFill="background1" w:themeFillShade="BF"/>
        <w:spacing w:line="235" w:lineRule="auto"/>
        <w:rPr>
          <w:rFonts w:ascii="Arial Narrow" w:hAnsi="Arial Narrow"/>
          <w:b/>
          <w:szCs w:val="26"/>
        </w:rPr>
      </w:pPr>
      <w:r>
        <w:rPr>
          <w:rFonts w:ascii="Arial Narrow" w:hAnsi="Arial Narrow"/>
          <w:b/>
          <w:szCs w:val="26"/>
        </w:rPr>
        <w:t>4.6</w:t>
      </w:r>
      <w:r w:rsidR="00C255C0" w:rsidRPr="00221A99">
        <w:rPr>
          <w:rFonts w:ascii="Arial Narrow" w:hAnsi="Arial Narrow"/>
          <w:b/>
          <w:szCs w:val="26"/>
        </w:rPr>
        <w:tab/>
      </w:r>
      <w:r w:rsidR="00C255C0">
        <w:rPr>
          <w:rFonts w:ascii="Arial Narrow" w:hAnsi="Arial Narrow"/>
          <w:b/>
          <w:szCs w:val="26"/>
        </w:rPr>
        <w:t>Δαπάνες κατά Υπουργείο</w:t>
      </w:r>
    </w:p>
    <w:p w:rsidR="002356AF" w:rsidRPr="00F647CB" w:rsidRDefault="002356AF" w:rsidP="00FB3CD2">
      <w:pPr>
        <w:tabs>
          <w:tab w:val="left" w:pos="180"/>
        </w:tabs>
        <w:spacing w:line="235" w:lineRule="auto"/>
        <w:jc w:val="both"/>
        <w:rPr>
          <w:sz w:val="20"/>
          <w:szCs w:val="22"/>
        </w:rPr>
      </w:pPr>
    </w:p>
    <w:p w:rsidR="00AF43E2" w:rsidRDefault="00AF43E2" w:rsidP="00AF43E2">
      <w:pPr>
        <w:jc w:val="both"/>
        <w:rPr>
          <w:sz w:val="22"/>
        </w:rPr>
      </w:pPr>
      <w:r>
        <w:rPr>
          <w:sz w:val="22"/>
        </w:rPr>
        <w:t xml:space="preserve">Στον προϋπολογισμό κάθε Υπουργείου προβλέπονται πιστώσεις για να καλυφθούν δαπάνες αποδοχών των υπαλλήλων με οποιαδήποτε σχέση εργασίας, των δημόσιων λειτουργών, των στελεχών των </w:t>
      </w:r>
      <w:r>
        <w:rPr>
          <w:sz w:val="22"/>
        </w:rPr>
        <w:t>Ε</w:t>
      </w:r>
      <w:r>
        <w:rPr>
          <w:sz w:val="22"/>
        </w:rPr>
        <w:t>νόπλων Δυνάμεων και των Σωμάτων Ασφαλείας, των διπλωματών, των ιατρών του ΕΣΥ,</w:t>
      </w:r>
      <w:r w:rsidR="00941E72">
        <w:rPr>
          <w:sz w:val="22"/>
        </w:rPr>
        <w:t xml:space="preserve"> των μελών ΔΕΠ,</w:t>
      </w:r>
      <w:r>
        <w:rPr>
          <w:sz w:val="22"/>
        </w:rPr>
        <w:t xml:space="preserve"> των αρχιερέων κ.λπ., συμπεριλαμβανόμενων και των δαπανών βάσει των αλλαγών που επήλθαν με τις τελευταίες μισθολογικές ρυθμίσεις.</w:t>
      </w:r>
    </w:p>
    <w:p w:rsidR="00AF43E2" w:rsidRPr="00A61B01" w:rsidRDefault="00AF43E2" w:rsidP="00AF43E2">
      <w:pPr>
        <w:jc w:val="both"/>
        <w:rPr>
          <w:sz w:val="22"/>
        </w:rPr>
      </w:pPr>
    </w:p>
    <w:p w:rsidR="00AF43E2" w:rsidRDefault="00AF43E2" w:rsidP="00AF43E2">
      <w:pPr>
        <w:jc w:val="both"/>
        <w:rPr>
          <w:sz w:val="22"/>
        </w:rPr>
      </w:pPr>
      <w:r>
        <w:rPr>
          <w:sz w:val="22"/>
        </w:rPr>
        <w:t xml:space="preserve">Ο προϋπολογισμός κάθε Υπουργείου καλύπτει </w:t>
      </w:r>
      <w:r w:rsidR="00E40A25">
        <w:rPr>
          <w:sz w:val="22"/>
        </w:rPr>
        <w:t xml:space="preserve">επίσης </w:t>
      </w:r>
      <w:r>
        <w:rPr>
          <w:sz w:val="22"/>
        </w:rPr>
        <w:t>τις δαπάνες μετακίνησης των υπαλλήλων, τις λειτουργικές δαπάνες ενοικίων, φωτισμού, ύδρευσης, τηλεπικοινωνιών, τις ανάγκες για συντήρηση του πάσης φύσεως εξοπλισμού, τις προμήθειες αναλωσίμων και κεφαλαιουχικών αγαθών κ.λπ.</w:t>
      </w:r>
    </w:p>
    <w:p w:rsidR="00AF43E2" w:rsidRPr="00E23B8F" w:rsidRDefault="00AF43E2" w:rsidP="00AF43E2">
      <w:pPr>
        <w:jc w:val="both"/>
        <w:rPr>
          <w:sz w:val="22"/>
        </w:rPr>
      </w:pPr>
    </w:p>
    <w:p w:rsidR="00AF43E2" w:rsidRDefault="00AF43E2" w:rsidP="00AF43E2">
      <w:pPr>
        <w:jc w:val="both"/>
        <w:rPr>
          <w:sz w:val="22"/>
        </w:rPr>
      </w:pPr>
      <w:r>
        <w:rPr>
          <w:sz w:val="22"/>
        </w:rPr>
        <w:t>Πέραν της κάλυψης των παραπάνω δαπανών, που αποτελεί αναγκαία προϋπόθεση για την ομαλή λε</w:t>
      </w:r>
      <w:r>
        <w:rPr>
          <w:sz w:val="22"/>
        </w:rPr>
        <w:t>ι</w:t>
      </w:r>
      <w:r>
        <w:rPr>
          <w:sz w:val="22"/>
        </w:rPr>
        <w:t xml:space="preserve">τουργία κάθε Υπουργείου, προβλέπονται και πιστώσεις για ειδικές δράσεις οι οποίες αναπτύσσονται είτε από τα ίδια τα Υπουργεία, είτε από τους εποπτευόμενους φορείς </w:t>
      </w:r>
      <w:r w:rsidR="00E40A25">
        <w:rPr>
          <w:sz w:val="22"/>
        </w:rPr>
        <w:t xml:space="preserve">τους και καλύπτονται κατά </w:t>
      </w:r>
      <w:r>
        <w:rPr>
          <w:sz w:val="22"/>
        </w:rPr>
        <w:t xml:space="preserve">κύριο λόγο με επιχορήγηση από </w:t>
      </w:r>
      <w:r w:rsidR="00941E72">
        <w:rPr>
          <w:sz w:val="22"/>
        </w:rPr>
        <w:t>αυτά</w:t>
      </w:r>
      <w:r>
        <w:rPr>
          <w:sz w:val="22"/>
        </w:rPr>
        <w:t xml:space="preserve">. </w:t>
      </w:r>
    </w:p>
    <w:p w:rsidR="00E40A25" w:rsidRPr="00A61B01" w:rsidRDefault="00E40A25" w:rsidP="00AF43E2">
      <w:pPr>
        <w:jc w:val="both"/>
        <w:rPr>
          <w:sz w:val="22"/>
        </w:rPr>
      </w:pPr>
    </w:p>
    <w:p w:rsidR="00764E1A" w:rsidRDefault="00764E1A">
      <w:pPr>
        <w:rPr>
          <w:sz w:val="22"/>
        </w:rPr>
      </w:pPr>
    </w:p>
    <w:p w:rsidR="00C1623F" w:rsidRDefault="00C1623F">
      <w:pPr>
        <w:rPr>
          <w:sz w:val="22"/>
        </w:rPr>
      </w:pPr>
    </w:p>
    <w:p w:rsidR="00D77C59" w:rsidRDefault="00D77C59">
      <w:pPr>
        <w:rPr>
          <w:sz w:val="22"/>
        </w:rPr>
      </w:pPr>
    </w:p>
    <w:tbl>
      <w:tblPr>
        <w:tblW w:w="916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53"/>
        <w:gridCol w:w="3257"/>
        <w:gridCol w:w="2944"/>
        <w:gridCol w:w="1338"/>
        <w:gridCol w:w="1269"/>
      </w:tblGrid>
      <w:tr w:rsidR="00764E1A" w:rsidRPr="00764E1A" w:rsidTr="009A2709">
        <w:trPr>
          <w:trHeight w:val="198"/>
          <w:tblHeader/>
          <w:jc w:val="center"/>
        </w:trPr>
        <w:tc>
          <w:tcPr>
            <w:tcW w:w="9161" w:type="dxa"/>
            <w:gridSpan w:val="5"/>
            <w:shd w:val="clear" w:color="auto" w:fill="595959" w:themeFill="text1" w:themeFillTint="A6"/>
            <w:tcMar>
              <w:left w:w="28" w:type="dxa"/>
              <w:right w:w="28" w:type="dxa"/>
            </w:tcMar>
            <w:vAlign w:val="center"/>
            <w:hideMark/>
          </w:tcPr>
          <w:p w:rsidR="00764E1A" w:rsidRPr="001F39A8" w:rsidRDefault="001F39A8" w:rsidP="00764E1A">
            <w:pPr>
              <w:jc w:val="center"/>
              <w:rPr>
                <w:rFonts w:ascii="Arial Narrow" w:hAnsi="Arial Narrow"/>
                <w:b/>
                <w:bCs/>
                <w:color w:val="FFFFFF" w:themeColor="background1"/>
              </w:rPr>
            </w:pPr>
            <w:r w:rsidRPr="001F39A8">
              <w:rPr>
                <w:rFonts w:ascii="Arial Narrow" w:hAnsi="Arial Narrow"/>
                <w:b/>
                <w:bCs/>
                <w:color w:val="FFFFFF" w:themeColor="background1"/>
              </w:rPr>
              <w:t>Πίνακας 3</w:t>
            </w:r>
            <w:r w:rsidR="00452DE5">
              <w:rPr>
                <w:rFonts w:ascii="Arial Narrow" w:hAnsi="Arial Narrow"/>
                <w:b/>
                <w:bCs/>
                <w:color w:val="FFFFFF" w:themeColor="background1"/>
              </w:rPr>
              <w:t>.14</w:t>
            </w:r>
            <w:r w:rsidR="00764E1A" w:rsidRPr="001F39A8">
              <w:rPr>
                <w:rFonts w:ascii="Arial Narrow" w:hAnsi="Arial Narrow"/>
                <w:b/>
                <w:bCs/>
                <w:color w:val="FFFFFF" w:themeColor="background1"/>
              </w:rPr>
              <w:t xml:space="preserve"> Ανώτατα όρια δαπανών Φορέων Κρατικού Προϋπολογισμού </w:t>
            </w:r>
            <w:r w:rsidR="00764E1A" w:rsidRPr="001F39A8">
              <w:rPr>
                <w:rFonts w:ascii="Arial Narrow" w:hAnsi="Arial Narrow"/>
                <w:b/>
                <w:bCs/>
                <w:color w:val="FFFFFF" w:themeColor="background1"/>
              </w:rPr>
              <w:br/>
              <w:t>σε ταμειακή και δεδουλευμένη βά</w:t>
            </w:r>
            <w:r w:rsidRPr="001F39A8">
              <w:rPr>
                <w:rFonts w:ascii="Arial Narrow" w:hAnsi="Arial Narrow"/>
                <w:b/>
                <w:bCs/>
                <w:color w:val="FFFFFF" w:themeColor="background1"/>
              </w:rPr>
              <w:t>ση σύμφωνα με τη</w:t>
            </w:r>
            <w:r w:rsidR="00764E1A" w:rsidRPr="001F39A8">
              <w:rPr>
                <w:rFonts w:ascii="Arial Narrow" w:hAnsi="Arial Narrow"/>
                <w:b/>
                <w:bCs/>
                <w:color w:val="FFFFFF" w:themeColor="background1"/>
              </w:rPr>
              <w:t xml:space="preserve"> μεθοδολογία του ESA για τα έτη 2018-2019 </w:t>
            </w:r>
            <w:r w:rsidR="00764E1A" w:rsidRPr="001F39A8">
              <w:rPr>
                <w:rFonts w:ascii="Arial Narrow" w:hAnsi="Arial Narrow"/>
                <w:b/>
                <w:bCs/>
                <w:color w:val="FFFFFF" w:themeColor="background1"/>
              </w:rPr>
              <w:br/>
            </w:r>
            <w:r w:rsidR="00764E1A" w:rsidRPr="001F39A8">
              <w:rPr>
                <w:rFonts w:ascii="Arial Narrow" w:hAnsi="Arial Narrow"/>
                <w:b/>
                <w:iCs/>
                <w:color w:val="FFFFFF" w:themeColor="background1"/>
              </w:rPr>
              <w:t>(σε εκατ. ευρώ)</w:t>
            </w:r>
          </w:p>
        </w:tc>
      </w:tr>
      <w:tr w:rsidR="009A2709" w:rsidRPr="00764E1A" w:rsidTr="009A2709">
        <w:trPr>
          <w:trHeight w:val="198"/>
          <w:tblHeader/>
          <w:jc w:val="center"/>
        </w:trPr>
        <w:tc>
          <w:tcPr>
            <w:tcW w:w="9161" w:type="dxa"/>
            <w:gridSpan w:val="5"/>
            <w:tcBorders>
              <w:bottom w:val="single" w:sz="4" w:space="0" w:color="auto"/>
            </w:tcBorders>
            <w:shd w:val="clear" w:color="auto" w:fill="auto"/>
            <w:noWrap/>
            <w:tcMar>
              <w:left w:w="28" w:type="dxa"/>
              <w:right w:w="28" w:type="dxa"/>
            </w:tcMar>
            <w:vAlign w:val="bottom"/>
            <w:hideMark/>
          </w:tcPr>
          <w:p w:rsidR="009A2709" w:rsidRPr="00764E1A" w:rsidRDefault="009A2709" w:rsidP="000074CC">
            <w:pPr>
              <w:jc w:val="right"/>
              <w:rPr>
                <w:rFonts w:ascii="Arial Narrow" w:hAnsi="Arial Narrow"/>
                <w:b/>
                <w:bCs/>
                <w:color w:val="000000"/>
                <w:sz w:val="16"/>
                <w:szCs w:val="16"/>
              </w:rPr>
            </w:pPr>
          </w:p>
        </w:tc>
      </w:tr>
      <w:tr w:rsidR="001F39A8" w:rsidRPr="00764E1A" w:rsidTr="009A2709">
        <w:trPr>
          <w:trHeight w:val="198"/>
          <w:tblHeader/>
          <w:jc w:val="center"/>
        </w:trPr>
        <w:tc>
          <w:tcPr>
            <w:tcW w:w="3610" w:type="dxa"/>
            <w:gridSpan w:val="2"/>
            <w:vMerge w:val="restart"/>
            <w:tcBorders>
              <w:top w:val="single" w:sz="4" w:space="0" w:color="auto"/>
              <w:bottom w:val="nil"/>
            </w:tcBorders>
            <w:shd w:val="clear" w:color="auto" w:fill="auto"/>
            <w:noWrap/>
            <w:tcMar>
              <w:left w:w="28" w:type="dxa"/>
              <w:right w:w="28" w:type="dxa"/>
            </w:tcMar>
            <w:vAlign w:val="center"/>
            <w:hideMark/>
          </w:tcPr>
          <w:p w:rsidR="001F39A8" w:rsidRPr="00764E1A" w:rsidRDefault="001F39A8" w:rsidP="00764E1A">
            <w:pPr>
              <w:jc w:val="center"/>
              <w:rPr>
                <w:rFonts w:ascii="Arial Narrow" w:hAnsi="Arial Narrow"/>
                <w:b/>
                <w:bCs/>
                <w:color w:val="000000"/>
                <w:sz w:val="16"/>
                <w:szCs w:val="16"/>
              </w:rPr>
            </w:pPr>
            <w:r w:rsidRPr="00764E1A">
              <w:rPr>
                <w:rFonts w:ascii="Arial Narrow" w:hAnsi="Arial Narrow"/>
                <w:b/>
                <w:bCs/>
                <w:color w:val="000000"/>
                <w:sz w:val="16"/>
                <w:szCs w:val="16"/>
              </w:rPr>
              <w:t>Φορέας</w:t>
            </w:r>
          </w:p>
        </w:tc>
        <w:tc>
          <w:tcPr>
            <w:tcW w:w="2944" w:type="dxa"/>
            <w:vMerge w:val="restart"/>
            <w:tcBorders>
              <w:top w:val="single" w:sz="4" w:space="0" w:color="auto"/>
              <w:bottom w:val="nil"/>
              <w:right w:val="single" w:sz="4" w:space="0" w:color="auto"/>
            </w:tcBorders>
            <w:shd w:val="clear" w:color="auto" w:fill="auto"/>
            <w:noWrap/>
            <w:tcMar>
              <w:left w:w="28" w:type="dxa"/>
              <w:right w:w="28" w:type="dxa"/>
            </w:tcMar>
            <w:vAlign w:val="center"/>
            <w:hideMark/>
          </w:tcPr>
          <w:p w:rsidR="001F39A8" w:rsidRPr="00764E1A" w:rsidRDefault="001F39A8" w:rsidP="00764E1A">
            <w:pPr>
              <w:jc w:val="center"/>
              <w:rPr>
                <w:rFonts w:ascii="Arial Narrow" w:hAnsi="Arial Narrow"/>
                <w:b/>
                <w:bCs/>
                <w:color w:val="000000"/>
                <w:sz w:val="16"/>
                <w:szCs w:val="16"/>
              </w:rPr>
            </w:pPr>
            <w:r w:rsidRPr="00764E1A">
              <w:rPr>
                <w:rFonts w:ascii="Arial Narrow" w:hAnsi="Arial Narrow"/>
                <w:b/>
                <w:bCs/>
                <w:color w:val="000000"/>
                <w:sz w:val="16"/>
                <w:szCs w:val="16"/>
              </w:rPr>
              <w:t> </w:t>
            </w:r>
          </w:p>
          <w:p w:rsidR="001F39A8" w:rsidRPr="00764E1A" w:rsidRDefault="001F39A8" w:rsidP="00764E1A">
            <w:pPr>
              <w:jc w:val="center"/>
              <w:rPr>
                <w:rFonts w:ascii="Arial Narrow" w:hAnsi="Arial Narrow"/>
                <w:b/>
                <w:bCs/>
                <w:color w:val="000000"/>
                <w:sz w:val="16"/>
                <w:szCs w:val="16"/>
              </w:rPr>
            </w:pPr>
            <w:r w:rsidRPr="00764E1A">
              <w:rPr>
                <w:rFonts w:ascii="Arial Narrow" w:hAnsi="Arial Narrow"/>
                <w:b/>
                <w:bCs/>
                <w:color w:val="000000"/>
                <w:sz w:val="16"/>
                <w:szCs w:val="16"/>
              </w:rPr>
              <w:t> </w:t>
            </w:r>
          </w:p>
        </w:tc>
        <w:tc>
          <w:tcPr>
            <w:tcW w:w="13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1F39A8" w:rsidRPr="00764E1A" w:rsidRDefault="001F39A8" w:rsidP="00764E1A">
            <w:pPr>
              <w:jc w:val="center"/>
              <w:rPr>
                <w:rFonts w:ascii="Arial Narrow" w:hAnsi="Arial Narrow"/>
                <w:b/>
                <w:bCs/>
                <w:color w:val="000000"/>
                <w:sz w:val="16"/>
                <w:szCs w:val="16"/>
              </w:rPr>
            </w:pPr>
            <w:r w:rsidRPr="00764E1A">
              <w:rPr>
                <w:rFonts w:ascii="Arial Narrow" w:hAnsi="Arial Narrow"/>
                <w:b/>
                <w:bCs/>
                <w:color w:val="000000"/>
                <w:sz w:val="16"/>
                <w:szCs w:val="16"/>
              </w:rPr>
              <w:t>2018</w:t>
            </w:r>
          </w:p>
        </w:tc>
        <w:tc>
          <w:tcPr>
            <w:tcW w:w="1269" w:type="dxa"/>
            <w:tcBorders>
              <w:top w:val="single" w:sz="4" w:space="0" w:color="auto"/>
              <w:left w:val="single" w:sz="4" w:space="0" w:color="auto"/>
              <w:bottom w:val="single" w:sz="4" w:space="0" w:color="auto"/>
            </w:tcBorders>
            <w:shd w:val="clear" w:color="auto" w:fill="auto"/>
            <w:noWrap/>
            <w:tcMar>
              <w:left w:w="28" w:type="dxa"/>
              <w:right w:w="28" w:type="dxa"/>
            </w:tcMar>
            <w:vAlign w:val="center"/>
            <w:hideMark/>
          </w:tcPr>
          <w:p w:rsidR="001F39A8" w:rsidRPr="00764E1A" w:rsidRDefault="001F39A8" w:rsidP="00764E1A">
            <w:pPr>
              <w:jc w:val="center"/>
              <w:rPr>
                <w:rFonts w:ascii="Arial Narrow" w:hAnsi="Arial Narrow"/>
                <w:b/>
                <w:bCs/>
                <w:color w:val="000000"/>
                <w:sz w:val="16"/>
                <w:szCs w:val="16"/>
              </w:rPr>
            </w:pPr>
            <w:r w:rsidRPr="00764E1A">
              <w:rPr>
                <w:rFonts w:ascii="Arial Narrow" w:hAnsi="Arial Narrow"/>
                <w:b/>
                <w:bCs/>
                <w:color w:val="000000"/>
                <w:sz w:val="16"/>
                <w:szCs w:val="16"/>
              </w:rPr>
              <w:t>2019</w:t>
            </w:r>
          </w:p>
        </w:tc>
      </w:tr>
      <w:tr w:rsidR="009A2709" w:rsidRPr="00764E1A" w:rsidTr="009A2709">
        <w:trPr>
          <w:trHeight w:val="198"/>
          <w:tblHeader/>
          <w:jc w:val="center"/>
        </w:trPr>
        <w:tc>
          <w:tcPr>
            <w:tcW w:w="3610" w:type="dxa"/>
            <w:gridSpan w:val="2"/>
            <w:vMerge/>
            <w:tcBorders>
              <w:top w:val="nil"/>
              <w:bottom w:val="single" w:sz="4" w:space="0" w:color="auto"/>
            </w:tcBorders>
            <w:shd w:val="clear" w:color="auto" w:fill="auto"/>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vMerge/>
            <w:tcBorders>
              <w:top w:val="nil"/>
              <w:bottom w:val="single" w:sz="4" w:space="0" w:color="auto"/>
              <w:right w:val="single" w:sz="4" w:space="0" w:color="auto"/>
            </w:tcBorders>
            <w:shd w:val="clear" w:color="auto" w:fill="auto"/>
            <w:noWrap/>
            <w:tcMar>
              <w:left w:w="28" w:type="dxa"/>
              <w:right w:w="28" w:type="dxa"/>
            </w:tcMar>
            <w:vAlign w:val="center"/>
            <w:hideMark/>
          </w:tcPr>
          <w:p w:rsidR="009A2709" w:rsidRPr="00764E1A" w:rsidRDefault="009A2709" w:rsidP="00764E1A">
            <w:pPr>
              <w:jc w:val="center"/>
              <w:rPr>
                <w:rFonts w:ascii="Arial Narrow" w:hAnsi="Arial Narrow"/>
                <w:b/>
                <w:bCs/>
                <w:color w:val="000000"/>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A2709" w:rsidRPr="00764E1A" w:rsidRDefault="009A2709" w:rsidP="00764E1A">
            <w:pPr>
              <w:jc w:val="center"/>
              <w:rPr>
                <w:rFonts w:ascii="Arial Narrow" w:hAnsi="Arial Narrow"/>
                <w:b/>
                <w:bCs/>
                <w:color w:val="000000"/>
                <w:sz w:val="16"/>
                <w:szCs w:val="16"/>
              </w:rPr>
            </w:pPr>
            <w:r w:rsidRPr="00764E1A">
              <w:rPr>
                <w:rFonts w:ascii="Arial Narrow" w:hAnsi="Arial Narrow"/>
                <w:b/>
                <w:bCs/>
                <w:color w:val="000000"/>
                <w:sz w:val="16"/>
                <w:szCs w:val="16"/>
              </w:rPr>
              <w:t>Εκτιμήσεις</w:t>
            </w:r>
          </w:p>
        </w:tc>
        <w:tc>
          <w:tcPr>
            <w:tcW w:w="1269" w:type="dxa"/>
            <w:tcBorders>
              <w:top w:val="single" w:sz="4" w:space="0" w:color="auto"/>
              <w:left w:val="single" w:sz="4" w:space="0" w:color="auto"/>
              <w:bottom w:val="single" w:sz="4" w:space="0" w:color="auto"/>
            </w:tcBorders>
            <w:shd w:val="clear" w:color="auto" w:fill="auto"/>
            <w:noWrap/>
            <w:tcMar>
              <w:left w:w="28" w:type="dxa"/>
              <w:right w:w="28" w:type="dxa"/>
            </w:tcMar>
            <w:vAlign w:val="center"/>
            <w:hideMark/>
          </w:tcPr>
          <w:p w:rsidR="009A2709" w:rsidRPr="00764E1A" w:rsidRDefault="009A2709" w:rsidP="00764E1A">
            <w:pPr>
              <w:jc w:val="center"/>
              <w:rPr>
                <w:rFonts w:ascii="Arial Narrow" w:hAnsi="Arial Narrow"/>
                <w:b/>
                <w:bCs/>
                <w:color w:val="000000"/>
                <w:sz w:val="16"/>
                <w:szCs w:val="16"/>
              </w:rPr>
            </w:pPr>
            <w:r w:rsidRPr="00764E1A">
              <w:rPr>
                <w:rFonts w:ascii="Arial Narrow" w:hAnsi="Arial Narrow"/>
                <w:b/>
                <w:bCs/>
                <w:color w:val="000000"/>
                <w:sz w:val="16"/>
                <w:szCs w:val="16"/>
              </w:rPr>
              <w:t>Προβλέψεις</w:t>
            </w:r>
          </w:p>
        </w:tc>
      </w:tr>
      <w:tr w:rsidR="009A2709" w:rsidRPr="00764E1A" w:rsidTr="009A2709">
        <w:trPr>
          <w:trHeight w:val="198"/>
          <w:jc w:val="center"/>
        </w:trPr>
        <w:tc>
          <w:tcPr>
            <w:tcW w:w="353" w:type="dxa"/>
            <w:vMerge w:val="restart"/>
            <w:tcBorders>
              <w:top w:val="single" w:sz="4" w:space="0" w:color="auto"/>
            </w:tcBorders>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w:t>
            </w:r>
          </w:p>
        </w:tc>
        <w:tc>
          <w:tcPr>
            <w:tcW w:w="3257" w:type="dxa"/>
            <w:vMerge w:val="restart"/>
            <w:tcBorders>
              <w:top w:val="single" w:sz="4" w:space="0" w:color="auto"/>
            </w:tcBorders>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Προεδρία της Δημοκρατίας</w:t>
            </w:r>
          </w:p>
        </w:tc>
        <w:tc>
          <w:tcPr>
            <w:tcW w:w="2944" w:type="dxa"/>
            <w:tcBorders>
              <w:top w:val="single" w:sz="4" w:space="0" w:color="auto"/>
            </w:tcBorders>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tcBorders>
              <w:top w:val="single" w:sz="4" w:space="0" w:color="auto"/>
            </w:tcBorders>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w:t>
            </w:r>
          </w:p>
        </w:tc>
        <w:tc>
          <w:tcPr>
            <w:tcW w:w="1269" w:type="dxa"/>
            <w:tcBorders>
              <w:top w:val="single" w:sz="4" w:space="0" w:color="auto"/>
            </w:tcBorders>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tcBorders>
              <w:bottom w:val="nil"/>
            </w:tcBorders>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0</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2</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Βουλή των Ελλήνων</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135</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143</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134</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142</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3</w:t>
            </w:r>
          </w:p>
        </w:tc>
        <w:tc>
          <w:tcPr>
            <w:tcW w:w="3257" w:type="dxa"/>
            <w:vMerge w:val="restart"/>
            <w:shd w:val="clear" w:color="000000" w:fill="FFFFFF"/>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 xml:space="preserve">Υπουργείο Διοικητικής </w:t>
            </w:r>
            <w:r w:rsidRPr="00764E1A">
              <w:rPr>
                <w:rFonts w:ascii="Arial Narrow" w:hAnsi="Arial Narrow"/>
                <w:b/>
                <w:bCs/>
                <w:color w:val="000000"/>
                <w:sz w:val="16"/>
                <w:szCs w:val="16"/>
              </w:rPr>
              <w:br/>
              <w:t xml:space="preserve">Ανασυγκρότησης </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91</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132</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43</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44</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48</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88</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4</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Εσωτερικών</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3.374</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2.729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3.239</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2.583</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135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146</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i/>
                <w:iCs/>
                <w:sz w:val="16"/>
                <w:szCs w:val="16"/>
              </w:rPr>
            </w:pP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sz w:val="16"/>
                <w:szCs w:val="16"/>
              </w:rPr>
              <w:t>4α</w:t>
            </w:r>
            <w:r w:rsidRPr="00764E1A">
              <w:rPr>
                <w:rFonts w:ascii="Arial Narrow" w:hAnsi="Arial Narrow"/>
                <w:i/>
                <w:iCs/>
                <w:color w:val="000000"/>
                <w:sz w:val="16"/>
                <w:szCs w:val="16"/>
              </w:rPr>
              <w:t xml:space="preserve"> πρώην Υπουργείο Εσωτερικών</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color w:val="000000"/>
                <w:sz w:val="16"/>
                <w:szCs w:val="16"/>
              </w:rPr>
              <w:t xml:space="preserve">Ταμειακό Σύνολο   </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3.365</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2.722</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i/>
                <w:i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color w:val="000000"/>
                <w:sz w:val="16"/>
                <w:szCs w:val="16"/>
              </w:rPr>
              <w:t xml:space="preserve">Τακτικός Προϋπολογισμός    </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3.235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2.578</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i/>
                <w:i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color w:val="000000"/>
                <w:sz w:val="16"/>
                <w:szCs w:val="16"/>
              </w:rPr>
              <w:t xml:space="preserve">ΠΔΕ     </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130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144</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i/>
                <w:iCs/>
                <w:sz w:val="16"/>
                <w:szCs w:val="16"/>
              </w:rPr>
            </w:pP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sz w:val="16"/>
                <w:szCs w:val="16"/>
              </w:rPr>
              <w:t>4β</w:t>
            </w:r>
            <w:r w:rsidRPr="00764E1A">
              <w:rPr>
                <w:rFonts w:ascii="Arial Narrow" w:hAnsi="Arial Narrow"/>
                <w:i/>
                <w:iCs/>
                <w:color w:val="000000"/>
                <w:sz w:val="16"/>
                <w:szCs w:val="16"/>
              </w:rPr>
              <w:t xml:space="preserve"> πρώην Υπουργείο Μακεδονίας-Θράκης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color w:val="000000"/>
                <w:sz w:val="16"/>
                <w:szCs w:val="16"/>
              </w:rPr>
              <w:t xml:space="preserve">Ταμειακό Σύνολο    </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10</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7</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i/>
                <w:i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color w:val="000000"/>
                <w:sz w:val="16"/>
                <w:szCs w:val="16"/>
              </w:rPr>
              <w:t xml:space="preserve">Τακτικός Προϋπολογισμός     </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5</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i/>
                <w:i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color w:val="000000"/>
                <w:sz w:val="16"/>
                <w:szCs w:val="16"/>
              </w:rPr>
              <w:t xml:space="preserve">ΠΔΕ      </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i/>
                <w:iCs/>
                <w:color w:val="000000"/>
                <w:sz w:val="16"/>
                <w:szCs w:val="16"/>
              </w:rPr>
            </w:pPr>
            <w:r w:rsidRPr="00C704DF">
              <w:rPr>
                <w:rFonts w:ascii="Arial Narrow" w:hAnsi="Arial Narrow"/>
                <w:i/>
                <w:iCs/>
                <w:color w:val="000000"/>
                <w:sz w:val="16"/>
                <w:szCs w:val="16"/>
              </w:rPr>
              <w:t>2</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5</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Εξωτερικών</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266</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262</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261</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259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6</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Εθνικής Άμυνας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3.320</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3.389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3.280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3.359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30</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7</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Υγείας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3.849</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3.884</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3.784</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3.824</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60</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8</w:t>
            </w:r>
          </w:p>
        </w:tc>
        <w:tc>
          <w:tcPr>
            <w:tcW w:w="3257" w:type="dxa"/>
            <w:vMerge w:val="restart"/>
            <w:shd w:val="clear" w:color="000000" w:fill="FFFFFF"/>
            <w:tcMar>
              <w:left w:w="28" w:type="dxa"/>
              <w:right w:w="28" w:type="dxa"/>
            </w:tcMar>
            <w:vAlign w:val="center"/>
            <w:hideMark/>
          </w:tcPr>
          <w:p w:rsidR="009A2709" w:rsidRDefault="009A2709" w:rsidP="001F39A8">
            <w:pPr>
              <w:rPr>
                <w:rFonts w:ascii="Arial Narrow" w:hAnsi="Arial Narrow"/>
                <w:b/>
                <w:bCs/>
                <w:color w:val="000000"/>
                <w:sz w:val="16"/>
                <w:szCs w:val="16"/>
              </w:rPr>
            </w:pPr>
            <w:r w:rsidRPr="00764E1A">
              <w:rPr>
                <w:rFonts w:ascii="Arial Narrow" w:hAnsi="Arial Narrow"/>
                <w:b/>
                <w:bCs/>
                <w:color w:val="000000"/>
                <w:sz w:val="16"/>
                <w:szCs w:val="16"/>
              </w:rPr>
              <w:t>Υπουργείο Δικαιοσύνης, Διαφάνειας</w:t>
            </w:r>
            <w:r>
              <w:rPr>
                <w:rFonts w:ascii="Arial Narrow" w:hAnsi="Arial Narrow"/>
                <w:b/>
                <w:bCs/>
                <w:color w:val="000000"/>
                <w:sz w:val="16"/>
                <w:szCs w:val="16"/>
              </w:rPr>
              <w:t xml:space="preserve"> </w:t>
            </w:r>
            <w:r w:rsidRPr="00764E1A">
              <w:rPr>
                <w:rFonts w:ascii="Arial Narrow" w:hAnsi="Arial Narrow"/>
                <w:b/>
                <w:bCs/>
                <w:color w:val="000000"/>
                <w:sz w:val="16"/>
                <w:szCs w:val="16"/>
              </w:rPr>
              <w:t xml:space="preserve">&amp; </w:t>
            </w:r>
          </w:p>
          <w:p w:rsidR="009A2709" w:rsidRPr="00764E1A" w:rsidRDefault="009A2709" w:rsidP="001F39A8">
            <w:pPr>
              <w:rPr>
                <w:rFonts w:ascii="Arial Narrow" w:hAnsi="Arial Narrow"/>
                <w:b/>
                <w:bCs/>
                <w:color w:val="000000"/>
                <w:sz w:val="16"/>
                <w:szCs w:val="16"/>
              </w:rPr>
            </w:pPr>
            <w:r w:rsidRPr="00764E1A">
              <w:rPr>
                <w:rFonts w:ascii="Arial Narrow" w:hAnsi="Arial Narrow"/>
                <w:b/>
                <w:bCs/>
                <w:color w:val="000000"/>
                <w:sz w:val="16"/>
                <w:szCs w:val="16"/>
              </w:rPr>
              <w:t>Ανθρωπίνων Δικαιωμάτων</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630</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657</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619</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650</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11</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7</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9</w:t>
            </w:r>
          </w:p>
        </w:tc>
        <w:tc>
          <w:tcPr>
            <w:tcW w:w="3257" w:type="dxa"/>
            <w:vMerge w:val="restart"/>
            <w:shd w:val="clear" w:color="000000" w:fill="FFFFFF"/>
            <w:tcMar>
              <w:left w:w="28" w:type="dxa"/>
              <w:right w:w="28" w:type="dxa"/>
            </w:tcMar>
            <w:vAlign w:val="center"/>
            <w:hideMark/>
          </w:tcPr>
          <w:p w:rsidR="009A2709" w:rsidRPr="00764E1A" w:rsidRDefault="009A2709" w:rsidP="001F39A8">
            <w:pPr>
              <w:rPr>
                <w:rFonts w:ascii="Arial Narrow" w:hAnsi="Arial Narrow"/>
                <w:b/>
                <w:bCs/>
                <w:color w:val="000000"/>
                <w:sz w:val="16"/>
                <w:szCs w:val="16"/>
              </w:rPr>
            </w:pPr>
            <w:r w:rsidRPr="00764E1A">
              <w:rPr>
                <w:rFonts w:ascii="Arial Narrow" w:hAnsi="Arial Narrow"/>
                <w:b/>
                <w:bCs/>
                <w:color w:val="000000"/>
                <w:sz w:val="16"/>
                <w:szCs w:val="16"/>
              </w:rPr>
              <w:t>Υπουργείο Παιδείας, Έρευνας &amp; Θρησκευμάτων</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5.364</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5.527</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4.744</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4.962</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620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565</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10</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Πολιτισμού και Αθλητισμού</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371</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349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318</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305</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53</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44</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lastRenderedPageBreak/>
              <w:t>11</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Οικονομικών</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686</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757</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678</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735</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8</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22</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12</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 xml:space="preserve">Γενικές Κρατικές Δαπάνες </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10.924</w:t>
            </w:r>
          </w:p>
        </w:tc>
        <w:tc>
          <w:tcPr>
            <w:tcW w:w="1269" w:type="dxa"/>
            <w:shd w:val="clear" w:color="000000" w:fill="D8D8D8"/>
            <w:noWrap/>
            <w:tcMar>
              <w:left w:w="28" w:type="dxa"/>
              <w:right w:w="28" w:type="dxa"/>
            </w:tcMar>
            <w:vAlign w:val="center"/>
            <w:hideMark/>
          </w:tcPr>
          <w:p w:rsidR="009A2709" w:rsidRPr="00C704DF" w:rsidRDefault="00F17808" w:rsidP="00CD068D">
            <w:pPr>
              <w:ind w:right="393"/>
              <w:jc w:val="right"/>
              <w:rPr>
                <w:rFonts w:ascii="Arial Narrow" w:hAnsi="Arial Narrow"/>
                <w:b/>
                <w:bCs/>
                <w:color w:val="000000"/>
                <w:sz w:val="16"/>
                <w:szCs w:val="16"/>
              </w:rPr>
            </w:pPr>
            <w:r>
              <w:rPr>
                <w:rFonts w:ascii="Arial Narrow" w:hAnsi="Arial Narrow"/>
                <w:b/>
                <w:bCs/>
                <w:color w:val="000000"/>
                <w:sz w:val="16"/>
                <w:szCs w:val="16"/>
              </w:rPr>
              <w:t>11.90</w:t>
            </w:r>
            <w:r w:rsidR="009A2709" w:rsidRPr="00C704DF">
              <w:rPr>
                <w:rFonts w:ascii="Arial Narrow" w:hAnsi="Arial Narrow"/>
                <w:b/>
                <w:bCs/>
                <w:color w:val="000000"/>
                <w:sz w:val="16"/>
                <w:szCs w:val="16"/>
              </w:rPr>
              <w:t>2</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10.924</w:t>
            </w:r>
          </w:p>
        </w:tc>
        <w:tc>
          <w:tcPr>
            <w:tcW w:w="1269" w:type="dxa"/>
            <w:shd w:val="clear" w:color="000000" w:fill="FFFFFF"/>
            <w:noWrap/>
            <w:tcMar>
              <w:left w:w="28" w:type="dxa"/>
              <w:right w:w="28" w:type="dxa"/>
            </w:tcMar>
            <w:vAlign w:val="center"/>
            <w:hideMark/>
          </w:tcPr>
          <w:p w:rsidR="009A2709" w:rsidRPr="00C704DF" w:rsidRDefault="00F17808" w:rsidP="00CD068D">
            <w:pPr>
              <w:ind w:right="393"/>
              <w:jc w:val="right"/>
              <w:rPr>
                <w:rFonts w:ascii="Arial Narrow" w:hAnsi="Arial Narrow"/>
                <w:color w:val="000000"/>
                <w:sz w:val="16"/>
                <w:szCs w:val="16"/>
              </w:rPr>
            </w:pPr>
            <w:r>
              <w:rPr>
                <w:rFonts w:ascii="Arial Narrow" w:hAnsi="Arial Narrow"/>
                <w:color w:val="000000"/>
                <w:sz w:val="16"/>
                <w:szCs w:val="16"/>
              </w:rPr>
              <w:t>11.90</w:t>
            </w:r>
            <w:r w:rsidR="009A2709" w:rsidRPr="00C704DF">
              <w:rPr>
                <w:rFonts w:ascii="Arial Narrow" w:hAnsi="Arial Narrow"/>
                <w:color w:val="000000"/>
                <w:sz w:val="16"/>
                <w:szCs w:val="16"/>
              </w:rPr>
              <w:t>2</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0</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13</w:t>
            </w:r>
          </w:p>
        </w:tc>
        <w:tc>
          <w:tcPr>
            <w:tcW w:w="3257" w:type="dxa"/>
            <w:vMerge w:val="restart"/>
            <w:shd w:val="clear" w:color="000000" w:fill="FFFFFF"/>
            <w:tcMar>
              <w:left w:w="28" w:type="dxa"/>
              <w:right w:w="28" w:type="dxa"/>
            </w:tcMar>
            <w:vAlign w:val="center"/>
            <w:hideMark/>
          </w:tcPr>
          <w:p w:rsidR="009A2709" w:rsidRPr="00764E1A" w:rsidRDefault="009A2709" w:rsidP="001F39A8">
            <w:pPr>
              <w:rPr>
                <w:rFonts w:ascii="Arial Narrow" w:hAnsi="Arial Narrow"/>
                <w:b/>
                <w:bCs/>
                <w:color w:val="000000"/>
                <w:sz w:val="16"/>
                <w:szCs w:val="16"/>
              </w:rPr>
            </w:pPr>
            <w:r w:rsidRPr="00764E1A">
              <w:rPr>
                <w:rFonts w:ascii="Arial Narrow" w:hAnsi="Arial Narrow"/>
                <w:b/>
                <w:bCs/>
                <w:color w:val="000000"/>
                <w:sz w:val="16"/>
                <w:szCs w:val="16"/>
              </w:rPr>
              <w:t>Υπουργείο Αγροτικής Ανάπτυξης &amp; Τροφίμων</w:t>
            </w:r>
          </w:p>
        </w:tc>
        <w:tc>
          <w:tcPr>
            <w:tcW w:w="2944" w:type="dxa"/>
            <w:shd w:val="clear" w:color="000000" w:fill="D8D8D8"/>
            <w:noWrap/>
            <w:tcMar>
              <w:left w:w="28" w:type="dxa"/>
              <w:right w:w="28" w:type="dxa"/>
            </w:tcMar>
            <w:vAlign w:val="center"/>
            <w:hideMark/>
          </w:tcPr>
          <w:p w:rsidR="009A2709" w:rsidRPr="00764E1A" w:rsidRDefault="009A2709" w:rsidP="00C03D33">
            <w:pPr>
              <w:rPr>
                <w:rFonts w:ascii="Arial Narrow" w:hAnsi="Arial Narrow"/>
                <w:b/>
                <w:bCs/>
                <w:color w:val="000000"/>
                <w:sz w:val="16"/>
                <w:szCs w:val="16"/>
              </w:rPr>
            </w:pPr>
            <w:r w:rsidRPr="00764E1A">
              <w:rPr>
                <w:rFonts w:ascii="Arial Narrow" w:hAnsi="Arial Narrow"/>
                <w:b/>
                <w:bCs/>
                <w:color w:val="000000"/>
                <w:sz w:val="16"/>
                <w:szCs w:val="16"/>
              </w:rPr>
              <w:t>Τα</w:t>
            </w:r>
            <w:r>
              <w:rPr>
                <w:rFonts w:ascii="Arial Narrow" w:hAnsi="Arial Narrow"/>
                <w:b/>
                <w:bCs/>
                <w:color w:val="000000"/>
                <w:sz w:val="16"/>
                <w:szCs w:val="16"/>
              </w:rPr>
              <w:t>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1.069</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1.110</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337</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258</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732</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852</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14</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Περιβάλλοντος &amp; Ενέργειας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500</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504</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85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84</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415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420</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15</w:t>
            </w:r>
          </w:p>
        </w:tc>
        <w:tc>
          <w:tcPr>
            <w:tcW w:w="3257" w:type="dxa"/>
            <w:vMerge w:val="restart"/>
            <w:shd w:val="clear" w:color="000000" w:fill="FFFFFF"/>
            <w:tcMar>
              <w:left w:w="28" w:type="dxa"/>
              <w:right w:w="28" w:type="dxa"/>
            </w:tcMar>
            <w:vAlign w:val="center"/>
            <w:hideMark/>
          </w:tcPr>
          <w:p w:rsidR="009A2709" w:rsidRPr="00764E1A" w:rsidRDefault="009A2709" w:rsidP="001F39A8">
            <w:pPr>
              <w:rPr>
                <w:rFonts w:ascii="Arial Narrow" w:hAnsi="Arial Narrow"/>
                <w:b/>
                <w:bCs/>
                <w:color w:val="000000"/>
                <w:sz w:val="16"/>
                <w:szCs w:val="16"/>
              </w:rPr>
            </w:pPr>
            <w:r w:rsidRPr="00764E1A">
              <w:rPr>
                <w:rFonts w:ascii="Arial Narrow" w:hAnsi="Arial Narrow"/>
                <w:b/>
                <w:bCs/>
                <w:color w:val="000000"/>
                <w:sz w:val="16"/>
                <w:szCs w:val="16"/>
              </w:rPr>
              <w:t>Υπουργείο Εργασίας, Κοινωνικής Ασφάλισης</w:t>
            </w:r>
            <w:r w:rsidRPr="00764E1A">
              <w:rPr>
                <w:rFonts w:ascii="Arial Narrow" w:hAnsi="Arial Narrow"/>
                <w:b/>
                <w:bCs/>
                <w:color w:val="000000"/>
                <w:sz w:val="16"/>
                <w:szCs w:val="16"/>
              </w:rPr>
              <w:br/>
              <w:t>&amp; Κοινωνικής Αλληλεγγύης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18.761</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18.873</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18.376</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18.533</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385</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340</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16</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Οικονομίας &amp; Ανάπτυξης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2.168</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2.271</w:t>
            </w:r>
          </w:p>
        </w:tc>
      </w:tr>
      <w:tr w:rsidR="009A2709" w:rsidRPr="00764E1A" w:rsidTr="00BF606F">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75</w:t>
            </w:r>
          </w:p>
        </w:tc>
        <w:tc>
          <w:tcPr>
            <w:tcW w:w="1269" w:type="dxa"/>
            <w:tcBorders>
              <w:bottom w:val="nil"/>
            </w:tcBorders>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98</w:t>
            </w:r>
          </w:p>
        </w:tc>
      </w:tr>
      <w:tr w:rsidR="009A2709" w:rsidRPr="00764E1A" w:rsidTr="00BF606F">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2.093</w:t>
            </w:r>
          </w:p>
        </w:tc>
        <w:tc>
          <w:tcPr>
            <w:tcW w:w="1269" w:type="dxa"/>
            <w:tcBorders>
              <w:top w:val="nil"/>
              <w:bottom w:val="nil"/>
              <w:right w:val="single" w:sz="4" w:space="0" w:color="auto"/>
            </w:tcBorders>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2.173</w:t>
            </w:r>
          </w:p>
        </w:tc>
      </w:tr>
      <w:tr w:rsidR="009A2709" w:rsidRPr="00764E1A" w:rsidTr="00BF606F">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17</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Υποδομών &amp; Μεταφορών</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2.580</w:t>
            </w:r>
          </w:p>
        </w:tc>
        <w:tc>
          <w:tcPr>
            <w:tcW w:w="1269" w:type="dxa"/>
            <w:tcBorders>
              <w:top w:val="nil"/>
              <w:bottom w:val="nil"/>
              <w:right w:val="single" w:sz="4" w:space="0" w:color="auto"/>
            </w:tcBorders>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2.343</w:t>
            </w:r>
          </w:p>
        </w:tc>
      </w:tr>
      <w:tr w:rsidR="009A2709" w:rsidRPr="00764E1A" w:rsidTr="00BF606F">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616</w:t>
            </w:r>
          </w:p>
        </w:tc>
        <w:tc>
          <w:tcPr>
            <w:tcW w:w="1269" w:type="dxa"/>
            <w:tcBorders>
              <w:top w:val="nil"/>
              <w:bottom w:val="nil"/>
            </w:tcBorders>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539</w:t>
            </w:r>
          </w:p>
        </w:tc>
      </w:tr>
      <w:tr w:rsidR="009A2709" w:rsidRPr="00764E1A" w:rsidTr="00BF606F">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1.964</w:t>
            </w:r>
          </w:p>
        </w:tc>
        <w:tc>
          <w:tcPr>
            <w:tcW w:w="1269" w:type="dxa"/>
            <w:tcBorders>
              <w:top w:val="nil"/>
            </w:tcBorders>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1.804</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18</w:t>
            </w:r>
          </w:p>
        </w:tc>
        <w:tc>
          <w:tcPr>
            <w:tcW w:w="3257" w:type="dxa"/>
            <w:vMerge w:val="restart"/>
            <w:shd w:val="clear" w:color="000000" w:fill="FFFFFF"/>
            <w:tcMar>
              <w:left w:w="28" w:type="dxa"/>
              <w:right w:w="28" w:type="dxa"/>
            </w:tcMar>
            <w:vAlign w:val="center"/>
            <w:hideMark/>
          </w:tcPr>
          <w:p w:rsidR="009A2709" w:rsidRPr="00764E1A" w:rsidRDefault="009A2709" w:rsidP="001F39A8">
            <w:pPr>
              <w:rPr>
                <w:rFonts w:ascii="Arial Narrow" w:hAnsi="Arial Narrow"/>
                <w:b/>
                <w:bCs/>
                <w:color w:val="000000"/>
                <w:sz w:val="16"/>
                <w:szCs w:val="16"/>
              </w:rPr>
            </w:pPr>
            <w:r w:rsidRPr="00764E1A">
              <w:rPr>
                <w:rFonts w:ascii="Arial Narrow" w:hAnsi="Arial Narrow"/>
                <w:b/>
                <w:bCs/>
                <w:color w:val="000000"/>
                <w:sz w:val="16"/>
                <w:szCs w:val="16"/>
              </w:rPr>
              <w:t>Υπουργείο Ναυτιλίας &amp; Νησιωτικής Πολιτικής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385</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385</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343</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339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42</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46</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19</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Προστασίας του Πολίτη</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2.115</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2.175</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2.046</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2.114</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69</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61</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20</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Τουρισμού</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71</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69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44</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46</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27</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23</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21</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Υπουργείο Μεταναστευτικής Πολιτικής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77</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79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50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44</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27</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35</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22</w:t>
            </w:r>
          </w:p>
        </w:tc>
        <w:tc>
          <w:tcPr>
            <w:tcW w:w="3257" w:type="dxa"/>
            <w:vMerge w:val="restart"/>
            <w:shd w:val="clear" w:color="000000" w:fill="FFFFFF"/>
            <w:tcMar>
              <w:left w:w="28" w:type="dxa"/>
              <w:right w:w="28" w:type="dxa"/>
            </w:tcMar>
            <w:vAlign w:val="center"/>
            <w:hideMark/>
          </w:tcPr>
          <w:p w:rsidR="009A2709" w:rsidRPr="00764E1A" w:rsidRDefault="009A2709" w:rsidP="001F39A8">
            <w:pPr>
              <w:rPr>
                <w:rFonts w:ascii="Arial Narrow" w:hAnsi="Arial Narrow"/>
                <w:b/>
                <w:bCs/>
                <w:color w:val="000000"/>
                <w:sz w:val="16"/>
                <w:szCs w:val="16"/>
              </w:rPr>
            </w:pPr>
            <w:r w:rsidRPr="00764E1A">
              <w:rPr>
                <w:rFonts w:ascii="Arial Narrow" w:hAnsi="Arial Narrow"/>
                <w:b/>
                <w:bCs/>
                <w:color w:val="000000"/>
                <w:sz w:val="16"/>
                <w:szCs w:val="16"/>
              </w:rPr>
              <w:t>Υπουργείο Ψηφιακής Πολιτικής, Τηλεπικοινωνιών &amp; Ενημέρωσης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114</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89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104</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59</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30</w:t>
            </w:r>
          </w:p>
        </w:tc>
      </w:tr>
      <w:tr w:rsidR="009A2709" w:rsidRPr="00764E1A" w:rsidTr="009A2709">
        <w:trPr>
          <w:trHeight w:val="198"/>
          <w:jc w:val="center"/>
        </w:trPr>
        <w:tc>
          <w:tcPr>
            <w:tcW w:w="353" w:type="dxa"/>
            <w:vMerge w:val="restart"/>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23</w:t>
            </w:r>
          </w:p>
        </w:tc>
        <w:tc>
          <w:tcPr>
            <w:tcW w:w="3257" w:type="dxa"/>
            <w:vMerge w:val="restart"/>
            <w:shd w:val="clear" w:color="000000" w:fill="FFFFF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Αποκεντρωμένες Διοικήσεις</w:t>
            </w:r>
          </w:p>
        </w:tc>
        <w:tc>
          <w:tcPr>
            <w:tcW w:w="2944" w:type="dxa"/>
            <w:shd w:val="clear" w:color="000000" w:fill="D8D8D8"/>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w:t>
            </w:r>
          </w:p>
        </w:tc>
        <w:tc>
          <w:tcPr>
            <w:tcW w:w="1338"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178</w:t>
            </w:r>
          </w:p>
        </w:tc>
        <w:tc>
          <w:tcPr>
            <w:tcW w:w="1269" w:type="dxa"/>
            <w:shd w:val="clear" w:color="000000" w:fill="D8D8D8"/>
            <w:noWrap/>
            <w:tcMar>
              <w:left w:w="28" w:type="dxa"/>
              <w:right w:w="28" w:type="dxa"/>
            </w:tcMar>
            <w:vAlign w:val="center"/>
            <w:hideMark/>
          </w:tcPr>
          <w:p w:rsidR="009A2709" w:rsidRPr="00C704DF" w:rsidRDefault="009A2709" w:rsidP="00CD068D">
            <w:pPr>
              <w:ind w:right="393"/>
              <w:jc w:val="right"/>
              <w:rPr>
                <w:rFonts w:ascii="Arial Narrow" w:hAnsi="Arial Narrow"/>
                <w:b/>
                <w:bCs/>
                <w:color w:val="000000"/>
                <w:sz w:val="16"/>
                <w:szCs w:val="16"/>
              </w:rPr>
            </w:pPr>
            <w:r w:rsidRPr="00C704DF">
              <w:rPr>
                <w:rFonts w:ascii="Arial Narrow" w:hAnsi="Arial Narrow"/>
                <w:b/>
                <w:bCs/>
                <w:color w:val="000000"/>
                <w:sz w:val="16"/>
                <w:szCs w:val="16"/>
              </w:rPr>
              <w:t>163</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Τακτικός Προϋπολογισμός</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178</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163</w:t>
            </w:r>
          </w:p>
        </w:tc>
      </w:tr>
      <w:tr w:rsidR="009A2709" w:rsidRPr="00764E1A" w:rsidTr="009A2709">
        <w:trPr>
          <w:trHeight w:val="198"/>
          <w:jc w:val="center"/>
        </w:trPr>
        <w:tc>
          <w:tcPr>
            <w:tcW w:w="353" w:type="dxa"/>
            <w:vMerge/>
            <w:tcMar>
              <w:left w:w="28" w:type="dxa"/>
              <w:right w:w="28" w:type="dxa"/>
            </w:tcMar>
            <w:vAlign w:val="center"/>
            <w:hideMark/>
          </w:tcPr>
          <w:p w:rsidR="009A2709" w:rsidRPr="00764E1A" w:rsidRDefault="009A2709" w:rsidP="00764E1A">
            <w:pPr>
              <w:rPr>
                <w:rFonts w:ascii="Arial Narrow" w:hAnsi="Arial Narrow"/>
                <w:b/>
                <w:bCs/>
                <w:sz w:val="16"/>
                <w:szCs w:val="16"/>
              </w:rPr>
            </w:pPr>
          </w:p>
        </w:tc>
        <w:tc>
          <w:tcPr>
            <w:tcW w:w="3257" w:type="dxa"/>
            <w:vMerge/>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2944" w:type="dxa"/>
            <w:shd w:val="clear" w:color="000000" w:fill="FFFFFF"/>
            <w:noWrap/>
            <w:tcMar>
              <w:left w:w="28" w:type="dxa"/>
              <w:right w:w="28" w:type="dxa"/>
            </w:tcMar>
            <w:vAlign w:val="center"/>
            <w:hideMark/>
          </w:tcPr>
          <w:p w:rsidR="009A2709" w:rsidRPr="00764E1A" w:rsidRDefault="009A2709" w:rsidP="00764E1A">
            <w:pPr>
              <w:rPr>
                <w:rFonts w:ascii="Arial Narrow" w:hAnsi="Arial Narrow"/>
                <w:color w:val="000000"/>
                <w:sz w:val="16"/>
                <w:szCs w:val="16"/>
              </w:rPr>
            </w:pPr>
            <w:r w:rsidRPr="00764E1A">
              <w:rPr>
                <w:rFonts w:ascii="Arial Narrow" w:hAnsi="Arial Narrow"/>
                <w:color w:val="000000"/>
                <w:sz w:val="16"/>
                <w:szCs w:val="16"/>
              </w:rPr>
              <w:t>ΠΔΕ</w:t>
            </w:r>
          </w:p>
        </w:tc>
        <w:tc>
          <w:tcPr>
            <w:tcW w:w="1338"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0</w:t>
            </w:r>
          </w:p>
        </w:tc>
        <w:tc>
          <w:tcPr>
            <w:tcW w:w="1269" w:type="dxa"/>
            <w:shd w:val="clear" w:color="000000" w:fill="FFFFFF"/>
            <w:noWrap/>
            <w:tcMar>
              <w:left w:w="28" w:type="dxa"/>
              <w:right w:w="28" w:type="dxa"/>
            </w:tcMar>
            <w:vAlign w:val="center"/>
            <w:hideMark/>
          </w:tcPr>
          <w:p w:rsidR="009A2709" w:rsidRPr="00C704DF" w:rsidRDefault="009A2709" w:rsidP="00CD068D">
            <w:pPr>
              <w:ind w:right="393"/>
              <w:jc w:val="right"/>
              <w:rPr>
                <w:rFonts w:ascii="Arial Narrow" w:hAnsi="Arial Narrow"/>
                <w:color w:val="000000"/>
                <w:sz w:val="16"/>
                <w:szCs w:val="16"/>
              </w:rPr>
            </w:pPr>
            <w:r w:rsidRPr="00C704DF">
              <w:rPr>
                <w:rFonts w:ascii="Arial Narrow" w:hAnsi="Arial Narrow"/>
                <w:color w:val="000000"/>
                <w:sz w:val="16"/>
                <w:szCs w:val="16"/>
              </w:rPr>
              <w:t>0</w:t>
            </w:r>
          </w:p>
        </w:tc>
      </w:tr>
      <w:tr w:rsidR="009A2709" w:rsidRPr="00764E1A" w:rsidTr="009A2709">
        <w:trPr>
          <w:trHeight w:val="198"/>
          <w:jc w:val="center"/>
        </w:trPr>
        <w:tc>
          <w:tcPr>
            <w:tcW w:w="353" w:type="dxa"/>
            <w:shd w:val="clear" w:color="000000" w:fill="BFBFBF"/>
            <w:noWrap/>
            <w:tcMar>
              <w:left w:w="28" w:type="dxa"/>
              <w:right w:w="28" w:type="dxa"/>
            </w:tcMar>
            <w:vAlign w:val="bottom"/>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Ι</w:t>
            </w:r>
          </w:p>
        </w:tc>
        <w:tc>
          <w:tcPr>
            <w:tcW w:w="6201" w:type="dxa"/>
            <w:gridSpan w:val="2"/>
            <w:shd w:val="clear" w:color="000000" w:fill="BFBFB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Ταμειακό Σύνολο δαπανών Κρατικού Προϋπολογισμού</w:t>
            </w:r>
          </w:p>
        </w:tc>
        <w:tc>
          <w:tcPr>
            <w:tcW w:w="1338" w:type="dxa"/>
            <w:shd w:val="clear" w:color="000000" w:fill="BFBFBF"/>
            <w:noWrap/>
            <w:tcMar>
              <w:left w:w="28" w:type="dxa"/>
              <w:right w:w="28" w:type="dxa"/>
            </w:tcMar>
            <w:vAlign w:val="bottom"/>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57.032</w:t>
            </w:r>
          </w:p>
        </w:tc>
        <w:tc>
          <w:tcPr>
            <w:tcW w:w="1269" w:type="dxa"/>
            <w:shd w:val="clear" w:color="000000" w:fill="BFBFBF"/>
            <w:noWrap/>
            <w:tcMar>
              <w:left w:w="28" w:type="dxa"/>
              <w:right w:w="28" w:type="dxa"/>
            </w:tcMar>
            <w:vAlign w:val="bottom"/>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57.</w:t>
            </w:r>
            <w:r w:rsidR="001F082F">
              <w:rPr>
                <w:rFonts w:ascii="Arial Narrow" w:hAnsi="Arial Narrow"/>
                <w:b/>
                <w:bCs/>
                <w:color w:val="000000"/>
                <w:sz w:val="16"/>
                <w:szCs w:val="16"/>
              </w:rPr>
              <w:t>796</w:t>
            </w:r>
          </w:p>
        </w:tc>
      </w:tr>
      <w:tr w:rsidR="009A2709" w:rsidRPr="00764E1A" w:rsidTr="009A2709">
        <w:trPr>
          <w:trHeight w:val="198"/>
          <w:jc w:val="center"/>
        </w:trPr>
        <w:tc>
          <w:tcPr>
            <w:tcW w:w="353" w:type="dxa"/>
            <w:shd w:val="clear" w:color="auto" w:fill="auto"/>
            <w:noWrap/>
            <w:tcMar>
              <w:left w:w="28" w:type="dxa"/>
              <w:right w:w="28" w:type="dxa"/>
            </w:tcMar>
            <w:vAlign w:val="bottom"/>
            <w:hideMark/>
          </w:tcPr>
          <w:p w:rsidR="009A2709" w:rsidRPr="00764E1A" w:rsidRDefault="009A2709" w:rsidP="00764E1A">
            <w:pPr>
              <w:jc w:val="center"/>
              <w:rPr>
                <w:rFonts w:ascii="Arial Narrow" w:hAnsi="Arial Narrow"/>
                <w:b/>
                <w:bCs/>
                <w:sz w:val="16"/>
                <w:szCs w:val="16"/>
              </w:rPr>
            </w:pPr>
          </w:p>
        </w:tc>
        <w:tc>
          <w:tcPr>
            <w:tcW w:w="6201" w:type="dxa"/>
            <w:gridSpan w:val="2"/>
            <w:shd w:val="clear" w:color="auto" w:fill="auto"/>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p>
        </w:tc>
        <w:tc>
          <w:tcPr>
            <w:tcW w:w="1338" w:type="dxa"/>
            <w:shd w:val="clear" w:color="auto" w:fill="auto"/>
            <w:noWrap/>
            <w:tcMar>
              <w:left w:w="28" w:type="dxa"/>
              <w:right w:w="28" w:type="dxa"/>
            </w:tcMar>
            <w:vAlign w:val="bottom"/>
            <w:hideMark/>
          </w:tcPr>
          <w:p w:rsidR="009A2709" w:rsidRPr="00F80B24" w:rsidRDefault="009A2709" w:rsidP="00CD068D">
            <w:pPr>
              <w:ind w:right="393"/>
              <w:rPr>
                <w:rFonts w:ascii="Arial Narrow" w:hAnsi="Arial Narrow"/>
                <w:b/>
                <w:bCs/>
                <w:color w:val="000000"/>
                <w:sz w:val="16"/>
                <w:szCs w:val="16"/>
              </w:rPr>
            </w:pPr>
          </w:p>
        </w:tc>
        <w:tc>
          <w:tcPr>
            <w:tcW w:w="1269" w:type="dxa"/>
            <w:shd w:val="clear" w:color="auto" w:fill="auto"/>
            <w:noWrap/>
            <w:tcMar>
              <w:left w:w="28" w:type="dxa"/>
              <w:right w:w="28" w:type="dxa"/>
            </w:tcMar>
            <w:vAlign w:val="bottom"/>
            <w:hideMark/>
          </w:tcPr>
          <w:p w:rsidR="009A2709" w:rsidRPr="00F80B24" w:rsidRDefault="009A2709" w:rsidP="00CD068D">
            <w:pPr>
              <w:ind w:right="393"/>
              <w:rPr>
                <w:rFonts w:ascii="Arial Narrow" w:hAnsi="Arial Narrow"/>
                <w:b/>
                <w:bCs/>
                <w:color w:val="000000"/>
                <w:sz w:val="16"/>
                <w:szCs w:val="16"/>
              </w:rPr>
            </w:pPr>
            <w:r w:rsidRPr="00F80B24">
              <w:rPr>
                <w:rFonts w:ascii="Arial Narrow" w:hAnsi="Arial Narrow"/>
                <w:b/>
                <w:bCs/>
                <w:color w:val="000000"/>
                <w:sz w:val="16"/>
                <w:szCs w:val="16"/>
              </w:rPr>
              <w:t> </w:t>
            </w:r>
          </w:p>
        </w:tc>
      </w:tr>
      <w:tr w:rsidR="009A2709" w:rsidRPr="00764E1A" w:rsidTr="009A2709">
        <w:trPr>
          <w:trHeight w:val="198"/>
          <w:jc w:val="center"/>
        </w:trPr>
        <w:tc>
          <w:tcPr>
            <w:tcW w:w="353" w:type="dxa"/>
            <w:shd w:val="clear" w:color="000000" w:fill="D8D8D8"/>
            <w:noWrap/>
            <w:tcMar>
              <w:left w:w="28" w:type="dxa"/>
              <w:right w:w="28" w:type="dxa"/>
            </w:tcMar>
            <w:vAlign w:val="bottom"/>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Α</w:t>
            </w:r>
          </w:p>
        </w:tc>
        <w:tc>
          <w:tcPr>
            <w:tcW w:w="3257" w:type="dxa"/>
            <w:shd w:val="clear" w:color="000000" w:fill="D8D8D8"/>
            <w:noWrap/>
            <w:tcMar>
              <w:left w:w="28" w:type="dxa"/>
              <w:right w:w="28" w:type="dxa"/>
            </w:tcMar>
            <w:vAlign w:val="bottom"/>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Σύνολο δαπανών Τακτικού Προϋπολογισμού</w:t>
            </w:r>
          </w:p>
        </w:tc>
        <w:tc>
          <w:tcPr>
            <w:tcW w:w="2944" w:type="dxa"/>
            <w:shd w:val="clear" w:color="000000" w:fill="D8D8D8"/>
            <w:noWrap/>
            <w:tcMar>
              <w:left w:w="28" w:type="dxa"/>
              <w:right w:w="28" w:type="dxa"/>
            </w:tcMar>
            <w:vAlign w:val="bottom"/>
            <w:hideMark/>
          </w:tcPr>
          <w:p w:rsidR="009A2709" w:rsidRPr="00F80B24" w:rsidRDefault="009A2709">
            <w:pPr>
              <w:jc w:val="right"/>
              <w:rPr>
                <w:rFonts w:ascii="Arial Narrow" w:hAnsi="Arial Narrow"/>
                <w:b/>
                <w:bCs/>
                <w:color w:val="000000"/>
                <w:sz w:val="16"/>
                <w:szCs w:val="16"/>
              </w:rPr>
            </w:pPr>
          </w:p>
        </w:tc>
        <w:tc>
          <w:tcPr>
            <w:tcW w:w="1338" w:type="dxa"/>
            <w:shd w:val="clear" w:color="000000" w:fill="D8D8D8"/>
            <w:noWrap/>
            <w:tcMar>
              <w:left w:w="28" w:type="dxa"/>
              <w:right w:w="28" w:type="dxa"/>
            </w:tcMar>
            <w:vAlign w:val="bottom"/>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50.282</w:t>
            </w:r>
          </w:p>
        </w:tc>
        <w:tc>
          <w:tcPr>
            <w:tcW w:w="1269" w:type="dxa"/>
            <w:shd w:val="clear" w:color="000000" w:fill="D8D8D8"/>
            <w:noWrap/>
            <w:tcMar>
              <w:left w:w="28" w:type="dxa"/>
              <w:right w:w="28" w:type="dxa"/>
            </w:tcMar>
            <w:vAlign w:val="bottom"/>
            <w:hideMark/>
          </w:tcPr>
          <w:p w:rsidR="009A2709" w:rsidRPr="00F80B24" w:rsidRDefault="001F082F" w:rsidP="00CD068D">
            <w:pPr>
              <w:ind w:right="393"/>
              <w:jc w:val="right"/>
              <w:rPr>
                <w:rFonts w:ascii="Arial Narrow" w:hAnsi="Arial Narrow"/>
                <w:b/>
                <w:bCs/>
                <w:color w:val="000000"/>
                <w:sz w:val="16"/>
                <w:szCs w:val="16"/>
              </w:rPr>
            </w:pPr>
            <w:r>
              <w:rPr>
                <w:rFonts w:ascii="Arial Narrow" w:hAnsi="Arial Narrow"/>
                <w:b/>
                <w:bCs/>
                <w:color w:val="000000"/>
                <w:sz w:val="16"/>
                <w:szCs w:val="16"/>
              </w:rPr>
              <w:t>51.04</w:t>
            </w:r>
            <w:r w:rsidR="009A2709" w:rsidRPr="00F80B24">
              <w:rPr>
                <w:rFonts w:ascii="Arial Narrow" w:hAnsi="Arial Narrow"/>
                <w:b/>
                <w:bCs/>
                <w:color w:val="000000"/>
                <w:sz w:val="16"/>
                <w:szCs w:val="16"/>
              </w:rPr>
              <w:t>6</w:t>
            </w:r>
          </w:p>
        </w:tc>
      </w:tr>
      <w:tr w:rsidR="009A2709" w:rsidRPr="00764E1A" w:rsidTr="009A2709">
        <w:trPr>
          <w:trHeight w:val="198"/>
          <w:jc w:val="center"/>
        </w:trPr>
        <w:tc>
          <w:tcPr>
            <w:tcW w:w="353" w:type="dxa"/>
            <w:shd w:val="clear" w:color="000000" w:fill="FFFFFF"/>
            <w:noWrap/>
            <w:tcMar>
              <w:left w:w="28" w:type="dxa"/>
              <w:right w:w="28" w:type="dxa"/>
            </w:tcMar>
            <w:vAlign w:val="bottom"/>
            <w:hideMark/>
          </w:tcPr>
          <w:p w:rsidR="009A2709" w:rsidRPr="00764E1A" w:rsidRDefault="009A2709" w:rsidP="00764E1A">
            <w:pPr>
              <w:jc w:val="center"/>
              <w:rPr>
                <w:rFonts w:ascii="Arial Narrow" w:hAnsi="Arial Narrow"/>
                <w:b/>
                <w:bCs/>
                <w:color w:val="000000"/>
                <w:sz w:val="16"/>
                <w:szCs w:val="16"/>
              </w:rPr>
            </w:pPr>
            <w:r w:rsidRPr="00764E1A">
              <w:rPr>
                <w:rFonts w:ascii="Arial Narrow" w:hAnsi="Arial Narrow"/>
                <w:b/>
                <w:bCs/>
                <w:color w:val="000000"/>
                <w:sz w:val="16"/>
                <w:szCs w:val="16"/>
              </w:rPr>
              <w:t>i</w:t>
            </w:r>
          </w:p>
        </w:tc>
        <w:tc>
          <w:tcPr>
            <w:tcW w:w="6201" w:type="dxa"/>
            <w:gridSpan w:val="2"/>
            <w:shd w:val="clear" w:color="000000" w:fill="FFFFFF"/>
            <w:noWrap/>
            <w:tcMar>
              <w:left w:w="28" w:type="dxa"/>
              <w:right w:w="28" w:type="dxa"/>
            </w:tcMar>
            <w:vAlign w:val="bottom"/>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Πρωτογενείς δαπάνες</w:t>
            </w:r>
          </w:p>
        </w:tc>
        <w:tc>
          <w:tcPr>
            <w:tcW w:w="1338" w:type="dxa"/>
            <w:shd w:val="clear" w:color="000000" w:fill="FFFFFF"/>
            <w:noWrap/>
            <w:tcMar>
              <w:left w:w="28" w:type="dxa"/>
              <w:right w:w="28" w:type="dxa"/>
            </w:tcMar>
            <w:vAlign w:val="center"/>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44.762</w:t>
            </w:r>
          </w:p>
        </w:tc>
        <w:tc>
          <w:tcPr>
            <w:tcW w:w="1269" w:type="dxa"/>
            <w:shd w:val="clear" w:color="000000" w:fill="FFFFFF"/>
            <w:noWrap/>
            <w:tcMar>
              <w:left w:w="28" w:type="dxa"/>
              <w:right w:w="28" w:type="dxa"/>
            </w:tcMar>
            <w:vAlign w:val="center"/>
            <w:hideMark/>
          </w:tcPr>
          <w:p w:rsidR="009A2709" w:rsidRPr="00F80B24" w:rsidRDefault="001F082F" w:rsidP="00CD068D">
            <w:pPr>
              <w:ind w:right="393"/>
              <w:jc w:val="right"/>
              <w:rPr>
                <w:rFonts w:ascii="Arial Narrow" w:hAnsi="Arial Narrow"/>
                <w:b/>
                <w:bCs/>
                <w:color w:val="000000"/>
                <w:sz w:val="16"/>
                <w:szCs w:val="16"/>
              </w:rPr>
            </w:pPr>
            <w:r>
              <w:rPr>
                <w:rFonts w:ascii="Arial Narrow" w:hAnsi="Arial Narrow"/>
                <w:b/>
                <w:bCs/>
                <w:color w:val="000000"/>
                <w:sz w:val="16"/>
                <w:szCs w:val="16"/>
              </w:rPr>
              <w:t>44.44</w:t>
            </w:r>
            <w:r w:rsidR="009A2709" w:rsidRPr="00F80B24">
              <w:rPr>
                <w:rFonts w:ascii="Arial Narrow" w:hAnsi="Arial Narrow"/>
                <w:b/>
                <w:bCs/>
                <w:color w:val="000000"/>
                <w:sz w:val="16"/>
                <w:szCs w:val="16"/>
              </w:rPr>
              <w:t>6</w:t>
            </w:r>
          </w:p>
        </w:tc>
      </w:tr>
      <w:tr w:rsidR="009A2709" w:rsidRPr="00764E1A" w:rsidTr="009A2709">
        <w:trPr>
          <w:trHeight w:val="198"/>
          <w:jc w:val="center"/>
        </w:trPr>
        <w:tc>
          <w:tcPr>
            <w:tcW w:w="353" w:type="dxa"/>
            <w:shd w:val="clear" w:color="000000" w:fill="FFFFFF"/>
            <w:noWrap/>
            <w:tcMar>
              <w:left w:w="28" w:type="dxa"/>
              <w:right w:w="28" w:type="dxa"/>
            </w:tcMar>
            <w:vAlign w:val="bottom"/>
            <w:hideMark/>
          </w:tcPr>
          <w:p w:rsidR="009A2709" w:rsidRPr="00764E1A" w:rsidRDefault="009A2709" w:rsidP="00764E1A">
            <w:pPr>
              <w:jc w:val="center"/>
              <w:rPr>
                <w:rFonts w:ascii="Arial Narrow" w:hAnsi="Arial Narrow"/>
                <w:color w:val="000000"/>
                <w:sz w:val="16"/>
                <w:szCs w:val="16"/>
              </w:rPr>
            </w:pPr>
            <w:r w:rsidRPr="00764E1A">
              <w:rPr>
                <w:rFonts w:ascii="Arial Narrow" w:hAnsi="Arial Narrow"/>
                <w:color w:val="000000"/>
                <w:sz w:val="16"/>
                <w:szCs w:val="16"/>
              </w:rPr>
              <w:t> </w:t>
            </w:r>
          </w:p>
        </w:tc>
        <w:tc>
          <w:tcPr>
            <w:tcW w:w="6201" w:type="dxa"/>
            <w:gridSpan w:val="2"/>
            <w:shd w:val="clear" w:color="000000" w:fill="FFFFFF"/>
            <w:noWrap/>
            <w:tcMar>
              <w:left w:w="28" w:type="dxa"/>
              <w:right w:w="28" w:type="dxa"/>
            </w:tcMar>
            <w:vAlign w:val="bottom"/>
            <w:hideMark/>
          </w:tcPr>
          <w:p w:rsidR="009A2709" w:rsidRPr="00764E1A" w:rsidRDefault="009A2709" w:rsidP="00764E1A">
            <w:pPr>
              <w:rPr>
                <w:rFonts w:ascii="Arial Narrow" w:hAnsi="Arial Narrow"/>
                <w:i/>
                <w:iCs/>
                <w:color w:val="000000"/>
                <w:sz w:val="16"/>
                <w:szCs w:val="16"/>
              </w:rPr>
            </w:pPr>
            <w:r w:rsidRPr="00764E1A">
              <w:rPr>
                <w:rFonts w:ascii="Arial Narrow" w:hAnsi="Arial Narrow"/>
                <w:i/>
                <w:iCs/>
                <w:color w:val="000000"/>
                <w:sz w:val="16"/>
                <w:szCs w:val="16"/>
              </w:rPr>
              <w:t>εκ των οποίων:</w:t>
            </w:r>
          </w:p>
        </w:tc>
        <w:tc>
          <w:tcPr>
            <w:tcW w:w="1338" w:type="dxa"/>
            <w:shd w:val="clear" w:color="000000" w:fill="FFFFFF"/>
            <w:noWrap/>
            <w:tcMar>
              <w:left w:w="28" w:type="dxa"/>
              <w:right w:w="28" w:type="dxa"/>
            </w:tcMar>
            <w:vAlign w:val="center"/>
            <w:hideMark/>
          </w:tcPr>
          <w:p w:rsidR="009A2709" w:rsidRPr="00F80B24" w:rsidRDefault="009A2709" w:rsidP="00CD068D">
            <w:pPr>
              <w:ind w:right="393"/>
              <w:rPr>
                <w:rFonts w:ascii="Arial Narrow" w:hAnsi="Arial Narrow"/>
                <w:color w:val="000000"/>
                <w:sz w:val="16"/>
                <w:szCs w:val="16"/>
              </w:rPr>
            </w:pPr>
            <w:r w:rsidRPr="00F80B24">
              <w:rPr>
                <w:rFonts w:ascii="Arial Narrow" w:hAnsi="Arial Narrow"/>
                <w:color w:val="000000"/>
                <w:sz w:val="16"/>
                <w:szCs w:val="16"/>
              </w:rPr>
              <w:t> </w:t>
            </w:r>
          </w:p>
        </w:tc>
        <w:tc>
          <w:tcPr>
            <w:tcW w:w="1269" w:type="dxa"/>
            <w:shd w:val="clear" w:color="000000" w:fill="FFFFFF"/>
            <w:noWrap/>
            <w:tcMar>
              <w:left w:w="28" w:type="dxa"/>
              <w:right w:w="28" w:type="dxa"/>
            </w:tcMar>
            <w:vAlign w:val="center"/>
            <w:hideMark/>
          </w:tcPr>
          <w:p w:rsidR="009A2709" w:rsidRPr="00F80B24" w:rsidRDefault="009A2709" w:rsidP="00CD068D">
            <w:pPr>
              <w:ind w:right="393"/>
              <w:rPr>
                <w:rFonts w:ascii="Arial Narrow" w:hAnsi="Arial Narrow"/>
                <w:color w:val="000000"/>
                <w:sz w:val="16"/>
                <w:szCs w:val="16"/>
              </w:rPr>
            </w:pPr>
            <w:r w:rsidRPr="00F80B24">
              <w:rPr>
                <w:rFonts w:ascii="Arial Narrow" w:hAnsi="Arial Narrow"/>
                <w:color w:val="000000"/>
                <w:sz w:val="16"/>
                <w:szCs w:val="16"/>
              </w:rPr>
              <w:t> </w:t>
            </w:r>
          </w:p>
        </w:tc>
      </w:tr>
      <w:tr w:rsidR="009A2709" w:rsidRPr="00764E1A" w:rsidTr="009A2709">
        <w:trPr>
          <w:trHeight w:val="198"/>
          <w:jc w:val="center"/>
        </w:trPr>
        <w:tc>
          <w:tcPr>
            <w:tcW w:w="353" w:type="dxa"/>
            <w:shd w:val="clear" w:color="000000" w:fill="FFFFFF"/>
            <w:noWrap/>
            <w:tcMar>
              <w:left w:w="28" w:type="dxa"/>
              <w:right w:w="28" w:type="dxa"/>
            </w:tcMar>
            <w:hideMark/>
          </w:tcPr>
          <w:p w:rsidR="009A2709" w:rsidRPr="00764E1A" w:rsidRDefault="009A2709" w:rsidP="001F39A8">
            <w:pPr>
              <w:jc w:val="center"/>
              <w:rPr>
                <w:rFonts w:ascii="Arial Narrow" w:hAnsi="Arial Narrow"/>
                <w:i/>
                <w:iCs/>
                <w:color w:val="000000"/>
                <w:sz w:val="16"/>
                <w:szCs w:val="16"/>
              </w:rPr>
            </w:pPr>
          </w:p>
        </w:tc>
        <w:tc>
          <w:tcPr>
            <w:tcW w:w="6201" w:type="dxa"/>
            <w:gridSpan w:val="2"/>
            <w:shd w:val="clear" w:color="000000" w:fill="FFFFFF"/>
            <w:tcMar>
              <w:left w:w="28" w:type="dxa"/>
              <w:right w:w="28" w:type="dxa"/>
            </w:tcMar>
            <w:vAlign w:val="center"/>
            <w:hideMark/>
          </w:tcPr>
          <w:p w:rsidR="009A2709" w:rsidRPr="00764E1A" w:rsidRDefault="009A2709" w:rsidP="00A6014F">
            <w:pPr>
              <w:tabs>
                <w:tab w:val="left" w:pos="151"/>
              </w:tabs>
              <w:ind w:left="151" w:hanging="151"/>
              <w:rPr>
                <w:rFonts w:ascii="Arial Narrow" w:hAnsi="Arial Narrow"/>
                <w:i/>
                <w:iCs/>
                <w:color w:val="000000"/>
                <w:sz w:val="16"/>
                <w:szCs w:val="16"/>
              </w:rPr>
            </w:pPr>
            <w:r>
              <w:rPr>
                <w:rFonts w:ascii="Arial Narrow" w:hAnsi="Arial Narrow"/>
                <w:i/>
                <w:iCs/>
                <w:color w:val="000000"/>
                <w:sz w:val="16"/>
                <w:szCs w:val="16"/>
              </w:rPr>
              <w:t>α</w:t>
            </w:r>
            <w:r>
              <w:rPr>
                <w:rFonts w:ascii="Arial Narrow" w:hAnsi="Arial Narrow"/>
                <w:i/>
                <w:iCs/>
                <w:color w:val="000000"/>
                <w:sz w:val="16"/>
                <w:szCs w:val="16"/>
              </w:rPr>
              <w:tab/>
            </w:r>
            <w:r w:rsidRPr="00764E1A">
              <w:rPr>
                <w:rFonts w:ascii="Arial Narrow" w:hAnsi="Arial Narrow"/>
                <w:i/>
                <w:iCs/>
                <w:color w:val="000000"/>
                <w:sz w:val="16"/>
                <w:szCs w:val="16"/>
              </w:rPr>
              <w:t>Δαπάνες ανάληψης δανείων από τον Ευρωπαϊκό Μηχανισμό Στήριξης (ΕΜΣ) και παράλληλες δαπάνες Δημοσίου Χρέους</w:t>
            </w:r>
          </w:p>
        </w:tc>
        <w:tc>
          <w:tcPr>
            <w:tcW w:w="1338" w:type="dxa"/>
            <w:shd w:val="clear" w:color="000000" w:fill="FFFFFF"/>
            <w:noWrap/>
            <w:tcMar>
              <w:left w:w="28" w:type="dxa"/>
              <w:right w:w="28" w:type="dxa"/>
            </w:tcMar>
            <w:hideMark/>
          </w:tcPr>
          <w:p w:rsidR="009A2709" w:rsidRPr="00F80B24" w:rsidRDefault="009A2709" w:rsidP="00CD068D">
            <w:pPr>
              <w:ind w:right="393"/>
              <w:jc w:val="right"/>
              <w:rPr>
                <w:rFonts w:ascii="Arial Narrow" w:hAnsi="Arial Narrow"/>
                <w:i/>
                <w:iCs/>
                <w:color w:val="000000"/>
                <w:sz w:val="16"/>
                <w:szCs w:val="16"/>
              </w:rPr>
            </w:pPr>
            <w:r w:rsidRPr="00F80B24">
              <w:rPr>
                <w:rFonts w:ascii="Arial Narrow" w:hAnsi="Arial Narrow"/>
                <w:i/>
                <w:iCs/>
                <w:color w:val="000000"/>
                <w:sz w:val="16"/>
                <w:szCs w:val="16"/>
              </w:rPr>
              <w:t>143</w:t>
            </w:r>
          </w:p>
        </w:tc>
        <w:tc>
          <w:tcPr>
            <w:tcW w:w="1269" w:type="dxa"/>
            <w:shd w:val="clear" w:color="000000" w:fill="FFFFFF"/>
            <w:noWrap/>
            <w:tcMar>
              <w:left w:w="28" w:type="dxa"/>
              <w:right w:w="28" w:type="dxa"/>
            </w:tcMar>
            <w:hideMark/>
          </w:tcPr>
          <w:p w:rsidR="009A2709" w:rsidRPr="00F80B24" w:rsidRDefault="009A2709" w:rsidP="00CD068D">
            <w:pPr>
              <w:ind w:right="393"/>
              <w:jc w:val="right"/>
              <w:rPr>
                <w:rFonts w:ascii="Arial Narrow" w:hAnsi="Arial Narrow"/>
                <w:i/>
                <w:iCs/>
                <w:color w:val="000000"/>
                <w:sz w:val="16"/>
                <w:szCs w:val="16"/>
              </w:rPr>
            </w:pPr>
            <w:r w:rsidRPr="00F80B24">
              <w:rPr>
                <w:rFonts w:ascii="Arial Narrow" w:hAnsi="Arial Narrow"/>
                <w:i/>
                <w:iCs/>
                <w:color w:val="000000"/>
                <w:sz w:val="16"/>
                <w:szCs w:val="16"/>
              </w:rPr>
              <w:t>40</w:t>
            </w:r>
          </w:p>
        </w:tc>
      </w:tr>
      <w:tr w:rsidR="009A2709" w:rsidRPr="00764E1A" w:rsidTr="009A2709">
        <w:trPr>
          <w:trHeight w:val="198"/>
          <w:jc w:val="center"/>
        </w:trPr>
        <w:tc>
          <w:tcPr>
            <w:tcW w:w="353" w:type="dxa"/>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i/>
                <w:iCs/>
                <w:color w:val="000000"/>
                <w:sz w:val="16"/>
                <w:szCs w:val="16"/>
              </w:rPr>
            </w:pPr>
          </w:p>
        </w:tc>
        <w:tc>
          <w:tcPr>
            <w:tcW w:w="6201" w:type="dxa"/>
            <w:gridSpan w:val="2"/>
            <w:shd w:val="clear" w:color="000000" w:fill="FFFFFF"/>
            <w:tcMar>
              <w:left w:w="28" w:type="dxa"/>
              <w:right w:w="28" w:type="dxa"/>
            </w:tcMar>
            <w:vAlign w:val="center"/>
            <w:hideMark/>
          </w:tcPr>
          <w:p w:rsidR="009A2709" w:rsidRPr="00764E1A" w:rsidRDefault="009A2709" w:rsidP="00A6014F">
            <w:pPr>
              <w:tabs>
                <w:tab w:val="left" w:pos="151"/>
              </w:tabs>
              <w:ind w:left="151" w:hanging="151"/>
              <w:rPr>
                <w:rFonts w:ascii="Arial Narrow" w:hAnsi="Arial Narrow"/>
                <w:i/>
                <w:iCs/>
                <w:color w:val="000000"/>
                <w:sz w:val="16"/>
                <w:szCs w:val="16"/>
              </w:rPr>
            </w:pPr>
            <w:r>
              <w:rPr>
                <w:rFonts w:ascii="Arial Narrow" w:hAnsi="Arial Narrow"/>
                <w:i/>
                <w:iCs/>
                <w:color w:val="000000"/>
                <w:sz w:val="16"/>
                <w:szCs w:val="16"/>
              </w:rPr>
              <w:t>β</w:t>
            </w:r>
            <w:r>
              <w:rPr>
                <w:rFonts w:ascii="Arial Narrow" w:hAnsi="Arial Narrow"/>
                <w:i/>
                <w:iCs/>
                <w:color w:val="000000"/>
                <w:sz w:val="16"/>
                <w:szCs w:val="16"/>
              </w:rPr>
              <w:tab/>
            </w:r>
            <w:r w:rsidRPr="00764E1A">
              <w:rPr>
                <w:rFonts w:ascii="Arial Narrow" w:hAnsi="Arial Narrow"/>
                <w:i/>
                <w:iCs/>
                <w:color w:val="000000"/>
                <w:sz w:val="16"/>
                <w:szCs w:val="16"/>
              </w:rPr>
              <w:t>Αγορές οπλικών συστημάτων από προγράμματα εξοπλισμού</w:t>
            </w:r>
          </w:p>
        </w:tc>
        <w:tc>
          <w:tcPr>
            <w:tcW w:w="1338" w:type="dxa"/>
            <w:shd w:val="clear" w:color="000000" w:fill="FFFFFF"/>
            <w:noWrap/>
            <w:tcMar>
              <w:left w:w="28" w:type="dxa"/>
              <w:right w:w="28" w:type="dxa"/>
            </w:tcMar>
            <w:vAlign w:val="center"/>
            <w:hideMark/>
          </w:tcPr>
          <w:p w:rsidR="009A2709" w:rsidRPr="00F80B24" w:rsidRDefault="009A2709" w:rsidP="00CD068D">
            <w:pPr>
              <w:ind w:right="393"/>
              <w:jc w:val="right"/>
              <w:rPr>
                <w:rFonts w:ascii="Arial Narrow" w:hAnsi="Arial Narrow"/>
                <w:i/>
                <w:iCs/>
                <w:color w:val="000000"/>
                <w:sz w:val="16"/>
                <w:szCs w:val="16"/>
              </w:rPr>
            </w:pPr>
            <w:r w:rsidRPr="00F80B24">
              <w:rPr>
                <w:rFonts w:ascii="Arial Narrow" w:hAnsi="Arial Narrow"/>
                <w:i/>
                <w:iCs/>
                <w:color w:val="000000"/>
                <w:sz w:val="16"/>
                <w:szCs w:val="16"/>
              </w:rPr>
              <w:t>498</w:t>
            </w:r>
          </w:p>
        </w:tc>
        <w:tc>
          <w:tcPr>
            <w:tcW w:w="1269" w:type="dxa"/>
            <w:shd w:val="clear" w:color="000000" w:fill="FFFFFF"/>
            <w:noWrap/>
            <w:tcMar>
              <w:left w:w="28" w:type="dxa"/>
              <w:right w:w="28" w:type="dxa"/>
            </w:tcMar>
            <w:vAlign w:val="center"/>
            <w:hideMark/>
          </w:tcPr>
          <w:p w:rsidR="009A2709" w:rsidRPr="00F80B24" w:rsidRDefault="009A2709" w:rsidP="00CD068D">
            <w:pPr>
              <w:ind w:right="393"/>
              <w:jc w:val="right"/>
              <w:rPr>
                <w:rFonts w:ascii="Arial Narrow" w:hAnsi="Arial Narrow"/>
                <w:i/>
                <w:iCs/>
                <w:color w:val="000000"/>
                <w:sz w:val="16"/>
                <w:szCs w:val="16"/>
              </w:rPr>
            </w:pPr>
            <w:r w:rsidRPr="00F80B24">
              <w:rPr>
                <w:rFonts w:ascii="Arial Narrow" w:hAnsi="Arial Narrow"/>
                <w:i/>
                <w:iCs/>
                <w:color w:val="000000"/>
                <w:sz w:val="16"/>
                <w:szCs w:val="16"/>
              </w:rPr>
              <w:t>530</w:t>
            </w:r>
          </w:p>
        </w:tc>
      </w:tr>
      <w:tr w:rsidR="009A2709" w:rsidRPr="00764E1A" w:rsidTr="009A2709">
        <w:trPr>
          <w:trHeight w:val="198"/>
          <w:jc w:val="center"/>
        </w:trPr>
        <w:tc>
          <w:tcPr>
            <w:tcW w:w="353" w:type="dxa"/>
            <w:shd w:val="clear" w:color="000000" w:fill="FFFFFF"/>
            <w:noWrap/>
            <w:tcMar>
              <w:left w:w="28" w:type="dxa"/>
              <w:right w:w="28" w:type="dxa"/>
            </w:tcMar>
            <w:vAlign w:val="center"/>
            <w:hideMark/>
          </w:tcPr>
          <w:p w:rsidR="009A2709" w:rsidRPr="00764E1A" w:rsidRDefault="009A2709" w:rsidP="00764E1A">
            <w:pPr>
              <w:jc w:val="center"/>
              <w:rPr>
                <w:rFonts w:ascii="Arial Narrow" w:hAnsi="Arial Narrow"/>
                <w:i/>
                <w:iCs/>
                <w:color w:val="000000"/>
                <w:sz w:val="16"/>
                <w:szCs w:val="16"/>
              </w:rPr>
            </w:pPr>
          </w:p>
        </w:tc>
        <w:tc>
          <w:tcPr>
            <w:tcW w:w="6201" w:type="dxa"/>
            <w:gridSpan w:val="2"/>
            <w:shd w:val="clear" w:color="000000" w:fill="FFFFFF"/>
            <w:tcMar>
              <w:left w:w="28" w:type="dxa"/>
              <w:right w:w="28" w:type="dxa"/>
            </w:tcMar>
            <w:vAlign w:val="center"/>
            <w:hideMark/>
          </w:tcPr>
          <w:p w:rsidR="009A2709" w:rsidRPr="00764E1A" w:rsidRDefault="009A2709" w:rsidP="00A6014F">
            <w:pPr>
              <w:tabs>
                <w:tab w:val="left" w:pos="151"/>
              </w:tabs>
              <w:ind w:left="151" w:hanging="151"/>
              <w:rPr>
                <w:rFonts w:ascii="Arial Narrow" w:hAnsi="Arial Narrow"/>
                <w:i/>
                <w:iCs/>
                <w:color w:val="000000"/>
                <w:sz w:val="16"/>
                <w:szCs w:val="16"/>
              </w:rPr>
            </w:pPr>
            <w:r>
              <w:rPr>
                <w:rFonts w:ascii="Arial Narrow" w:hAnsi="Arial Narrow"/>
                <w:i/>
                <w:iCs/>
                <w:color w:val="000000"/>
                <w:sz w:val="16"/>
                <w:szCs w:val="16"/>
              </w:rPr>
              <w:t>γ</w:t>
            </w:r>
            <w:r>
              <w:rPr>
                <w:rFonts w:ascii="Arial Narrow" w:hAnsi="Arial Narrow"/>
                <w:i/>
                <w:iCs/>
                <w:color w:val="000000"/>
                <w:sz w:val="16"/>
                <w:szCs w:val="16"/>
              </w:rPr>
              <w:tab/>
            </w:r>
            <w:r w:rsidRPr="00764E1A">
              <w:rPr>
                <w:rFonts w:ascii="Arial Narrow" w:hAnsi="Arial Narrow"/>
                <w:i/>
                <w:iCs/>
                <w:color w:val="000000"/>
                <w:sz w:val="16"/>
                <w:szCs w:val="16"/>
              </w:rPr>
              <w:t>Καταπτώσεις εγγυήσεων (σε ακαθάριστη βάση)</w:t>
            </w:r>
          </w:p>
        </w:tc>
        <w:tc>
          <w:tcPr>
            <w:tcW w:w="1338" w:type="dxa"/>
            <w:shd w:val="clear" w:color="000000" w:fill="FFFFFF"/>
            <w:noWrap/>
            <w:tcMar>
              <w:left w:w="28" w:type="dxa"/>
              <w:right w:w="28" w:type="dxa"/>
            </w:tcMar>
            <w:vAlign w:val="center"/>
            <w:hideMark/>
          </w:tcPr>
          <w:p w:rsidR="009A2709" w:rsidRPr="00F80B24" w:rsidRDefault="009A2709" w:rsidP="00CD068D">
            <w:pPr>
              <w:ind w:right="393"/>
              <w:jc w:val="right"/>
              <w:rPr>
                <w:rFonts w:ascii="Arial Narrow" w:hAnsi="Arial Narrow"/>
                <w:i/>
                <w:iCs/>
                <w:color w:val="000000"/>
                <w:sz w:val="16"/>
                <w:szCs w:val="16"/>
              </w:rPr>
            </w:pPr>
            <w:r w:rsidRPr="00F80B24">
              <w:rPr>
                <w:rFonts w:ascii="Arial Narrow" w:hAnsi="Arial Narrow"/>
                <w:i/>
                <w:iCs/>
                <w:color w:val="000000"/>
                <w:sz w:val="16"/>
                <w:szCs w:val="16"/>
              </w:rPr>
              <w:t>966</w:t>
            </w:r>
          </w:p>
        </w:tc>
        <w:tc>
          <w:tcPr>
            <w:tcW w:w="1269" w:type="dxa"/>
            <w:shd w:val="clear" w:color="000000" w:fill="FFFFFF"/>
            <w:noWrap/>
            <w:tcMar>
              <w:left w:w="28" w:type="dxa"/>
              <w:right w:w="28" w:type="dxa"/>
            </w:tcMar>
            <w:vAlign w:val="center"/>
            <w:hideMark/>
          </w:tcPr>
          <w:p w:rsidR="009A2709" w:rsidRPr="00F80B24" w:rsidRDefault="009A2709" w:rsidP="00CD068D">
            <w:pPr>
              <w:ind w:right="393"/>
              <w:jc w:val="right"/>
              <w:rPr>
                <w:rFonts w:ascii="Arial Narrow" w:hAnsi="Arial Narrow"/>
                <w:i/>
                <w:iCs/>
                <w:color w:val="000000"/>
                <w:sz w:val="16"/>
                <w:szCs w:val="16"/>
              </w:rPr>
            </w:pPr>
            <w:r w:rsidRPr="00F80B24">
              <w:rPr>
                <w:rFonts w:ascii="Arial Narrow" w:hAnsi="Arial Narrow"/>
                <w:i/>
                <w:iCs/>
                <w:color w:val="000000"/>
                <w:sz w:val="16"/>
                <w:szCs w:val="16"/>
              </w:rPr>
              <w:t>405</w:t>
            </w:r>
          </w:p>
        </w:tc>
      </w:tr>
      <w:tr w:rsidR="009A2709" w:rsidRPr="00764E1A" w:rsidTr="009A2709">
        <w:trPr>
          <w:trHeight w:val="198"/>
          <w:jc w:val="center"/>
        </w:trPr>
        <w:tc>
          <w:tcPr>
            <w:tcW w:w="353" w:type="dxa"/>
            <w:shd w:val="clear" w:color="000000" w:fill="FFFFFF"/>
            <w:noWrap/>
            <w:tcMar>
              <w:left w:w="28" w:type="dxa"/>
              <w:right w:w="28" w:type="dxa"/>
            </w:tcMar>
            <w:vAlign w:val="bottom"/>
            <w:hideMark/>
          </w:tcPr>
          <w:p w:rsidR="009A2709" w:rsidRPr="00764E1A" w:rsidRDefault="009A2709" w:rsidP="00764E1A">
            <w:pPr>
              <w:jc w:val="center"/>
              <w:rPr>
                <w:rFonts w:ascii="Arial Narrow" w:hAnsi="Arial Narrow"/>
                <w:b/>
                <w:bCs/>
                <w:color w:val="000000"/>
                <w:sz w:val="16"/>
                <w:szCs w:val="16"/>
              </w:rPr>
            </w:pPr>
            <w:r w:rsidRPr="00764E1A">
              <w:rPr>
                <w:rFonts w:ascii="Arial Narrow" w:hAnsi="Arial Narrow"/>
                <w:b/>
                <w:bCs/>
                <w:color w:val="000000"/>
                <w:sz w:val="16"/>
                <w:szCs w:val="16"/>
              </w:rPr>
              <w:t>ii</w:t>
            </w:r>
          </w:p>
        </w:tc>
        <w:tc>
          <w:tcPr>
            <w:tcW w:w="6201" w:type="dxa"/>
            <w:gridSpan w:val="2"/>
            <w:shd w:val="clear" w:color="000000" w:fill="FFFFFF"/>
            <w:noWrap/>
            <w:tcMar>
              <w:left w:w="28" w:type="dxa"/>
              <w:right w:w="28" w:type="dxa"/>
            </w:tcMar>
            <w:vAlign w:val="bottom"/>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Τόκοι</w:t>
            </w:r>
          </w:p>
        </w:tc>
        <w:tc>
          <w:tcPr>
            <w:tcW w:w="1338" w:type="dxa"/>
            <w:shd w:val="clear" w:color="000000" w:fill="FFFFFF"/>
            <w:noWrap/>
            <w:tcMar>
              <w:left w:w="28" w:type="dxa"/>
              <w:right w:w="28" w:type="dxa"/>
            </w:tcMar>
            <w:vAlign w:val="center"/>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5.520</w:t>
            </w:r>
          </w:p>
        </w:tc>
        <w:tc>
          <w:tcPr>
            <w:tcW w:w="1269" w:type="dxa"/>
            <w:shd w:val="clear" w:color="000000" w:fill="FFFFFF"/>
            <w:noWrap/>
            <w:tcMar>
              <w:left w:w="28" w:type="dxa"/>
              <w:right w:w="28" w:type="dxa"/>
            </w:tcMar>
            <w:vAlign w:val="center"/>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6.600</w:t>
            </w:r>
          </w:p>
        </w:tc>
      </w:tr>
      <w:tr w:rsidR="009A2709" w:rsidRPr="00764E1A" w:rsidTr="009A2709">
        <w:trPr>
          <w:trHeight w:val="198"/>
          <w:jc w:val="center"/>
        </w:trPr>
        <w:tc>
          <w:tcPr>
            <w:tcW w:w="353" w:type="dxa"/>
            <w:shd w:val="clear" w:color="000000" w:fill="BFBFBF"/>
            <w:noWrap/>
            <w:tcMar>
              <w:left w:w="28" w:type="dxa"/>
              <w:right w:w="28" w:type="dxa"/>
            </w:tcMar>
            <w:vAlign w:val="bottom"/>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Β</w:t>
            </w:r>
          </w:p>
        </w:tc>
        <w:tc>
          <w:tcPr>
            <w:tcW w:w="6201" w:type="dxa"/>
            <w:gridSpan w:val="2"/>
            <w:shd w:val="clear" w:color="000000" w:fill="BFBFBF"/>
            <w:noWrap/>
            <w:tcMar>
              <w:left w:w="28" w:type="dxa"/>
              <w:right w:w="28" w:type="dxa"/>
            </w:tcMar>
            <w:vAlign w:val="bottom"/>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Σύνολο ΠΔΕ</w:t>
            </w:r>
          </w:p>
        </w:tc>
        <w:tc>
          <w:tcPr>
            <w:tcW w:w="1338" w:type="dxa"/>
            <w:shd w:val="clear" w:color="000000" w:fill="BFBFBF"/>
            <w:noWrap/>
            <w:tcMar>
              <w:left w:w="28" w:type="dxa"/>
              <w:right w:w="28" w:type="dxa"/>
            </w:tcMar>
            <w:vAlign w:val="bottom"/>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6.750</w:t>
            </w:r>
          </w:p>
        </w:tc>
        <w:tc>
          <w:tcPr>
            <w:tcW w:w="1269" w:type="dxa"/>
            <w:shd w:val="clear" w:color="000000" w:fill="BFBFBF"/>
            <w:noWrap/>
            <w:tcMar>
              <w:left w:w="28" w:type="dxa"/>
              <w:right w:w="28" w:type="dxa"/>
            </w:tcMar>
            <w:vAlign w:val="bottom"/>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6.750</w:t>
            </w:r>
          </w:p>
        </w:tc>
      </w:tr>
      <w:tr w:rsidR="009A2709" w:rsidRPr="00764E1A" w:rsidTr="009A2709">
        <w:trPr>
          <w:trHeight w:val="198"/>
          <w:jc w:val="center"/>
        </w:trPr>
        <w:tc>
          <w:tcPr>
            <w:tcW w:w="353" w:type="dxa"/>
            <w:shd w:val="clear" w:color="auto" w:fill="auto"/>
            <w:noWrap/>
            <w:tcMar>
              <w:left w:w="28" w:type="dxa"/>
              <w:right w:w="28" w:type="dxa"/>
            </w:tcMar>
            <w:vAlign w:val="bottom"/>
            <w:hideMark/>
          </w:tcPr>
          <w:p w:rsidR="009A2709" w:rsidRPr="00764E1A" w:rsidRDefault="009A2709" w:rsidP="000074CC">
            <w:pPr>
              <w:jc w:val="center"/>
              <w:rPr>
                <w:rFonts w:ascii="Arial Narrow" w:hAnsi="Arial Narrow"/>
                <w:b/>
                <w:bCs/>
                <w:sz w:val="16"/>
                <w:szCs w:val="16"/>
              </w:rPr>
            </w:pPr>
          </w:p>
        </w:tc>
        <w:tc>
          <w:tcPr>
            <w:tcW w:w="6201" w:type="dxa"/>
            <w:gridSpan w:val="2"/>
            <w:shd w:val="clear" w:color="auto" w:fill="auto"/>
            <w:noWrap/>
            <w:tcMar>
              <w:left w:w="28" w:type="dxa"/>
              <w:right w:w="28" w:type="dxa"/>
            </w:tcMar>
            <w:vAlign w:val="center"/>
            <w:hideMark/>
          </w:tcPr>
          <w:p w:rsidR="009A2709" w:rsidRPr="00764E1A" w:rsidRDefault="009A2709" w:rsidP="000074CC">
            <w:pPr>
              <w:rPr>
                <w:rFonts w:ascii="Arial Narrow" w:hAnsi="Arial Narrow"/>
                <w:b/>
                <w:bCs/>
                <w:color w:val="000000"/>
                <w:sz w:val="16"/>
                <w:szCs w:val="16"/>
              </w:rPr>
            </w:pPr>
          </w:p>
        </w:tc>
        <w:tc>
          <w:tcPr>
            <w:tcW w:w="1338" w:type="dxa"/>
            <w:shd w:val="clear" w:color="auto" w:fill="auto"/>
            <w:noWrap/>
            <w:tcMar>
              <w:left w:w="28" w:type="dxa"/>
              <w:right w:w="28" w:type="dxa"/>
            </w:tcMar>
            <w:vAlign w:val="bottom"/>
            <w:hideMark/>
          </w:tcPr>
          <w:p w:rsidR="009A2709" w:rsidRPr="00F80B24" w:rsidRDefault="009A2709" w:rsidP="00CD068D">
            <w:pPr>
              <w:ind w:right="393"/>
              <w:rPr>
                <w:rFonts w:ascii="Arial Narrow" w:hAnsi="Arial Narrow"/>
                <w:b/>
                <w:bCs/>
                <w:color w:val="000000"/>
                <w:sz w:val="16"/>
                <w:szCs w:val="16"/>
              </w:rPr>
            </w:pPr>
            <w:r w:rsidRPr="00F80B24">
              <w:rPr>
                <w:rFonts w:ascii="Arial Narrow" w:hAnsi="Arial Narrow"/>
                <w:b/>
                <w:bCs/>
                <w:color w:val="000000"/>
                <w:sz w:val="16"/>
                <w:szCs w:val="16"/>
              </w:rPr>
              <w:t> </w:t>
            </w:r>
          </w:p>
        </w:tc>
        <w:tc>
          <w:tcPr>
            <w:tcW w:w="1269" w:type="dxa"/>
            <w:shd w:val="clear" w:color="auto" w:fill="auto"/>
            <w:noWrap/>
            <w:tcMar>
              <w:left w:w="28" w:type="dxa"/>
              <w:right w:w="28" w:type="dxa"/>
            </w:tcMar>
            <w:vAlign w:val="bottom"/>
            <w:hideMark/>
          </w:tcPr>
          <w:p w:rsidR="009A2709" w:rsidRPr="00F80B24" w:rsidRDefault="009A2709" w:rsidP="00CD068D">
            <w:pPr>
              <w:ind w:right="393"/>
              <w:rPr>
                <w:rFonts w:ascii="Arial Narrow" w:hAnsi="Arial Narrow"/>
                <w:b/>
                <w:bCs/>
                <w:color w:val="000000"/>
                <w:sz w:val="16"/>
                <w:szCs w:val="16"/>
              </w:rPr>
            </w:pPr>
            <w:r w:rsidRPr="00F80B24">
              <w:rPr>
                <w:rFonts w:ascii="Arial Narrow" w:hAnsi="Arial Narrow"/>
                <w:b/>
                <w:bCs/>
                <w:color w:val="000000"/>
                <w:sz w:val="16"/>
                <w:szCs w:val="16"/>
              </w:rPr>
              <w:t> </w:t>
            </w:r>
          </w:p>
        </w:tc>
      </w:tr>
      <w:tr w:rsidR="009A2709" w:rsidRPr="00764E1A" w:rsidTr="009A2709">
        <w:trPr>
          <w:trHeight w:val="198"/>
          <w:jc w:val="center"/>
        </w:trPr>
        <w:tc>
          <w:tcPr>
            <w:tcW w:w="353" w:type="dxa"/>
            <w:shd w:val="clear" w:color="000000" w:fill="BFBFBF"/>
            <w:noWrap/>
            <w:tcMar>
              <w:left w:w="28" w:type="dxa"/>
              <w:right w:w="28" w:type="dxa"/>
            </w:tcMar>
            <w:vAlign w:val="bottom"/>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Γ</w:t>
            </w:r>
          </w:p>
        </w:tc>
        <w:tc>
          <w:tcPr>
            <w:tcW w:w="6201" w:type="dxa"/>
            <w:gridSpan w:val="2"/>
            <w:shd w:val="clear" w:color="000000" w:fill="BFBFBF"/>
            <w:noWrap/>
            <w:tcMar>
              <w:left w:w="28" w:type="dxa"/>
              <w:right w:w="28" w:type="dxa"/>
            </w:tcMar>
            <w:vAlign w:val="bottom"/>
            <w:hideMark/>
          </w:tcPr>
          <w:p w:rsidR="009A2709" w:rsidRPr="00764E1A" w:rsidRDefault="009A2709" w:rsidP="001F39A8">
            <w:pPr>
              <w:rPr>
                <w:rFonts w:ascii="Arial Narrow" w:hAnsi="Arial Narrow"/>
                <w:b/>
                <w:bCs/>
                <w:color w:val="000000"/>
                <w:sz w:val="16"/>
                <w:szCs w:val="16"/>
              </w:rPr>
            </w:pPr>
            <w:r w:rsidRPr="00764E1A">
              <w:rPr>
                <w:rFonts w:ascii="Arial Narrow" w:hAnsi="Arial Narrow"/>
                <w:b/>
                <w:bCs/>
                <w:color w:val="000000"/>
                <w:sz w:val="16"/>
                <w:szCs w:val="16"/>
              </w:rPr>
              <w:t>Εθνικολογιστικές προσαρμογές</w:t>
            </w:r>
            <w:r>
              <w:rPr>
                <w:rFonts w:ascii="Arial Narrow" w:hAnsi="Arial Narrow"/>
                <w:b/>
                <w:bCs/>
                <w:color w:val="000000"/>
                <w:sz w:val="16"/>
                <w:szCs w:val="16"/>
                <w:vertAlign w:val="superscript"/>
              </w:rPr>
              <w:t>1</w:t>
            </w:r>
          </w:p>
        </w:tc>
        <w:tc>
          <w:tcPr>
            <w:tcW w:w="1338" w:type="dxa"/>
            <w:shd w:val="clear" w:color="000000" w:fill="BFBFBF"/>
            <w:noWrap/>
            <w:tcMar>
              <w:left w:w="28" w:type="dxa"/>
              <w:right w:w="28" w:type="dxa"/>
            </w:tcMar>
            <w:vAlign w:val="bottom"/>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-1.240</w:t>
            </w:r>
          </w:p>
        </w:tc>
        <w:tc>
          <w:tcPr>
            <w:tcW w:w="1269" w:type="dxa"/>
            <w:shd w:val="clear" w:color="000000" w:fill="BFBFBF"/>
            <w:noWrap/>
            <w:tcMar>
              <w:left w:w="28" w:type="dxa"/>
              <w:right w:w="28" w:type="dxa"/>
            </w:tcMar>
            <w:vAlign w:val="bottom"/>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840</w:t>
            </w:r>
          </w:p>
        </w:tc>
      </w:tr>
      <w:tr w:rsidR="009A2709" w:rsidRPr="00764E1A" w:rsidTr="009A2709">
        <w:trPr>
          <w:trHeight w:val="198"/>
          <w:jc w:val="center"/>
        </w:trPr>
        <w:tc>
          <w:tcPr>
            <w:tcW w:w="353" w:type="dxa"/>
            <w:shd w:val="clear" w:color="auto" w:fill="auto"/>
            <w:noWrap/>
            <w:tcMar>
              <w:left w:w="28" w:type="dxa"/>
              <w:right w:w="28" w:type="dxa"/>
            </w:tcMar>
            <w:vAlign w:val="bottom"/>
            <w:hideMark/>
          </w:tcPr>
          <w:p w:rsidR="009A2709" w:rsidRPr="00764E1A" w:rsidRDefault="009A2709" w:rsidP="000074CC">
            <w:pPr>
              <w:jc w:val="center"/>
              <w:rPr>
                <w:rFonts w:ascii="Arial Narrow" w:hAnsi="Arial Narrow"/>
                <w:b/>
                <w:bCs/>
                <w:sz w:val="16"/>
                <w:szCs w:val="16"/>
              </w:rPr>
            </w:pPr>
          </w:p>
        </w:tc>
        <w:tc>
          <w:tcPr>
            <w:tcW w:w="6201" w:type="dxa"/>
            <w:gridSpan w:val="2"/>
            <w:shd w:val="clear" w:color="auto" w:fill="auto"/>
            <w:noWrap/>
            <w:tcMar>
              <w:left w:w="28" w:type="dxa"/>
              <w:right w:w="28" w:type="dxa"/>
            </w:tcMar>
            <w:vAlign w:val="center"/>
            <w:hideMark/>
          </w:tcPr>
          <w:p w:rsidR="009A2709" w:rsidRPr="00764E1A" w:rsidRDefault="009A2709" w:rsidP="000074CC">
            <w:pPr>
              <w:rPr>
                <w:rFonts w:ascii="Arial Narrow" w:hAnsi="Arial Narrow"/>
                <w:b/>
                <w:bCs/>
                <w:color w:val="000000"/>
                <w:sz w:val="16"/>
                <w:szCs w:val="16"/>
              </w:rPr>
            </w:pPr>
          </w:p>
        </w:tc>
        <w:tc>
          <w:tcPr>
            <w:tcW w:w="1338" w:type="dxa"/>
            <w:shd w:val="clear" w:color="auto" w:fill="auto"/>
            <w:noWrap/>
            <w:tcMar>
              <w:left w:w="28" w:type="dxa"/>
              <w:right w:w="28" w:type="dxa"/>
            </w:tcMar>
            <w:vAlign w:val="bottom"/>
            <w:hideMark/>
          </w:tcPr>
          <w:p w:rsidR="009A2709" w:rsidRPr="00F80B24" w:rsidRDefault="009A2709" w:rsidP="00CD068D">
            <w:pPr>
              <w:ind w:right="393"/>
              <w:rPr>
                <w:rFonts w:ascii="Arial Narrow" w:hAnsi="Arial Narrow"/>
                <w:b/>
                <w:bCs/>
                <w:color w:val="000000"/>
                <w:sz w:val="16"/>
                <w:szCs w:val="16"/>
              </w:rPr>
            </w:pPr>
            <w:r w:rsidRPr="00F80B24">
              <w:rPr>
                <w:rFonts w:ascii="Arial Narrow" w:hAnsi="Arial Narrow"/>
                <w:b/>
                <w:bCs/>
                <w:color w:val="000000"/>
                <w:sz w:val="16"/>
                <w:szCs w:val="16"/>
              </w:rPr>
              <w:t> </w:t>
            </w:r>
          </w:p>
        </w:tc>
        <w:tc>
          <w:tcPr>
            <w:tcW w:w="1269" w:type="dxa"/>
            <w:shd w:val="clear" w:color="auto" w:fill="auto"/>
            <w:noWrap/>
            <w:tcMar>
              <w:left w:w="28" w:type="dxa"/>
              <w:right w:w="28" w:type="dxa"/>
            </w:tcMar>
            <w:vAlign w:val="bottom"/>
            <w:hideMark/>
          </w:tcPr>
          <w:p w:rsidR="009A2709" w:rsidRPr="00F80B24" w:rsidRDefault="009A2709" w:rsidP="00CD068D">
            <w:pPr>
              <w:ind w:right="393"/>
              <w:rPr>
                <w:rFonts w:ascii="Arial Narrow" w:hAnsi="Arial Narrow"/>
                <w:b/>
                <w:bCs/>
                <w:color w:val="000000"/>
                <w:sz w:val="16"/>
                <w:szCs w:val="16"/>
              </w:rPr>
            </w:pPr>
          </w:p>
        </w:tc>
      </w:tr>
      <w:tr w:rsidR="009A2709" w:rsidRPr="00764E1A" w:rsidTr="009A2709">
        <w:trPr>
          <w:trHeight w:val="198"/>
          <w:jc w:val="center"/>
        </w:trPr>
        <w:tc>
          <w:tcPr>
            <w:tcW w:w="353" w:type="dxa"/>
            <w:shd w:val="clear" w:color="000000" w:fill="BFBFBF"/>
            <w:noWrap/>
            <w:tcMar>
              <w:left w:w="28" w:type="dxa"/>
              <w:right w:w="28" w:type="dxa"/>
            </w:tcMar>
            <w:vAlign w:val="bottom"/>
            <w:hideMark/>
          </w:tcPr>
          <w:p w:rsidR="009A2709" w:rsidRPr="00764E1A" w:rsidRDefault="009A2709" w:rsidP="00764E1A">
            <w:pPr>
              <w:jc w:val="center"/>
              <w:rPr>
                <w:rFonts w:ascii="Arial Narrow" w:hAnsi="Arial Narrow"/>
                <w:b/>
                <w:bCs/>
                <w:sz w:val="16"/>
                <w:szCs w:val="16"/>
              </w:rPr>
            </w:pPr>
            <w:r w:rsidRPr="00764E1A">
              <w:rPr>
                <w:rFonts w:ascii="Arial Narrow" w:hAnsi="Arial Narrow"/>
                <w:b/>
                <w:bCs/>
                <w:sz w:val="16"/>
                <w:szCs w:val="16"/>
              </w:rPr>
              <w:t>ΙΙ</w:t>
            </w:r>
          </w:p>
        </w:tc>
        <w:tc>
          <w:tcPr>
            <w:tcW w:w="6201" w:type="dxa"/>
            <w:gridSpan w:val="2"/>
            <w:shd w:val="clear" w:color="000000" w:fill="BFBFBF"/>
            <w:noWrap/>
            <w:tcMar>
              <w:left w:w="28" w:type="dxa"/>
              <w:right w:w="28" w:type="dxa"/>
            </w:tcMar>
            <w:vAlign w:val="center"/>
            <w:hideMark/>
          </w:tcPr>
          <w:p w:rsidR="009A2709" w:rsidRPr="00764E1A" w:rsidRDefault="009A2709" w:rsidP="00764E1A">
            <w:pPr>
              <w:rPr>
                <w:rFonts w:ascii="Arial Narrow" w:hAnsi="Arial Narrow"/>
                <w:b/>
                <w:bCs/>
                <w:color w:val="000000"/>
                <w:sz w:val="16"/>
                <w:szCs w:val="16"/>
              </w:rPr>
            </w:pPr>
            <w:r w:rsidRPr="00764E1A">
              <w:rPr>
                <w:rFonts w:ascii="Arial Narrow" w:hAnsi="Arial Narrow"/>
                <w:b/>
                <w:bCs/>
                <w:color w:val="000000"/>
                <w:sz w:val="16"/>
                <w:szCs w:val="16"/>
              </w:rPr>
              <w:t>Σύνολο δαπανών Κρατικού Προϋπολογισμού κατά ESA</w:t>
            </w:r>
          </w:p>
        </w:tc>
        <w:tc>
          <w:tcPr>
            <w:tcW w:w="1338" w:type="dxa"/>
            <w:shd w:val="clear" w:color="000000" w:fill="BFBFBF"/>
            <w:noWrap/>
            <w:tcMar>
              <w:left w:w="28" w:type="dxa"/>
              <w:right w:w="28" w:type="dxa"/>
            </w:tcMar>
            <w:vAlign w:val="bottom"/>
            <w:hideMark/>
          </w:tcPr>
          <w:p w:rsidR="009A2709" w:rsidRPr="00F80B24" w:rsidRDefault="009A2709" w:rsidP="00CD068D">
            <w:pPr>
              <w:ind w:right="393"/>
              <w:jc w:val="right"/>
              <w:rPr>
                <w:rFonts w:ascii="Arial Narrow" w:hAnsi="Arial Narrow"/>
                <w:b/>
                <w:bCs/>
                <w:color w:val="000000"/>
                <w:sz w:val="16"/>
                <w:szCs w:val="16"/>
              </w:rPr>
            </w:pPr>
            <w:r w:rsidRPr="00F80B24">
              <w:rPr>
                <w:rFonts w:ascii="Arial Narrow" w:hAnsi="Arial Narrow"/>
                <w:b/>
                <w:bCs/>
                <w:color w:val="000000"/>
                <w:sz w:val="16"/>
                <w:szCs w:val="16"/>
              </w:rPr>
              <w:t>58.273</w:t>
            </w:r>
          </w:p>
        </w:tc>
        <w:tc>
          <w:tcPr>
            <w:tcW w:w="1269" w:type="dxa"/>
            <w:shd w:val="clear" w:color="000000" w:fill="BFBFBF"/>
            <w:noWrap/>
            <w:tcMar>
              <w:left w:w="28" w:type="dxa"/>
              <w:right w:w="28" w:type="dxa"/>
            </w:tcMar>
            <w:vAlign w:val="bottom"/>
            <w:hideMark/>
          </w:tcPr>
          <w:p w:rsidR="009A2709" w:rsidRPr="00F80B24" w:rsidRDefault="001F082F" w:rsidP="00CD068D">
            <w:pPr>
              <w:ind w:right="393"/>
              <w:jc w:val="right"/>
              <w:rPr>
                <w:rFonts w:ascii="Arial Narrow" w:hAnsi="Arial Narrow"/>
                <w:b/>
                <w:bCs/>
                <w:color w:val="000000"/>
                <w:sz w:val="16"/>
                <w:szCs w:val="16"/>
              </w:rPr>
            </w:pPr>
            <w:r>
              <w:rPr>
                <w:rFonts w:ascii="Arial Narrow" w:hAnsi="Arial Narrow"/>
                <w:b/>
                <w:bCs/>
                <w:color w:val="000000"/>
                <w:sz w:val="16"/>
                <w:szCs w:val="16"/>
              </w:rPr>
              <w:t>56.95</w:t>
            </w:r>
            <w:r w:rsidR="009A2709" w:rsidRPr="00F80B24">
              <w:rPr>
                <w:rFonts w:ascii="Arial Narrow" w:hAnsi="Arial Narrow"/>
                <w:b/>
                <w:bCs/>
                <w:color w:val="000000"/>
                <w:sz w:val="16"/>
                <w:szCs w:val="16"/>
              </w:rPr>
              <w:t>6</w:t>
            </w:r>
          </w:p>
        </w:tc>
      </w:tr>
    </w:tbl>
    <w:p w:rsidR="008E1BB1" w:rsidRDefault="00836DA5" w:rsidP="00C704DF">
      <w:pPr>
        <w:tabs>
          <w:tab w:val="left" w:pos="284"/>
          <w:tab w:val="left" w:pos="6204"/>
          <w:tab w:val="left" w:pos="7196"/>
          <w:tab w:val="left" w:pos="8046"/>
        </w:tabs>
        <w:rPr>
          <w:rFonts w:ascii="Arial Narrow" w:hAnsi="Arial Narrow"/>
          <w:color w:val="000000"/>
          <w:sz w:val="16"/>
          <w:szCs w:val="16"/>
        </w:rPr>
      </w:pPr>
      <w:r w:rsidRPr="001C5C75">
        <w:rPr>
          <w:rFonts w:ascii="Arial Narrow" w:hAnsi="Arial Narrow"/>
          <w:color w:val="000000"/>
          <w:sz w:val="16"/>
          <w:szCs w:val="16"/>
          <w:vertAlign w:val="superscript"/>
        </w:rPr>
        <w:t>1</w:t>
      </w:r>
      <w:r>
        <w:rPr>
          <w:rFonts w:ascii="Arial Narrow" w:hAnsi="Arial Narrow"/>
          <w:color w:val="000000"/>
          <w:sz w:val="16"/>
          <w:szCs w:val="16"/>
          <w:vertAlign w:val="superscript"/>
        </w:rPr>
        <w:tab/>
      </w:r>
      <w:r w:rsidRPr="001C5C75">
        <w:rPr>
          <w:rFonts w:ascii="Arial Narrow" w:hAnsi="Arial Narrow"/>
          <w:color w:val="000000"/>
          <w:sz w:val="16"/>
          <w:szCs w:val="16"/>
        </w:rPr>
        <w:t>Εθνικολογιστικές προσαρμογές: (+) μείωση δαπανών / (-) αύξηση δαπανών.</w:t>
      </w:r>
    </w:p>
    <w:p w:rsidR="00836DA5" w:rsidRPr="008E1BB1" w:rsidRDefault="00836DA5" w:rsidP="00836DA5">
      <w:pPr>
        <w:tabs>
          <w:tab w:val="left" w:pos="6204"/>
          <w:tab w:val="left" w:pos="7196"/>
          <w:tab w:val="left" w:pos="8046"/>
        </w:tabs>
        <w:ind w:left="101"/>
        <w:rPr>
          <w:rFonts w:ascii="Arial Narrow" w:hAnsi="Arial Narrow"/>
          <w:sz w:val="16"/>
          <w:szCs w:val="16"/>
        </w:rPr>
      </w:pPr>
    </w:p>
    <w:p w:rsidR="00E51833" w:rsidRDefault="00E51833">
      <w:pPr>
        <w:rPr>
          <w:rFonts w:ascii="Arial Narrow" w:hAnsi="Arial Narrow"/>
          <w:sz w:val="16"/>
          <w:szCs w:val="16"/>
        </w:rPr>
      </w:pPr>
      <w:r>
        <w:rPr>
          <w:rFonts w:ascii="Arial Narrow" w:hAnsi="Arial Narrow"/>
          <w:sz w:val="16"/>
          <w:szCs w:val="16"/>
        </w:rPr>
        <w:br w:type="page"/>
      </w:r>
    </w:p>
    <w:tbl>
      <w:tblPr>
        <w:tblW w:w="9214" w:type="dxa"/>
        <w:tblInd w:w="28" w:type="dxa"/>
        <w:tblLayout w:type="fixed"/>
        <w:tblCellMar>
          <w:left w:w="28" w:type="dxa"/>
          <w:right w:w="28" w:type="dxa"/>
        </w:tblCellMar>
        <w:tblLook w:val="04A0"/>
      </w:tblPr>
      <w:tblGrid>
        <w:gridCol w:w="369"/>
        <w:gridCol w:w="5585"/>
        <w:gridCol w:w="1701"/>
        <w:gridCol w:w="1559"/>
      </w:tblGrid>
      <w:tr w:rsidR="00E51833" w:rsidRPr="00E51833" w:rsidTr="005A5E00">
        <w:trPr>
          <w:trHeight w:val="660"/>
        </w:trPr>
        <w:tc>
          <w:tcPr>
            <w:tcW w:w="9214" w:type="dxa"/>
            <w:gridSpan w:val="4"/>
            <w:tcBorders>
              <w:top w:val="single" w:sz="4" w:space="0" w:color="auto"/>
              <w:left w:val="single" w:sz="4" w:space="0" w:color="auto"/>
              <w:bottom w:val="single" w:sz="4" w:space="0" w:color="auto"/>
              <w:right w:val="single" w:sz="4" w:space="0" w:color="000000"/>
            </w:tcBorders>
            <w:shd w:val="clear" w:color="auto" w:fill="404040" w:themeFill="text1" w:themeFillTint="BF"/>
            <w:vAlign w:val="bottom"/>
            <w:hideMark/>
          </w:tcPr>
          <w:p w:rsidR="00E51833" w:rsidRPr="00E51833" w:rsidRDefault="00E51833" w:rsidP="00E51833">
            <w:pPr>
              <w:spacing w:before="120" w:after="120"/>
              <w:jc w:val="center"/>
              <w:rPr>
                <w:rFonts w:ascii="Arial Narrow" w:hAnsi="Arial Narrow"/>
                <w:color w:val="FFFFFF" w:themeColor="background1"/>
              </w:rPr>
            </w:pPr>
            <w:bookmarkStart w:id="10" w:name="RANGE!C2:H27"/>
            <w:r w:rsidRPr="00465D7D">
              <w:rPr>
                <w:rFonts w:ascii="Arial Narrow" w:hAnsi="Arial Narrow"/>
                <w:b/>
                <w:bCs/>
                <w:color w:val="FFFFFF" w:themeColor="background1"/>
              </w:rPr>
              <w:lastRenderedPageBreak/>
              <w:t>Πίνακας 3</w:t>
            </w:r>
            <w:r w:rsidR="00452DE5">
              <w:rPr>
                <w:rFonts w:ascii="Arial Narrow" w:hAnsi="Arial Narrow"/>
                <w:b/>
                <w:bCs/>
                <w:color w:val="FFFFFF" w:themeColor="background1"/>
              </w:rPr>
              <w:t>.15</w:t>
            </w:r>
            <w:r w:rsidRPr="00E51833">
              <w:rPr>
                <w:rFonts w:ascii="Arial Narrow" w:hAnsi="Arial Narrow"/>
                <w:b/>
                <w:bCs/>
                <w:color w:val="FFFFFF" w:themeColor="background1"/>
              </w:rPr>
              <w:t xml:space="preserve"> Ανώτατα όρια δαπανών Ανεξάρτητων Διοικητικών Αρχών φορέων των Υπουργείων</w:t>
            </w:r>
            <w:r w:rsidRPr="00E51833">
              <w:rPr>
                <w:rFonts w:ascii="Arial Narrow" w:hAnsi="Arial Narrow"/>
                <w:color w:val="FFFFFF" w:themeColor="background1"/>
              </w:rPr>
              <w:br/>
            </w:r>
            <w:r w:rsidRPr="00E51833">
              <w:rPr>
                <w:rFonts w:ascii="Arial Narrow" w:hAnsi="Arial Narrow"/>
                <w:b/>
                <w:i/>
                <w:iCs/>
                <w:color w:val="FFFFFF" w:themeColor="background1"/>
              </w:rPr>
              <w:t>(σε εκατ. ευρώ)</w:t>
            </w:r>
            <w:bookmarkEnd w:id="10"/>
          </w:p>
        </w:tc>
      </w:tr>
      <w:tr w:rsidR="007A608C" w:rsidRPr="00E51833" w:rsidTr="005A5E00">
        <w:trPr>
          <w:trHeight w:val="227"/>
        </w:trPr>
        <w:tc>
          <w:tcPr>
            <w:tcW w:w="921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A608C" w:rsidRPr="00465D7D" w:rsidRDefault="007A608C" w:rsidP="007A608C">
            <w:pPr>
              <w:jc w:val="center"/>
              <w:rPr>
                <w:rFonts w:ascii="Arial Narrow" w:hAnsi="Arial Narrow"/>
                <w:b/>
                <w:bCs/>
                <w:color w:val="FFFFFF" w:themeColor="background1"/>
              </w:rPr>
            </w:pPr>
          </w:p>
        </w:tc>
      </w:tr>
      <w:tr w:rsidR="00E51833" w:rsidRPr="00E51833" w:rsidTr="005A5E00">
        <w:trPr>
          <w:trHeight w:val="288"/>
        </w:trPr>
        <w:tc>
          <w:tcPr>
            <w:tcW w:w="595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51833" w:rsidRPr="00E51833" w:rsidRDefault="00E51833" w:rsidP="00E51833">
            <w:pPr>
              <w:jc w:val="center"/>
              <w:rPr>
                <w:rFonts w:ascii="Arial Narrow" w:hAnsi="Arial Narrow"/>
                <w:b/>
                <w:bCs/>
                <w:color w:val="000000"/>
                <w:sz w:val="16"/>
                <w:szCs w:val="16"/>
              </w:rPr>
            </w:pPr>
            <w:r w:rsidRPr="00E51833">
              <w:rPr>
                <w:rFonts w:ascii="Arial Narrow" w:hAnsi="Arial Narrow"/>
                <w:b/>
                <w:bCs/>
                <w:color w:val="000000"/>
                <w:sz w:val="16"/>
                <w:szCs w:val="16"/>
              </w:rPr>
              <w:t>Ανεξάρτητες Διοικητικές Αρχές</w:t>
            </w:r>
          </w:p>
        </w:tc>
        <w:tc>
          <w:tcPr>
            <w:tcW w:w="1701" w:type="dxa"/>
            <w:tcBorders>
              <w:top w:val="nil"/>
              <w:left w:val="nil"/>
              <w:bottom w:val="single" w:sz="4" w:space="0" w:color="auto"/>
              <w:right w:val="single" w:sz="4" w:space="0" w:color="000000"/>
            </w:tcBorders>
            <w:shd w:val="clear" w:color="auto" w:fill="auto"/>
            <w:noWrap/>
            <w:vAlign w:val="center"/>
            <w:hideMark/>
          </w:tcPr>
          <w:p w:rsidR="00E51833" w:rsidRPr="00E51833" w:rsidRDefault="00E51833" w:rsidP="00E51833">
            <w:pPr>
              <w:jc w:val="center"/>
              <w:rPr>
                <w:rFonts w:ascii="Arial Narrow" w:hAnsi="Arial Narrow"/>
                <w:b/>
                <w:bCs/>
                <w:color w:val="000000"/>
                <w:sz w:val="16"/>
                <w:szCs w:val="16"/>
              </w:rPr>
            </w:pPr>
            <w:r w:rsidRPr="00E51833">
              <w:rPr>
                <w:rFonts w:ascii="Arial Narrow" w:hAnsi="Arial Narrow"/>
                <w:b/>
                <w:bCs/>
                <w:color w:val="000000"/>
                <w:sz w:val="16"/>
                <w:szCs w:val="16"/>
              </w:rPr>
              <w:t>2018</w:t>
            </w:r>
          </w:p>
        </w:tc>
        <w:tc>
          <w:tcPr>
            <w:tcW w:w="1559" w:type="dxa"/>
            <w:tcBorders>
              <w:top w:val="nil"/>
              <w:left w:val="nil"/>
              <w:bottom w:val="nil"/>
              <w:right w:val="single" w:sz="4" w:space="0" w:color="000000"/>
            </w:tcBorders>
            <w:shd w:val="clear" w:color="auto" w:fill="auto"/>
            <w:noWrap/>
            <w:vAlign w:val="center"/>
            <w:hideMark/>
          </w:tcPr>
          <w:p w:rsidR="00E51833" w:rsidRPr="00E51833" w:rsidRDefault="00E51833" w:rsidP="00E51833">
            <w:pPr>
              <w:jc w:val="center"/>
              <w:rPr>
                <w:rFonts w:ascii="Arial Narrow" w:hAnsi="Arial Narrow"/>
                <w:b/>
                <w:bCs/>
                <w:color w:val="000000"/>
                <w:sz w:val="16"/>
                <w:szCs w:val="16"/>
              </w:rPr>
            </w:pPr>
            <w:r w:rsidRPr="00E51833">
              <w:rPr>
                <w:rFonts w:ascii="Arial Narrow" w:hAnsi="Arial Narrow"/>
                <w:b/>
                <w:bCs/>
                <w:color w:val="000000"/>
                <w:sz w:val="16"/>
                <w:szCs w:val="16"/>
              </w:rPr>
              <w:t>2019</w:t>
            </w:r>
          </w:p>
        </w:tc>
      </w:tr>
      <w:tr w:rsidR="007A608C" w:rsidRPr="00E51833" w:rsidTr="005A5E00">
        <w:trPr>
          <w:trHeight w:val="288"/>
        </w:trPr>
        <w:tc>
          <w:tcPr>
            <w:tcW w:w="5954" w:type="dxa"/>
            <w:gridSpan w:val="2"/>
            <w:vMerge/>
            <w:tcBorders>
              <w:top w:val="single" w:sz="4" w:space="0" w:color="auto"/>
              <w:left w:val="single" w:sz="4" w:space="0" w:color="auto"/>
              <w:bottom w:val="single" w:sz="4" w:space="0" w:color="auto"/>
              <w:right w:val="single" w:sz="4" w:space="0" w:color="000000"/>
            </w:tcBorders>
            <w:vAlign w:val="center"/>
            <w:hideMark/>
          </w:tcPr>
          <w:p w:rsidR="007A608C" w:rsidRPr="00E51833" w:rsidRDefault="007A608C" w:rsidP="00E51833">
            <w:pPr>
              <w:rPr>
                <w:rFonts w:ascii="Arial Narrow" w:hAnsi="Arial Narrow"/>
                <w:b/>
                <w:bCs/>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7A608C" w:rsidRPr="00E51833" w:rsidRDefault="007A608C" w:rsidP="00E51833">
            <w:pPr>
              <w:jc w:val="center"/>
              <w:rPr>
                <w:rFonts w:ascii="Arial Narrow" w:hAnsi="Arial Narrow"/>
                <w:b/>
                <w:bCs/>
                <w:color w:val="000000"/>
                <w:sz w:val="16"/>
                <w:szCs w:val="16"/>
              </w:rPr>
            </w:pPr>
            <w:r w:rsidRPr="00E51833">
              <w:rPr>
                <w:rFonts w:ascii="Arial Narrow" w:hAnsi="Arial Narrow"/>
                <w:b/>
                <w:bCs/>
                <w:color w:val="000000"/>
                <w:sz w:val="16"/>
                <w:szCs w:val="16"/>
              </w:rPr>
              <w:t>Εκτιμήσεις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A608C" w:rsidRPr="00E51833" w:rsidRDefault="007A608C" w:rsidP="00E51833">
            <w:pPr>
              <w:jc w:val="center"/>
              <w:rPr>
                <w:rFonts w:ascii="Arial Narrow" w:hAnsi="Arial Narrow"/>
                <w:b/>
                <w:bCs/>
                <w:color w:val="000000"/>
                <w:sz w:val="16"/>
                <w:szCs w:val="16"/>
              </w:rPr>
            </w:pPr>
            <w:r w:rsidRPr="00E51833">
              <w:rPr>
                <w:rFonts w:ascii="Arial Narrow" w:hAnsi="Arial Narrow"/>
                <w:b/>
                <w:bCs/>
                <w:color w:val="000000"/>
                <w:sz w:val="16"/>
                <w:szCs w:val="16"/>
              </w:rPr>
              <w:t>Προβλέψεις</w:t>
            </w:r>
          </w:p>
        </w:tc>
      </w:tr>
      <w:tr w:rsidR="007A608C" w:rsidRPr="00E51833" w:rsidTr="005A5E00">
        <w:trPr>
          <w:trHeight w:val="170"/>
        </w:trPr>
        <w:tc>
          <w:tcPr>
            <w:tcW w:w="369" w:type="dxa"/>
            <w:tcBorders>
              <w:top w:val="single" w:sz="4" w:space="0" w:color="auto"/>
              <w:left w:val="single" w:sz="4" w:space="0" w:color="auto"/>
              <w:bottom w:val="nil"/>
            </w:tcBorders>
            <w:shd w:val="clear" w:color="000000" w:fill="BFBFBF"/>
            <w:noWrap/>
            <w:vAlign w:val="center"/>
            <w:hideMark/>
          </w:tcPr>
          <w:p w:rsidR="007A608C" w:rsidRPr="00E51833" w:rsidRDefault="007A608C" w:rsidP="00FD7DBC">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1</w:t>
            </w:r>
          </w:p>
        </w:tc>
        <w:tc>
          <w:tcPr>
            <w:tcW w:w="5585" w:type="dxa"/>
            <w:tcBorders>
              <w:top w:val="single" w:sz="4" w:space="0" w:color="auto"/>
              <w:bottom w:val="nil"/>
            </w:tcBorders>
            <w:shd w:val="clear" w:color="000000" w:fill="BFBFBF"/>
            <w:noWrap/>
            <w:vAlign w:val="bottom"/>
            <w:hideMark/>
          </w:tcPr>
          <w:p w:rsidR="007A608C" w:rsidRPr="00E51833" w:rsidRDefault="007A608C" w:rsidP="00FD7DBC">
            <w:pPr>
              <w:spacing w:before="40" w:after="40"/>
              <w:rPr>
                <w:rFonts w:ascii="Arial Narrow" w:hAnsi="Arial Narrow"/>
                <w:b/>
                <w:bCs/>
                <w:color w:val="000000"/>
                <w:sz w:val="16"/>
                <w:szCs w:val="16"/>
              </w:rPr>
            </w:pPr>
            <w:r w:rsidRPr="00E51833">
              <w:rPr>
                <w:rFonts w:ascii="Arial Narrow" w:hAnsi="Arial Narrow"/>
                <w:b/>
                <w:bCs/>
                <w:color w:val="000000"/>
                <w:sz w:val="16"/>
                <w:szCs w:val="16"/>
              </w:rPr>
              <w:t>ΥΠΟΥΡΓΕΙΟ ΔΙΟΙΚΗΤΙΚΗΣ ΑΝΑΣΥΓΚΡΟΤΗΣΗΣ</w:t>
            </w:r>
          </w:p>
        </w:tc>
        <w:tc>
          <w:tcPr>
            <w:tcW w:w="1701" w:type="dxa"/>
            <w:tcBorders>
              <w:top w:val="single" w:sz="4" w:space="0" w:color="auto"/>
              <w:bottom w:val="nil"/>
            </w:tcBorders>
            <w:shd w:val="clear" w:color="000000" w:fill="BFBFBF"/>
            <w:noWrap/>
            <w:vAlign w:val="center"/>
            <w:hideMark/>
          </w:tcPr>
          <w:p w:rsidR="007A608C" w:rsidRDefault="007A608C" w:rsidP="007A608C">
            <w:pPr>
              <w:ind w:right="539"/>
              <w:jc w:val="right"/>
              <w:rPr>
                <w:rFonts w:ascii="Arial Narrow" w:hAnsi="Arial Narrow"/>
                <w:b/>
                <w:bCs/>
                <w:color w:val="000000"/>
                <w:sz w:val="16"/>
                <w:szCs w:val="16"/>
              </w:rPr>
            </w:pPr>
            <w:r>
              <w:rPr>
                <w:rFonts w:ascii="Arial Narrow" w:hAnsi="Arial Narrow"/>
                <w:b/>
                <w:bCs/>
                <w:color w:val="000000"/>
                <w:sz w:val="16"/>
                <w:szCs w:val="16"/>
              </w:rPr>
              <w:t>14,7</w:t>
            </w:r>
          </w:p>
        </w:tc>
        <w:tc>
          <w:tcPr>
            <w:tcW w:w="1559" w:type="dxa"/>
            <w:tcBorders>
              <w:top w:val="single" w:sz="4" w:space="0" w:color="auto"/>
              <w:bottom w:val="nil"/>
              <w:right w:val="single" w:sz="4" w:space="0" w:color="auto"/>
            </w:tcBorders>
            <w:shd w:val="clear" w:color="000000" w:fill="BFBFBF"/>
            <w:noWrap/>
            <w:vAlign w:val="center"/>
            <w:hideMark/>
          </w:tcPr>
          <w:p w:rsidR="007A608C" w:rsidRDefault="007A608C" w:rsidP="007A608C">
            <w:pPr>
              <w:ind w:right="540"/>
              <w:jc w:val="right"/>
              <w:rPr>
                <w:rFonts w:ascii="Arial Narrow" w:hAnsi="Arial Narrow"/>
                <w:b/>
                <w:bCs/>
                <w:color w:val="000000"/>
                <w:sz w:val="16"/>
                <w:szCs w:val="16"/>
              </w:rPr>
            </w:pPr>
            <w:r>
              <w:rPr>
                <w:rFonts w:ascii="Arial Narrow" w:hAnsi="Arial Narrow"/>
                <w:b/>
                <w:bCs/>
                <w:color w:val="000000"/>
                <w:sz w:val="16"/>
                <w:szCs w:val="16"/>
              </w:rPr>
              <w:t>9,1</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Ανώτατο Συμβούλιο Επιλογής Προσωπικού</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9,0</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9,0</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Συνήγορος του Πολίτη</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5,7</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0,1</w:t>
            </w:r>
          </w:p>
        </w:tc>
      </w:tr>
      <w:tr w:rsidR="007A608C" w:rsidRPr="00E51833" w:rsidTr="005A5E00">
        <w:trPr>
          <w:trHeight w:val="170"/>
        </w:trPr>
        <w:tc>
          <w:tcPr>
            <w:tcW w:w="369" w:type="dxa"/>
            <w:tcBorders>
              <w:top w:val="nil"/>
              <w:left w:val="single" w:sz="4" w:space="0" w:color="auto"/>
              <w:bottom w:val="nil"/>
            </w:tcBorders>
            <w:shd w:val="clear" w:color="000000" w:fill="BFBFBF"/>
            <w:noWrap/>
            <w:vAlign w:val="center"/>
            <w:hideMark/>
          </w:tcPr>
          <w:p w:rsidR="007A608C" w:rsidRPr="00E51833" w:rsidRDefault="007A608C" w:rsidP="00FD7DBC">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2</w:t>
            </w:r>
          </w:p>
        </w:tc>
        <w:tc>
          <w:tcPr>
            <w:tcW w:w="5585" w:type="dxa"/>
            <w:tcBorders>
              <w:top w:val="nil"/>
              <w:bottom w:val="nil"/>
            </w:tcBorders>
            <w:shd w:val="clear" w:color="000000" w:fill="BFBFBF"/>
            <w:noWrap/>
            <w:vAlign w:val="bottom"/>
            <w:hideMark/>
          </w:tcPr>
          <w:p w:rsidR="007A608C" w:rsidRPr="00E51833" w:rsidRDefault="007A608C" w:rsidP="00FD7DBC">
            <w:pPr>
              <w:spacing w:before="40" w:after="40"/>
              <w:rPr>
                <w:rFonts w:ascii="Arial Narrow" w:hAnsi="Arial Narrow"/>
                <w:b/>
                <w:bCs/>
                <w:color w:val="000000"/>
                <w:sz w:val="16"/>
                <w:szCs w:val="16"/>
              </w:rPr>
            </w:pPr>
            <w:r w:rsidRPr="00E51833">
              <w:rPr>
                <w:rFonts w:ascii="Arial Narrow" w:hAnsi="Arial Narrow"/>
                <w:b/>
                <w:bCs/>
                <w:color w:val="000000"/>
                <w:sz w:val="16"/>
                <w:szCs w:val="16"/>
              </w:rPr>
              <w:t>ΥΠΟ</w:t>
            </w:r>
            <w:r>
              <w:rPr>
                <w:rFonts w:ascii="Arial Narrow" w:hAnsi="Arial Narrow"/>
                <w:b/>
                <w:bCs/>
                <w:color w:val="000000"/>
                <w:sz w:val="16"/>
                <w:szCs w:val="16"/>
              </w:rPr>
              <w:t>ΥΡΓΕΙΟ ΔΙΚΑΙΟΣΥΝΗΣ, ΔΙΑΦΑΝΕΙΑΣ ΚΑΙ</w:t>
            </w:r>
            <w:r w:rsidRPr="00E51833">
              <w:rPr>
                <w:rFonts w:ascii="Arial Narrow" w:hAnsi="Arial Narrow"/>
                <w:b/>
                <w:bCs/>
                <w:color w:val="000000"/>
                <w:sz w:val="16"/>
                <w:szCs w:val="16"/>
              </w:rPr>
              <w:t xml:space="preserve"> ΑΝΘΡΩΠΙΝΩΝ ΔΙΚΑΙΩΜΑΤΩΝ</w:t>
            </w:r>
          </w:p>
        </w:tc>
        <w:tc>
          <w:tcPr>
            <w:tcW w:w="1701" w:type="dxa"/>
            <w:tcBorders>
              <w:top w:val="nil"/>
              <w:bottom w:val="nil"/>
            </w:tcBorders>
            <w:shd w:val="clear" w:color="000000" w:fill="BFBFBF"/>
            <w:noWrap/>
            <w:vAlign w:val="center"/>
            <w:hideMark/>
          </w:tcPr>
          <w:p w:rsidR="007A608C" w:rsidRDefault="007A608C" w:rsidP="007A608C">
            <w:pPr>
              <w:ind w:right="539"/>
              <w:jc w:val="right"/>
              <w:rPr>
                <w:rFonts w:ascii="Arial Narrow" w:hAnsi="Arial Narrow"/>
                <w:b/>
                <w:bCs/>
                <w:color w:val="000000"/>
                <w:sz w:val="16"/>
                <w:szCs w:val="16"/>
              </w:rPr>
            </w:pPr>
            <w:r>
              <w:rPr>
                <w:rFonts w:ascii="Arial Narrow" w:hAnsi="Arial Narrow"/>
                <w:b/>
                <w:bCs/>
                <w:color w:val="000000"/>
                <w:sz w:val="16"/>
                <w:szCs w:val="16"/>
              </w:rPr>
              <w:t>4,8</w:t>
            </w:r>
          </w:p>
        </w:tc>
        <w:tc>
          <w:tcPr>
            <w:tcW w:w="1559" w:type="dxa"/>
            <w:tcBorders>
              <w:top w:val="nil"/>
              <w:bottom w:val="nil"/>
              <w:right w:val="single" w:sz="4" w:space="0" w:color="auto"/>
            </w:tcBorders>
            <w:shd w:val="clear" w:color="000000" w:fill="BFBFBF"/>
            <w:noWrap/>
            <w:vAlign w:val="center"/>
            <w:hideMark/>
          </w:tcPr>
          <w:p w:rsidR="007A608C" w:rsidRDefault="007A608C" w:rsidP="007A608C">
            <w:pPr>
              <w:ind w:right="540"/>
              <w:jc w:val="right"/>
              <w:rPr>
                <w:rFonts w:ascii="Arial Narrow" w:hAnsi="Arial Narrow"/>
                <w:b/>
                <w:bCs/>
                <w:color w:val="000000"/>
                <w:sz w:val="16"/>
                <w:szCs w:val="16"/>
              </w:rPr>
            </w:pPr>
            <w:r>
              <w:rPr>
                <w:rFonts w:ascii="Arial Narrow" w:hAnsi="Arial Narrow"/>
                <w:b/>
                <w:bCs/>
                <w:color w:val="000000"/>
                <w:sz w:val="16"/>
                <w:szCs w:val="16"/>
              </w:rPr>
              <w:t>5,5</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Αρχή Προστασίας Δεδομένων Προσωπικού Χαρακτήρα</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2,5</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2,8</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Αρχή Διασφάλισης του Απορρήτου των Επικοινωνιών</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2,3</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2,7</w:t>
            </w:r>
          </w:p>
        </w:tc>
      </w:tr>
      <w:tr w:rsidR="007A608C" w:rsidRPr="00E51833" w:rsidTr="005A5E00">
        <w:trPr>
          <w:trHeight w:val="170"/>
        </w:trPr>
        <w:tc>
          <w:tcPr>
            <w:tcW w:w="369" w:type="dxa"/>
            <w:tcBorders>
              <w:top w:val="nil"/>
              <w:left w:val="single" w:sz="4" w:space="0" w:color="auto"/>
              <w:bottom w:val="nil"/>
            </w:tcBorders>
            <w:shd w:val="clear" w:color="000000" w:fill="BFBFBF"/>
            <w:noWrap/>
            <w:vAlign w:val="center"/>
            <w:hideMark/>
          </w:tcPr>
          <w:p w:rsidR="007A608C" w:rsidRPr="00E51833" w:rsidRDefault="007A608C" w:rsidP="00FD7DBC">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3</w:t>
            </w:r>
          </w:p>
        </w:tc>
        <w:tc>
          <w:tcPr>
            <w:tcW w:w="5585" w:type="dxa"/>
            <w:tcBorders>
              <w:top w:val="nil"/>
              <w:bottom w:val="nil"/>
            </w:tcBorders>
            <w:shd w:val="clear" w:color="000000" w:fill="BFBFBF"/>
            <w:noWrap/>
            <w:vAlign w:val="bottom"/>
            <w:hideMark/>
          </w:tcPr>
          <w:p w:rsidR="007A608C" w:rsidRPr="00E51833" w:rsidRDefault="007A608C" w:rsidP="00FD7DBC">
            <w:pPr>
              <w:spacing w:before="40" w:after="40"/>
              <w:rPr>
                <w:rFonts w:ascii="Arial Narrow" w:hAnsi="Arial Narrow"/>
                <w:b/>
                <w:bCs/>
                <w:color w:val="000000"/>
                <w:sz w:val="16"/>
                <w:szCs w:val="16"/>
              </w:rPr>
            </w:pPr>
            <w:r>
              <w:rPr>
                <w:rFonts w:ascii="Arial Narrow" w:hAnsi="Arial Narrow"/>
                <w:b/>
                <w:bCs/>
                <w:color w:val="000000"/>
                <w:sz w:val="16"/>
                <w:szCs w:val="16"/>
              </w:rPr>
              <w:t>ΥΠΟΥΡΓΕΙΟ ΠΑΙΔΕΙΑΣ, ΕΡΕΥΝΑΣ ΚΑΙ</w:t>
            </w:r>
            <w:r w:rsidRPr="00E51833">
              <w:rPr>
                <w:rFonts w:ascii="Arial Narrow" w:hAnsi="Arial Narrow"/>
                <w:b/>
                <w:bCs/>
                <w:color w:val="000000"/>
                <w:sz w:val="16"/>
                <w:szCs w:val="16"/>
              </w:rPr>
              <w:t xml:space="preserve"> ΘΡΗΣΚΕΥΜΑΤΩΝ</w:t>
            </w:r>
          </w:p>
        </w:tc>
        <w:tc>
          <w:tcPr>
            <w:tcW w:w="1701" w:type="dxa"/>
            <w:tcBorders>
              <w:top w:val="nil"/>
              <w:bottom w:val="nil"/>
            </w:tcBorders>
            <w:shd w:val="clear" w:color="000000" w:fill="BFBFBF"/>
            <w:noWrap/>
            <w:vAlign w:val="center"/>
            <w:hideMark/>
          </w:tcPr>
          <w:p w:rsidR="007A608C" w:rsidRDefault="007A608C" w:rsidP="007A608C">
            <w:pPr>
              <w:ind w:right="539"/>
              <w:jc w:val="right"/>
              <w:rPr>
                <w:rFonts w:ascii="Arial Narrow" w:hAnsi="Arial Narrow"/>
                <w:b/>
                <w:bCs/>
                <w:color w:val="000000"/>
                <w:sz w:val="16"/>
                <w:szCs w:val="16"/>
              </w:rPr>
            </w:pPr>
            <w:r>
              <w:rPr>
                <w:rFonts w:ascii="Arial Narrow" w:hAnsi="Arial Narrow"/>
                <w:b/>
                <w:bCs/>
                <w:color w:val="000000"/>
                <w:sz w:val="16"/>
                <w:szCs w:val="16"/>
              </w:rPr>
              <w:t>0,8</w:t>
            </w:r>
          </w:p>
        </w:tc>
        <w:tc>
          <w:tcPr>
            <w:tcW w:w="1559" w:type="dxa"/>
            <w:tcBorders>
              <w:top w:val="nil"/>
              <w:bottom w:val="nil"/>
              <w:right w:val="single" w:sz="4" w:space="0" w:color="auto"/>
            </w:tcBorders>
            <w:shd w:val="clear" w:color="000000" w:fill="BFBFBF"/>
            <w:noWrap/>
            <w:vAlign w:val="center"/>
            <w:hideMark/>
          </w:tcPr>
          <w:p w:rsidR="007A608C" w:rsidRDefault="007A608C" w:rsidP="007A608C">
            <w:pPr>
              <w:ind w:right="540"/>
              <w:jc w:val="right"/>
              <w:rPr>
                <w:rFonts w:ascii="Arial Narrow" w:hAnsi="Arial Narrow"/>
                <w:b/>
                <w:bCs/>
                <w:color w:val="000000"/>
                <w:sz w:val="16"/>
                <w:szCs w:val="16"/>
              </w:rPr>
            </w:pPr>
            <w:r>
              <w:rPr>
                <w:rFonts w:ascii="Arial Narrow" w:hAnsi="Arial Narrow"/>
                <w:b/>
                <w:bCs/>
                <w:color w:val="000000"/>
                <w:sz w:val="16"/>
                <w:szCs w:val="16"/>
              </w:rPr>
              <w:t>0,9</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vAlign w:val="center"/>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Αρχή Διασφάλισης της Ποιότητας στην Πρωτοβάθμια και Δευτεροβάθμια Εκπαίδευση</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0,1</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0,1</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Αρχή Διασφάλισης της Ποιότητας στην Ανώτατη Εκπαίδευση</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0,7</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0,7</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γ</w:t>
            </w:r>
          </w:p>
        </w:tc>
        <w:tc>
          <w:tcPr>
            <w:tcW w:w="5585" w:type="dxa"/>
            <w:tcBorders>
              <w:top w:val="nil"/>
              <w:bottom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 xml:space="preserve">Εθνικός Οργανισμός Εξετάσεων </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0,1</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0,1</w:t>
            </w:r>
          </w:p>
        </w:tc>
      </w:tr>
      <w:tr w:rsidR="007A608C" w:rsidRPr="00E51833" w:rsidTr="005A5E00">
        <w:trPr>
          <w:trHeight w:val="170"/>
        </w:trPr>
        <w:tc>
          <w:tcPr>
            <w:tcW w:w="369" w:type="dxa"/>
            <w:tcBorders>
              <w:top w:val="nil"/>
              <w:left w:val="single" w:sz="4" w:space="0" w:color="auto"/>
              <w:bottom w:val="nil"/>
            </w:tcBorders>
            <w:shd w:val="clear" w:color="000000" w:fill="BFBFBF"/>
            <w:noWrap/>
            <w:vAlign w:val="center"/>
            <w:hideMark/>
          </w:tcPr>
          <w:p w:rsidR="007A608C" w:rsidRPr="00E51833" w:rsidRDefault="007A608C" w:rsidP="00FD7DBC">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4</w:t>
            </w:r>
          </w:p>
        </w:tc>
        <w:tc>
          <w:tcPr>
            <w:tcW w:w="5585" w:type="dxa"/>
            <w:tcBorders>
              <w:top w:val="nil"/>
              <w:bottom w:val="nil"/>
            </w:tcBorders>
            <w:shd w:val="clear" w:color="000000" w:fill="BFBFBF"/>
            <w:noWrap/>
            <w:vAlign w:val="bottom"/>
            <w:hideMark/>
          </w:tcPr>
          <w:p w:rsidR="007A608C" w:rsidRPr="00E51833" w:rsidRDefault="007A608C" w:rsidP="00FD7DBC">
            <w:pPr>
              <w:spacing w:before="40" w:after="40"/>
              <w:rPr>
                <w:rFonts w:ascii="Arial Narrow" w:hAnsi="Arial Narrow"/>
                <w:b/>
                <w:bCs/>
                <w:color w:val="000000"/>
                <w:sz w:val="16"/>
                <w:szCs w:val="16"/>
              </w:rPr>
            </w:pPr>
            <w:r w:rsidRPr="00E51833">
              <w:rPr>
                <w:rFonts w:ascii="Arial Narrow" w:hAnsi="Arial Narrow"/>
                <w:b/>
                <w:bCs/>
                <w:color w:val="000000"/>
                <w:sz w:val="16"/>
                <w:szCs w:val="16"/>
              </w:rPr>
              <w:t>ΥΠΟΥΡΓΕΙΟ ΟΙΚΟΝΟΜΙΚΩΝ</w:t>
            </w:r>
          </w:p>
        </w:tc>
        <w:tc>
          <w:tcPr>
            <w:tcW w:w="1701" w:type="dxa"/>
            <w:tcBorders>
              <w:top w:val="nil"/>
              <w:bottom w:val="nil"/>
            </w:tcBorders>
            <w:shd w:val="clear" w:color="000000" w:fill="BFBFBF"/>
            <w:noWrap/>
            <w:vAlign w:val="center"/>
            <w:hideMark/>
          </w:tcPr>
          <w:p w:rsidR="007A608C" w:rsidRDefault="007A608C" w:rsidP="007A608C">
            <w:pPr>
              <w:ind w:right="539"/>
              <w:jc w:val="right"/>
              <w:rPr>
                <w:rFonts w:ascii="Arial Narrow" w:hAnsi="Arial Narrow"/>
                <w:b/>
                <w:bCs/>
                <w:color w:val="000000"/>
                <w:sz w:val="16"/>
                <w:szCs w:val="16"/>
              </w:rPr>
            </w:pPr>
            <w:r>
              <w:rPr>
                <w:rFonts w:ascii="Arial Narrow" w:hAnsi="Arial Narrow"/>
                <w:b/>
                <w:bCs/>
                <w:color w:val="000000"/>
                <w:sz w:val="16"/>
                <w:szCs w:val="16"/>
              </w:rPr>
              <w:t>449,2</w:t>
            </w:r>
          </w:p>
        </w:tc>
        <w:tc>
          <w:tcPr>
            <w:tcW w:w="1559" w:type="dxa"/>
            <w:tcBorders>
              <w:top w:val="nil"/>
              <w:bottom w:val="nil"/>
              <w:right w:val="single" w:sz="4" w:space="0" w:color="auto"/>
            </w:tcBorders>
            <w:shd w:val="clear" w:color="000000" w:fill="BFBFBF"/>
            <w:noWrap/>
            <w:vAlign w:val="center"/>
            <w:hideMark/>
          </w:tcPr>
          <w:p w:rsidR="007A608C" w:rsidRDefault="007A608C" w:rsidP="007A608C">
            <w:pPr>
              <w:ind w:right="540"/>
              <w:jc w:val="right"/>
              <w:rPr>
                <w:rFonts w:ascii="Arial Narrow" w:hAnsi="Arial Narrow"/>
                <w:b/>
                <w:bCs/>
                <w:color w:val="000000"/>
                <w:sz w:val="16"/>
                <w:szCs w:val="16"/>
              </w:rPr>
            </w:pPr>
            <w:r>
              <w:rPr>
                <w:rFonts w:ascii="Arial Narrow" w:hAnsi="Arial Narrow"/>
                <w:b/>
                <w:bCs/>
                <w:color w:val="000000"/>
                <w:sz w:val="16"/>
                <w:szCs w:val="16"/>
              </w:rPr>
              <w:t>496,1</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Ανεξάρτητη Αρχή Δημοσίων Εσόδων</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448,0</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494,8</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vAlign w:val="bottom"/>
            <w:hideMark/>
          </w:tcPr>
          <w:p w:rsidR="007A608C" w:rsidRPr="00E51833" w:rsidRDefault="007A608C" w:rsidP="00FD7DBC">
            <w:pPr>
              <w:spacing w:before="40" w:after="40"/>
              <w:rPr>
                <w:rFonts w:ascii="Arial Narrow" w:hAnsi="Arial Narrow"/>
                <w:color w:val="000000"/>
                <w:sz w:val="16"/>
                <w:szCs w:val="16"/>
              </w:rPr>
            </w:pPr>
            <w:r w:rsidRPr="00E51833">
              <w:rPr>
                <w:rFonts w:ascii="Arial Narrow" w:hAnsi="Arial Narrow"/>
                <w:color w:val="000000"/>
                <w:sz w:val="16"/>
                <w:szCs w:val="16"/>
              </w:rPr>
              <w:t>Αρχή Καταπολέμησης της Νομιμοποίησης Εσόδων από Εγκληματικές Δραστηριότητες</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1,2</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1,2</w:t>
            </w:r>
          </w:p>
        </w:tc>
      </w:tr>
      <w:tr w:rsidR="007A608C" w:rsidRPr="00E51833" w:rsidTr="005A5E00">
        <w:trPr>
          <w:trHeight w:val="170"/>
        </w:trPr>
        <w:tc>
          <w:tcPr>
            <w:tcW w:w="369" w:type="dxa"/>
            <w:tcBorders>
              <w:top w:val="nil"/>
              <w:left w:val="single" w:sz="4" w:space="0" w:color="auto"/>
              <w:bottom w:val="nil"/>
            </w:tcBorders>
            <w:shd w:val="clear" w:color="000000" w:fill="BFBFBF"/>
            <w:noWrap/>
            <w:vAlign w:val="center"/>
            <w:hideMark/>
          </w:tcPr>
          <w:p w:rsidR="007A608C" w:rsidRPr="00E51833" w:rsidRDefault="007A608C" w:rsidP="00FD7DBC">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5</w:t>
            </w:r>
          </w:p>
        </w:tc>
        <w:tc>
          <w:tcPr>
            <w:tcW w:w="5585" w:type="dxa"/>
            <w:tcBorders>
              <w:top w:val="nil"/>
              <w:bottom w:val="nil"/>
            </w:tcBorders>
            <w:shd w:val="clear" w:color="000000" w:fill="BFBFBF"/>
            <w:noWrap/>
            <w:vAlign w:val="bottom"/>
            <w:hideMark/>
          </w:tcPr>
          <w:p w:rsidR="007A608C" w:rsidRPr="00E51833" w:rsidRDefault="007A608C" w:rsidP="00FD7DBC">
            <w:pPr>
              <w:spacing w:before="40" w:after="40"/>
              <w:rPr>
                <w:rFonts w:ascii="Arial Narrow" w:hAnsi="Arial Narrow"/>
                <w:b/>
                <w:bCs/>
                <w:color w:val="000000"/>
                <w:sz w:val="16"/>
                <w:szCs w:val="16"/>
              </w:rPr>
            </w:pPr>
            <w:r>
              <w:rPr>
                <w:rFonts w:ascii="Arial Narrow" w:hAnsi="Arial Narrow"/>
                <w:b/>
                <w:bCs/>
                <w:color w:val="000000"/>
                <w:sz w:val="16"/>
                <w:szCs w:val="16"/>
              </w:rPr>
              <w:t>ΥΠΟΥΡΓΕΙΟ ΟΙΚΟΝΟΜΙΑΣ ΚΑΙ</w:t>
            </w:r>
            <w:r w:rsidRPr="00E51833">
              <w:rPr>
                <w:rFonts w:ascii="Arial Narrow" w:hAnsi="Arial Narrow"/>
                <w:b/>
                <w:bCs/>
                <w:color w:val="000000"/>
                <w:sz w:val="16"/>
                <w:szCs w:val="16"/>
              </w:rPr>
              <w:t xml:space="preserve"> ΑΝΑΠΤΥΞΗΣ</w:t>
            </w:r>
          </w:p>
        </w:tc>
        <w:tc>
          <w:tcPr>
            <w:tcW w:w="1701" w:type="dxa"/>
            <w:tcBorders>
              <w:top w:val="nil"/>
              <w:bottom w:val="nil"/>
            </w:tcBorders>
            <w:shd w:val="clear" w:color="000000" w:fill="BFBFBF"/>
            <w:noWrap/>
            <w:vAlign w:val="center"/>
            <w:hideMark/>
          </w:tcPr>
          <w:p w:rsidR="007A608C" w:rsidRDefault="007A608C" w:rsidP="007A608C">
            <w:pPr>
              <w:ind w:right="539"/>
              <w:jc w:val="right"/>
              <w:rPr>
                <w:rFonts w:ascii="Arial Narrow" w:hAnsi="Arial Narrow"/>
                <w:b/>
                <w:bCs/>
                <w:color w:val="000000"/>
                <w:sz w:val="16"/>
                <w:szCs w:val="16"/>
              </w:rPr>
            </w:pPr>
            <w:r>
              <w:rPr>
                <w:rFonts w:ascii="Arial Narrow" w:hAnsi="Arial Narrow"/>
                <w:b/>
                <w:bCs/>
                <w:color w:val="000000"/>
                <w:sz w:val="16"/>
                <w:szCs w:val="16"/>
              </w:rPr>
              <w:t>1,8</w:t>
            </w:r>
          </w:p>
        </w:tc>
        <w:tc>
          <w:tcPr>
            <w:tcW w:w="1559" w:type="dxa"/>
            <w:tcBorders>
              <w:top w:val="nil"/>
              <w:bottom w:val="nil"/>
              <w:right w:val="single" w:sz="4" w:space="0" w:color="auto"/>
            </w:tcBorders>
            <w:shd w:val="clear" w:color="000000" w:fill="BFBFBF"/>
            <w:noWrap/>
            <w:vAlign w:val="center"/>
            <w:hideMark/>
          </w:tcPr>
          <w:p w:rsidR="007A608C" w:rsidRDefault="007A608C" w:rsidP="007A608C">
            <w:pPr>
              <w:ind w:right="540"/>
              <w:jc w:val="right"/>
              <w:rPr>
                <w:rFonts w:ascii="Arial Narrow" w:hAnsi="Arial Narrow"/>
                <w:b/>
                <w:bCs/>
                <w:color w:val="000000"/>
                <w:sz w:val="16"/>
                <w:szCs w:val="16"/>
              </w:rPr>
            </w:pPr>
            <w:r>
              <w:rPr>
                <w:rFonts w:ascii="Arial Narrow" w:hAnsi="Arial Narrow"/>
                <w:b/>
                <w:bCs/>
                <w:color w:val="000000"/>
                <w:sz w:val="16"/>
                <w:szCs w:val="16"/>
              </w:rPr>
              <w:t>1,9</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Συνήγορος του Καταναλωτή</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1,8</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1,9</w:t>
            </w:r>
          </w:p>
        </w:tc>
      </w:tr>
      <w:tr w:rsidR="007A608C" w:rsidRPr="00E51833" w:rsidTr="005A5E00">
        <w:trPr>
          <w:trHeight w:val="170"/>
        </w:trPr>
        <w:tc>
          <w:tcPr>
            <w:tcW w:w="369" w:type="dxa"/>
            <w:tcBorders>
              <w:top w:val="nil"/>
              <w:left w:val="single" w:sz="4" w:space="0" w:color="auto"/>
              <w:bottom w:val="nil"/>
            </w:tcBorders>
            <w:shd w:val="clear" w:color="000000" w:fill="BFBFBF"/>
            <w:noWrap/>
            <w:vAlign w:val="center"/>
            <w:hideMark/>
          </w:tcPr>
          <w:p w:rsidR="007A608C" w:rsidRPr="00E51833" w:rsidRDefault="007A608C" w:rsidP="00FD7DBC">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6</w:t>
            </w:r>
          </w:p>
        </w:tc>
        <w:tc>
          <w:tcPr>
            <w:tcW w:w="5585" w:type="dxa"/>
            <w:tcBorders>
              <w:top w:val="nil"/>
              <w:bottom w:val="nil"/>
            </w:tcBorders>
            <w:shd w:val="clear" w:color="000000" w:fill="BFBFBF"/>
            <w:noWrap/>
            <w:vAlign w:val="bottom"/>
            <w:hideMark/>
          </w:tcPr>
          <w:p w:rsidR="007A608C" w:rsidRPr="00E51833" w:rsidRDefault="007A608C" w:rsidP="00FD7DBC">
            <w:pPr>
              <w:spacing w:before="40" w:after="40"/>
              <w:rPr>
                <w:rFonts w:ascii="Arial Narrow" w:hAnsi="Arial Narrow"/>
                <w:b/>
                <w:bCs/>
                <w:color w:val="000000"/>
                <w:sz w:val="16"/>
                <w:szCs w:val="16"/>
              </w:rPr>
            </w:pPr>
            <w:r>
              <w:rPr>
                <w:rFonts w:ascii="Arial Narrow" w:hAnsi="Arial Narrow"/>
                <w:b/>
                <w:bCs/>
                <w:color w:val="000000"/>
                <w:sz w:val="16"/>
                <w:szCs w:val="16"/>
              </w:rPr>
              <w:t>ΥΠΟΥΡΓΕΙΟ ΥΠΟΔΟΜΩΝ ΚΑΙ</w:t>
            </w:r>
            <w:r w:rsidRPr="00E51833">
              <w:rPr>
                <w:rFonts w:ascii="Arial Narrow" w:hAnsi="Arial Narrow"/>
                <w:b/>
                <w:bCs/>
                <w:color w:val="000000"/>
                <w:sz w:val="16"/>
                <w:szCs w:val="16"/>
              </w:rPr>
              <w:t xml:space="preserve"> ΜΕΤΑΦΟΡΩΝ</w:t>
            </w:r>
          </w:p>
        </w:tc>
        <w:tc>
          <w:tcPr>
            <w:tcW w:w="1701" w:type="dxa"/>
            <w:tcBorders>
              <w:top w:val="nil"/>
              <w:bottom w:val="nil"/>
            </w:tcBorders>
            <w:shd w:val="clear" w:color="000000" w:fill="BFBFBF"/>
            <w:noWrap/>
            <w:vAlign w:val="center"/>
            <w:hideMark/>
          </w:tcPr>
          <w:p w:rsidR="007A608C" w:rsidRDefault="007A608C" w:rsidP="007A608C">
            <w:pPr>
              <w:ind w:right="539"/>
              <w:jc w:val="right"/>
              <w:rPr>
                <w:rFonts w:ascii="Arial Narrow" w:hAnsi="Arial Narrow"/>
                <w:b/>
                <w:bCs/>
                <w:color w:val="000000"/>
                <w:sz w:val="16"/>
                <w:szCs w:val="16"/>
              </w:rPr>
            </w:pPr>
            <w:r>
              <w:rPr>
                <w:rFonts w:ascii="Arial Narrow" w:hAnsi="Arial Narrow"/>
                <w:b/>
                <w:bCs/>
                <w:color w:val="000000"/>
                <w:sz w:val="16"/>
                <w:szCs w:val="16"/>
              </w:rPr>
              <w:t>1,7</w:t>
            </w:r>
          </w:p>
        </w:tc>
        <w:tc>
          <w:tcPr>
            <w:tcW w:w="1559" w:type="dxa"/>
            <w:tcBorders>
              <w:top w:val="nil"/>
              <w:bottom w:val="nil"/>
              <w:right w:val="single" w:sz="4" w:space="0" w:color="auto"/>
            </w:tcBorders>
            <w:shd w:val="clear" w:color="000000" w:fill="BFBFBF"/>
            <w:noWrap/>
            <w:vAlign w:val="center"/>
            <w:hideMark/>
          </w:tcPr>
          <w:p w:rsidR="007A608C" w:rsidRDefault="007A608C" w:rsidP="007A608C">
            <w:pPr>
              <w:ind w:right="540"/>
              <w:jc w:val="right"/>
              <w:rPr>
                <w:rFonts w:ascii="Arial Narrow" w:hAnsi="Arial Narrow"/>
                <w:b/>
                <w:bCs/>
                <w:color w:val="000000"/>
                <w:sz w:val="16"/>
                <w:szCs w:val="16"/>
              </w:rPr>
            </w:pPr>
            <w:r>
              <w:rPr>
                <w:rFonts w:ascii="Arial Narrow" w:hAnsi="Arial Narrow"/>
                <w:b/>
                <w:bCs/>
                <w:color w:val="000000"/>
                <w:sz w:val="16"/>
                <w:szCs w:val="16"/>
              </w:rPr>
              <w:t>1,7</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Επιτροπή Διερεύνησης Ατυχημάτων και Ασφάλειας Πτήσεων</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0,7</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0,7</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Επιτροπή Διερεύνησης Σιδηροδρομικών Ατυχημάτων και Συμβάντων</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0,1</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0,0</w:t>
            </w:r>
          </w:p>
        </w:tc>
      </w:tr>
      <w:tr w:rsidR="007A608C" w:rsidRPr="00E51833" w:rsidTr="005A5E00">
        <w:trPr>
          <w:trHeight w:val="170"/>
        </w:trPr>
        <w:tc>
          <w:tcPr>
            <w:tcW w:w="369" w:type="dxa"/>
            <w:tcBorders>
              <w:top w:val="nil"/>
              <w:left w:val="single" w:sz="4" w:space="0" w:color="auto"/>
              <w:bottom w:val="nil"/>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γ</w:t>
            </w:r>
          </w:p>
        </w:tc>
        <w:tc>
          <w:tcPr>
            <w:tcW w:w="5585" w:type="dxa"/>
            <w:tcBorders>
              <w:top w:val="nil"/>
              <w:bottom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Ρυθμιστική Αρχή Σιδηροδρόμων</w:t>
            </w:r>
          </w:p>
        </w:tc>
        <w:tc>
          <w:tcPr>
            <w:tcW w:w="1701" w:type="dxa"/>
            <w:tcBorders>
              <w:top w:val="nil"/>
              <w:bottom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0,9</w:t>
            </w:r>
          </w:p>
        </w:tc>
        <w:tc>
          <w:tcPr>
            <w:tcW w:w="1559" w:type="dxa"/>
            <w:tcBorders>
              <w:top w:val="nil"/>
              <w:bottom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1,0</w:t>
            </w:r>
          </w:p>
        </w:tc>
      </w:tr>
      <w:tr w:rsidR="007A608C" w:rsidRPr="00E51833" w:rsidTr="005A5E00">
        <w:trPr>
          <w:trHeight w:val="170"/>
        </w:trPr>
        <w:tc>
          <w:tcPr>
            <w:tcW w:w="369" w:type="dxa"/>
            <w:tcBorders>
              <w:top w:val="nil"/>
              <w:left w:val="single" w:sz="4" w:space="0" w:color="auto"/>
            </w:tcBorders>
            <w:shd w:val="clear" w:color="000000" w:fill="BFBFBF"/>
            <w:noWrap/>
            <w:vAlign w:val="center"/>
            <w:hideMark/>
          </w:tcPr>
          <w:p w:rsidR="007A608C" w:rsidRPr="00E51833" w:rsidRDefault="007A608C" w:rsidP="00FD7DBC">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7</w:t>
            </w:r>
          </w:p>
        </w:tc>
        <w:tc>
          <w:tcPr>
            <w:tcW w:w="5585" w:type="dxa"/>
            <w:tcBorders>
              <w:top w:val="nil"/>
            </w:tcBorders>
            <w:shd w:val="clear" w:color="000000" w:fill="BFBFBF"/>
            <w:vAlign w:val="bottom"/>
            <w:hideMark/>
          </w:tcPr>
          <w:p w:rsidR="007A608C" w:rsidRPr="00E51833" w:rsidRDefault="007A608C" w:rsidP="00FD7DBC">
            <w:pPr>
              <w:spacing w:before="40" w:after="40"/>
              <w:rPr>
                <w:rFonts w:ascii="Arial Narrow" w:hAnsi="Arial Narrow"/>
                <w:b/>
                <w:bCs/>
                <w:color w:val="000000"/>
                <w:sz w:val="16"/>
                <w:szCs w:val="16"/>
              </w:rPr>
            </w:pPr>
            <w:r w:rsidRPr="00E51833">
              <w:rPr>
                <w:rFonts w:ascii="Arial Narrow" w:hAnsi="Arial Narrow"/>
                <w:b/>
                <w:bCs/>
                <w:color w:val="000000"/>
                <w:sz w:val="16"/>
                <w:szCs w:val="16"/>
              </w:rPr>
              <w:t>ΥΠΟΥΡΓΕΙΟ ΨΗΦΙΑ</w:t>
            </w:r>
            <w:r>
              <w:rPr>
                <w:rFonts w:ascii="Arial Narrow" w:hAnsi="Arial Narrow"/>
                <w:b/>
                <w:bCs/>
                <w:color w:val="000000"/>
                <w:sz w:val="16"/>
                <w:szCs w:val="16"/>
              </w:rPr>
              <w:t>ΚΗΣ ΠΟΛΙΤΙΚΗΣ, ΤΗΛΕΠΙΚΟΙΝΩΝΙΩΝ ΚΑΙ</w:t>
            </w:r>
            <w:r w:rsidRPr="00E51833">
              <w:rPr>
                <w:rFonts w:ascii="Arial Narrow" w:hAnsi="Arial Narrow"/>
                <w:b/>
                <w:bCs/>
                <w:color w:val="000000"/>
                <w:sz w:val="16"/>
                <w:szCs w:val="16"/>
              </w:rPr>
              <w:t xml:space="preserve"> ΕΝΗΜΕΡΩΣΗΣ</w:t>
            </w:r>
          </w:p>
        </w:tc>
        <w:tc>
          <w:tcPr>
            <w:tcW w:w="1701" w:type="dxa"/>
            <w:tcBorders>
              <w:top w:val="nil"/>
              <w:bottom w:val="nil"/>
            </w:tcBorders>
            <w:shd w:val="clear" w:color="000000" w:fill="BFBFBF"/>
            <w:noWrap/>
            <w:vAlign w:val="center"/>
            <w:hideMark/>
          </w:tcPr>
          <w:p w:rsidR="007A608C" w:rsidRDefault="007A608C" w:rsidP="007A608C">
            <w:pPr>
              <w:ind w:right="539"/>
              <w:jc w:val="right"/>
              <w:rPr>
                <w:rFonts w:ascii="Arial Narrow" w:hAnsi="Arial Narrow"/>
                <w:b/>
                <w:bCs/>
                <w:color w:val="000000"/>
                <w:sz w:val="16"/>
                <w:szCs w:val="16"/>
              </w:rPr>
            </w:pPr>
            <w:r>
              <w:rPr>
                <w:rFonts w:ascii="Arial Narrow" w:hAnsi="Arial Narrow"/>
                <w:b/>
                <w:bCs/>
                <w:color w:val="000000"/>
                <w:sz w:val="16"/>
                <w:szCs w:val="16"/>
              </w:rPr>
              <w:t>2,1</w:t>
            </w:r>
          </w:p>
        </w:tc>
        <w:tc>
          <w:tcPr>
            <w:tcW w:w="1559" w:type="dxa"/>
            <w:tcBorders>
              <w:top w:val="nil"/>
              <w:bottom w:val="nil"/>
              <w:right w:val="single" w:sz="4" w:space="0" w:color="auto"/>
            </w:tcBorders>
            <w:shd w:val="clear" w:color="000000" w:fill="BFBFBF"/>
            <w:noWrap/>
            <w:vAlign w:val="center"/>
            <w:hideMark/>
          </w:tcPr>
          <w:p w:rsidR="007A608C" w:rsidRDefault="007A608C" w:rsidP="007A608C">
            <w:pPr>
              <w:ind w:right="540"/>
              <w:jc w:val="right"/>
              <w:rPr>
                <w:rFonts w:ascii="Arial Narrow" w:hAnsi="Arial Narrow"/>
                <w:b/>
                <w:bCs/>
                <w:color w:val="000000"/>
                <w:sz w:val="16"/>
                <w:szCs w:val="16"/>
              </w:rPr>
            </w:pPr>
            <w:r>
              <w:rPr>
                <w:rFonts w:ascii="Arial Narrow" w:hAnsi="Arial Narrow"/>
                <w:b/>
                <w:bCs/>
                <w:color w:val="000000"/>
                <w:sz w:val="16"/>
                <w:szCs w:val="16"/>
              </w:rPr>
              <w:t>2,0</w:t>
            </w:r>
          </w:p>
        </w:tc>
      </w:tr>
      <w:tr w:rsidR="007A608C" w:rsidRPr="00E51833" w:rsidTr="005A5E00">
        <w:trPr>
          <w:trHeight w:val="170"/>
        </w:trPr>
        <w:tc>
          <w:tcPr>
            <w:tcW w:w="369" w:type="dxa"/>
            <w:tcBorders>
              <w:top w:val="nil"/>
              <w:left w:val="single" w:sz="4" w:space="0" w:color="auto"/>
            </w:tcBorders>
            <w:shd w:val="clear" w:color="auto" w:fill="auto"/>
            <w:noWrap/>
            <w:vAlign w:val="center"/>
            <w:hideMark/>
          </w:tcPr>
          <w:p w:rsidR="007A608C" w:rsidRPr="00E51833" w:rsidRDefault="007A608C" w:rsidP="00FD7DBC">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tcBorders>
            <w:shd w:val="clear" w:color="auto" w:fill="auto"/>
            <w:noWrap/>
            <w:hideMark/>
          </w:tcPr>
          <w:p w:rsidR="007A608C" w:rsidRPr="00E51833" w:rsidRDefault="007A608C" w:rsidP="00FD7DBC">
            <w:pPr>
              <w:spacing w:before="40" w:after="40"/>
              <w:rPr>
                <w:rFonts w:ascii="Arial Narrow" w:hAnsi="Arial Narrow"/>
                <w:sz w:val="16"/>
                <w:szCs w:val="16"/>
              </w:rPr>
            </w:pPr>
            <w:r w:rsidRPr="00E51833">
              <w:rPr>
                <w:rFonts w:ascii="Arial Narrow" w:hAnsi="Arial Narrow"/>
                <w:sz w:val="16"/>
                <w:szCs w:val="16"/>
              </w:rPr>
              <w:t>Εθνικό Συμβούλιο Ραδιοτηλεόρασης</w:t>
            </w:r>
          </w:p>
        </w:tc>
        <w:tc>
          <w:tcPr>
            <w:tcW w:w="1701" w:type="dxa"/>
            <w:tcBorders>
              <w:top w:val="nil"/>
            </w:tcBorders>
            <w:shd w:val="clear" w:color="auto" w:fill="auto"/>
            <w:noWrap/>
            <w:vAlign w:val="center"/>
            <w:hideMark/>
          </w:tcPr>
          <w:p w:rsidR="007A608C" w:rsidRDefault="007A608C" w:rsidP="007A608C">
            <w:pPr>
              <w:ind w:right="539"/>
              <w:jc w:val="right"/>
              <w:rPr>
                <w:rFonts w:ascii="Arial Narrow" w:hAnsi="Arial Narrow"/>
                <w:color w:val="000000"/>
                <w:sz w:val="16"/>
                <w:szCs w:val="16"/>
              </w:rPr>
            </w:pPr>
            <w:r>
              <w:rPr>
                <w:rFonts w:ascii="Arial Narrow" w:hAnsi="Arial Narrow"/>
                <w:color w:val="000000"/>
                <w:sz w:val="16"/>
                <w:szCs w:val="16"/>
              </w:rPr>
              <w:t>2,1</w:t>
            </w:r>
          </w:p>
        </w:tc>
        <w:tc>
          <w:tcPr>
            <w:tcW w:w="1559" w:type="dxa"/>
            <w:tcBorders>
              <w:top w:val="nil"/>
              <w:right w:val="single" w:sz="4" w:space="0" w:color="auto"/>
            </w:tcBorders>
            <w:shd w:val="clear" w:color="auto" w:fill="auto"/>
            <w:noWrap/>
            <w:vAlign w:val="center"/>
            <w:hideMark/>
          </w:tcPr>
          <w:p w:rsidR="007A608C" w:rsidRDefault="007A608C" w:rsidP="007A608C">
            <w:pPr>
              <w:ind w:right="540"/>
              <w:jc w:val="right"/>
              <w:rPr>
                <w:rFonts w:ascii="Arial Narrow" w:hAnsi="Arial Narrow"/>
                <w:color w:val="000000"/>
                <w:sz w:val="16"/>
                <w:szCs w:val="16"/>
              </w:rPr>
            </w:pPr>
            <w:r>
              <w:rPr>
                <w:rFonts w:ascii="Arial Narrow" w:hAnsi="Arial Narrow"/>
                <w:color w:val="000000"/>
                <w:sz w:val="16"/>
                <w:szCs w:val="16"/>
              </w:rPr>
              <w:t>2,0</w:t>
            </w:r>
          </w:p>
        </w:tc>
      </w:tr>
      <w:tr w:rsidR="007A608C" w:rsidRPr="00E51833" w:rsidTr="005A5E00">
        <w:trPr>
          <w:trHeight w:val="170"/>
        </w:trPr>
        <w:tc>
          <w:tcPr>
            <w:tcW w:w="369" w:type="dxa"/>
            <w:tcBorders>
              <w:left w:val="single" w:sz="4" w:space="0" w:color="auto"/>
              <w:bottom w:val="single" w:sz="4" w:space="0" w:color="auto"/>
            </w:tcBorders>
            <w:shd w:val="clear" w:color="000000" w:fill="BFBFBF"/>
            <w:noWrap/>
            <w:vAlign w:val="center"/>
            <w:hideMark/>
          </w:tcPr>
          <w:p w:rsidR="007A608C" w:rsidRPr="00E51833" w:rsidRDefault="007A608C" w:rsidP="00FD7DBC">
            <w:pPr>
              <w:tabs>
                <w:tab w:val="left" w:pos="325"/>
              </w:tabs>
              <w:spacing w:before="40" w:after="40"/>
              <w:rPr>
                <w:rFonts w:ascii="Arial Narrow" w:hAnsi="Arial Narrow"/>
                <w:b/>
                <w:bCs/>
                <w:color w:val="000000"/>
                <w:sz w:val="16"/>
                <w:szCs w:val="16"/>
              </w:rPr>
            </w:pPr>
          </w:p>
        </w:tc>
        <w:tc>
          <w:tcPr>
            <w:tcW w:w="5585" w:type="dxa"/>
            <w:tcBorders>
              <w:bottom w:val="single" w:sz="4" w:space="0" w:color="auto"/>
            </w:tcBorders>
            <w:shd w:val="clear" w:color="000000" w:fill="BFBFBF"/>
            <w:vAlign w:val="center"/>
          </w:tcPr>
          <w:p w:rsidR="007A608C" w:rsidRPr="00E51833" w:rsidRDefault="007A608C" w:rsidP="00475553">
            <w:pPr>
              <w:tabs>
                <w:tab w:val="left" w:pos="325"/>
              </w:tabs>
              <w:spacing w:before="40" w:after="40"/>
              <w:ind w:left="32"/>
              <w:rPr>
                <w:rFonts w:ascii="Arial Narrow" w:hAnsi="Arial Narrow"/>
                <w:b/>
                <w:bCs/>
                <w:color w:val="000000"/>
                <w:sz w:val="16"/>
                <w:szCs w:val="16"/>
              </w:rPr>
            </w:pPr>
            <w:r w:rsidRPr="00E51833">
              <w:rPr>
                <w:rFonts w:ascii="Arial Narrow" w:hAnsi="Arial Narrow"/>
                <w:b/>
                <w:bCs/>
                <w:color w:val="000000"/>
                <w:sz w:val="16"/>
                <w:szCs w:val="16"/>
              </w:rPr>
              <w:t xml:space="preserve">ΣΥΝΟΛΟ </w:t>
            </w:r>
          </w:p>
        </w:tc>
        <w:tc>
          <w:tcPr>
            <w:tcW w:w="1701" w:type="dxa"/>
            <w:tcBorders>
              <w:bottom w:val="single" w:sz="4" w:space="0" w:color="auto"/>
            </w:tcBorders>
            <w:shd w:val="clear" w:color="000000" w:fill="BFBFBF"/>
            <w:noWrap/>
            <w:vAlign w:val="center"/>
            <w:hideMark/>
          </w:tcPr>
          <w:p w:rsidR="007A608C" w:rsidRDefault="007A608C" w:rsidP="007A608C">
            <w:pPr>
              <w:ind w:right="539"/>
              <w:jc w:val="right"/>
              <w:rPr>
                <w:rFonts w:ascii="Arial Narrow" w:hAnsi="Arial Narrow"/>
                <w:b/>
                <w:bCs/>
                <w:color w:val="000000"/>
                <w:sz w:val="16"/>
                <w:szCs w:val="16"/>
              </w:rPr>
            </w:pPr>
            <w:r>
              <w:rPr>
                <w:rFonts w:ascii="Arial Narrow" w:hAnsi="Arial Narrow"/>
                <w:b/>
                <w:bCs/>
                <w:color w:val="000000"/>
                <w:sz w:val="16"/>
                <w:szCs w:val="16"/>
              </w:rPr>
              <w:t>475,1</w:t>
            </w:r>
          </w:p>
        </w:tc>
        <w:tc>
          <w:tcPr>
            <w:tcW w:w="1559" w:type="dxa"/>
            <w:tcBorders>
              <w:bottom w:val="single" w:sz="4" w:space="0" w:color="auto"/>
              <w:right w:val="single" w:sz="4" w:space="0" w:color="auto"/>
            </w:tcBorders>
            <w:shd w:val="clear" w:color="000000" w:fill="BFBFBF"/>
            <w:noWrap/>
            <w:vAlign w:val="center"/>
            <w:hideMark/>
          </w:tcPr>
          <w:p w:rsidR="007A608C" w:rsidRDefault="007A608C" w:rsidP="007A608C">
            <w:pPr>
              <w:ind w:right="540"/>
              <w:jc w:val="right"/>
              <w:rPr>
                <w:rFonts w:ascii="Arial Narrow" w:hAnsi="Arial Narrow"/>
                <w:b/>
                <w:bCs/>
                <w:color w:val="000000"/>
                <w:sz w:val="16"/>
                <w:szCs w:val="16"/>
              </w:rPr>
            </w:pPr>
            <w:r>
              <w:rPr>
                <w:rFonts w:ascii="Arial Narrow" w:hAnsi="Arial Narrow"/>
                <w:b/>
                <w:bCs/>
                <w:color w:val="000000"/>
                <w:sz w:val="16"/>
                <w:szCs w:val="16"/>
              </w:rPr>
              <w:t>517,1</w:t>
            </w:r>
          </w:p>
        </w:tc>
      </w:tr>
    </w:tbl>
    <w:p w:rsidR="00FD7DBC" w:rsidRPr="00E51833" w:rsidRDefault="00FD7DBC" w:rsidP="007A608C">
      <w:pPr>
        <w:tabs>
          <w:tab w:val="left" w:pos="851"/>
        </w:tabs>
        <w:ind w:left="851" w:right="140" w:hanging="709"/>
        <w:jc w:val="both"/>
        <w:rPr>
          <w:rFonts w:ascii="Arial Narrow" w:hAnsi="Arial Narrow"/>
          <w:color w:val="000000"/>
          <w:sz w:val="16"/>
          <w:szCs w:val="16"/>
        </w:rPr>
      </w:pPr>
      <w:r w:rsidRPr="00E51833">
        <w:rPr>
          <w:rFonts w:ascii="Arial Narrow" w:hAnsi="Arial Narrow"/>
          <w:color w:val="000000"/>
          <w:sz w:val="16"/>
          <w:szCs w:val="16"/>
        </w:rPr>
        <w:t>Σημείωση:</w:t>
      </w:r>
      <w:r>
        <w:rPr>
          <w:rFonts w:ascii="Arial Narrow" w:hAnsi="Arial Narrow"/>
          <w:color w:val="000000"/>
          <w:sz w:val="16"/>
          <w:szCs w:val="16"/>
        </w:rPr>
        <w:tab/>
      </w:r>
      <w:r w:rsidRPr="00E51833">
        <w:rPr>
          <w:rFonts w:ascii="Arial Narrow" w:hAnsi="Arial Narrow"/>
          <w:color w:val="000000"/>
          <w:sz w:val="16"/>
          <w:szCs w:val="16"/>
        </w:rPr>
        <w:t>Οι ανωτέρω δαπάνες των ΑΔΑ είναι μέρος των ανωτάτων ορίων τ</w:t>
      </w:r>
      <w:r>
        <w:rPr>
          <w:rFonts w:ascii="Arial Narrow" w:hAnsi="Arial Narrow"/>
          <w:color w:val="000000"/>
          <w:sz w:val="16"/>
          <w:szCs w:val="16"/>
        </w:rPr>
        <w:t>ων δαπανών των Υπουργείων (βλ. π</w:t>
      </w:r>
      <w:r w:rsidRPr="00E51833">
        <w:rPr>
          <w:rFonts w:ascii="Arial Narrow" w:hAnsi="Arial Narrow"/>
          <w:color w:val="000000"/>
          <w:sz w:val="16"/>
          <w:szCs w:val="16"/>
        </w:rPr>
        <w:t xml:space="preserve">ίνακα </w:t>
      </w:r>
      <w:r w:rsidRPr="008E02FA">
        <w:rPr>
          <w:rFonts w:ascii="Arial Narrow" w:hAnsi="Arial Narrow"/>
          <w:color w:val="000000"/>
          <w:sz w:val="16"/>
          <w:szCs w:val="16"/>
        </w:rPr>
        <w:t>3.</w:t>
      </w:r>
      <w:r w:rsidR="008E02FA">
        <w:rPr>
          <w:rFonts w:ascii="Arial Narrow" w:hAnsi="Arial Narrow"/>
          <w:color w:val="000000"/>
          <w:sz w:val="16"/>
          <w:szCs w:val="16"/>
        </w:rPr>
        <w:t>14</w:t>
      </w:r>
      <w:r w:rsidRPr="00E51833">
        <w:rPr>
          <w:rFonts w:ascii="Arial Narrow" w:hAnsi="Arial Narrow"/>
          <w:color w:val="000000"/>
          <w:sz w:val="16"/>
          <w:szCs w:val="16"/>
        </w:rPr>
        <w:t>) και αφορούν δαπάνες Τακτικού Προϋπολογισμού.</w:t>
      </w:r>
    </w:p>
    <w:p w:rsidR="009566E0" w:rsidRDefault="009566E0" w:rsidP="008E1BB1">
      <w:pPr>
        <w:tabs>
          <w:tab w:val="left" w:pos="284"/>
        </w:tabs>
        <w:ind w:left="284" w:hanging="284"/>
        <w:rPr>
          <w:rFonts w:ascii="Arial Narrow" w:hAnsi="Arial Narrow"/>
          <w:sz w:val="16"/>
          <w:szCs w:val="16"/>
        </w:rPr>
      </w:pPr>
    </w:p>
    <w:p w:rsidR="00465D7D" w:rsidRPr="008E1BB1" w:rsidRDefault="00465D7D" w:rsidP="008E1BB1">
      <w:pPr>
        <w:tabs>
          <w:tab w:val="left" w:pos="284"/>
        </w:tabs>
        <w:ind w:left="284" w:hanging="284"/>
        <w:rPr>
          <w:rFonts w:ascii="Arial Narrow" w:hAnsi="Arial Narrow"/>
          <w:sz w:val="16"/>
          <w:szCs w:val="16"/>
        </w:rPr>
      </w:pPr>
    </w:p>
    <w:p w:rsidR="00E6117F" w:rsidRPr="00FD057F" w:rsidRDefault="00E6117F" w:rsidP="00E6117F">
      <w:pPr>
        <w:rPr>
          <w:sz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Διοικητικής Ανασυγκρότησης</w:t>
      </w:r>
    </w:p>
    <w:p w:rsidR="00DA54B4" w:rsidRPr="00253D8E" w:rsidRDefault="00DA54B4" w:rsidP="00DA54B4">
      <w:pPr>
        <w:autoSpaceDE w:val="0"/>
        <w:autoSpaceDN w:val="0"/>
        <w:adjustRightInd w:val="0"/>
        <w:jc w:val="both"/>
        <w:rPr>
          <w:color w:val="000000"/>
          <w:sz w:val="22"/>
          <w:szCs w:val="22"/>
        </w:rPr>
      </w:pPr>
    </w:p>
    <w:p w:rsidR="00DA54B4" w:rsidRDefault="00DA54B4" w:rsidP="00DA54B4">
      <w:pPr>
        <w:autoSpaceDE w:val="0"/>
        <w:autoSpaceDN w:val="0"/>
        <w:adjustRightInd w:val="0"/>
        <w:jc w:val="both"/>
        <w:rPr>
          <w:color w:val="000000"/>
          <w:sz w:val="22"/>
          <w:szCs w:val="22"/>
        </w:rPr>
      </w:pPr>
      <w:r w:rsidRPr="00253D8E">
        <w:rPr>
          <w:color w:val="000000"/>
          <w:sz w:val="22"/>
          <w:szCs w:val="22"/>
        </w:rPr>
        <w:t xml:space="preserve">Οι πιστώσεις του </w:t>
      </w:r>
      <w:r w:rsidR="005C51D7">
        <w:rPr>
          <w:color w:val="000000"/>
          <w:sz w:val="22"/>
          <w:szCs w:val="22"/>
        </w:rPr>
        <w:t xml:space="preserve">τακτικού </w:t>
      </w:r>
      <w:r w:rsidRPr="00253D8E">
        <w:rPr>
          <w:color w:val="000000"/>
          <w:sz w:val="22"/>
          <w:szCs w:val="22"/>
        </w:rPr>
        <w:t>προϋπολογισμού του Υπουργείου, πέραν των λειτουργικών του δαπανών, προβλέπεται να καλύψουν και δαπάνες του Γενικού Επιθεωρητή Δημόσιας Διοίκησης, του Ανωτάτου Συμβουλίου Επιλογής Προσωπικού (ΑΣΕΠ) και του Συνηγόρου του Πολίτη, καθώς και την επιχορ</w:t>
      </w:r>
      <w:r w:rsidRPr="00253D8E">
        <w:rPr>
          <w:color w:val="000000"/>
          <w:sz w:val="22"/>
          <w:szCs w:val="22"/>
        </w:rPr>
        <w:t>ή</w:t>
      </w:r>
      <w:r w:rsidRPr="00253D8E">
        <w:rPr>
          <w:color w:val="000000"/>
          <w:sz w:val="22"/>
          <w:szCs w:val="22"/>
        </w:rPr>
        <w:t>γηση του Εθνικού Κέντρου Δημόσιας Διοίκησης και Αυτοδιοίκησης (ΕΚΔΔΑ).</w:t>
      </w:r>
    </w:p>
    <w:p w:rsidR="00D9145D" w:rsidRDefault="00D9145D" w:rsidP="00D9145D">
      <w:pPr>
        <w:contextualSpacing/>
        <w:jc w:val="both"/>
        <w:rPr>
          <w:bCs/>
          <w:sz w:val="22"/>
          <w:szCs w:val="22"/>
        </w:rPr>
      </w:pPr>
    </w:p>
    <w:p w:rsidR="00D9145D" w:rsidRPr="00571AF0" w:rsidRDefault="00D9145D" w:rsidP="00D9145D">
      <w:pPr>
        <w:contextualSpacing/>
        <w:jc w:val="both"/>
        <w:rPr>
          <w:bCs/>
          <w:sz w:val="22"/>
          <w:szCs w:val="22"/>
        </w:rPr>
      </w:pPr>
      <w:r w:rsidRPr="00571AF0">
        <w:rPr>
          <w:bCs/>
          <w:sz w:val="22"/>
          <w:szCs w:val="22"/>
        </w:rPr>
        <w:t xml:space="preserve">Οι πιστώσεις του προϋπολογισμού δημοσίων επενδύσεων του φορέα χρηματοδοτούν κυρίως δράσεις </w:t>
      </w:r>
      <w:r w:rsidR="005B286A">
        <w:rPr>
          <w:bCs/>
          <w:sz w:val="22"/>
          <w:szCs w:val="22"/>
        </w:rPr>
        <w:t xml:space="preserve">που αφορούν </w:t>
      </w:r>
      <w:r w:rsidRPr="00571AF0">
        <w:rPr>
          <w:bCs/>
          <w:sz w:val="22"/>
          <w:szCs w:val="22"/>
        </w:rPr>
        <w:t>τον τομέα της διοικητικής μεταρρύθμισης</w:t>
      </w:r>
      <w:r w:rsidR="007C090C">
        <w:rPr>
          <w:bCs/>
          <w:sz w:val="22"/>
          <w:szCs w:val="22"/>
        </w:rPr>
        <w:t>, τη βελτίωση της παραγωγικότητας και ποι</w:t>
      </w:r>
      <w:r w:rsidR="007C090C">
        <w:rPr>
          <w:bCs/>
          <w:sz w:val="22"/>
          <w:szCs w:val="22"/>
        </w:rPr>
        <w:t>ό</w:t>
      </w:r>
      <w:r w:rsidR="007C090C">
        <w:rPr>
          <w:bCs/>
          <w:sz w:val="22"/>
          <w:szCs w:val="22"/>
        </w:rPr>
        <w:t>τητας των δημόσιων υπηρεσιών, την ανάπτυξη της ηλεκτρονικής διακυβέρνησης</w:t>
      </w:r>
      <w:r w:rsidRPr="00571AF0">
        <w:rPr>
          <w:bCs/>
          <w:sz w:val="22"/>
          <w:szCs w:val="22"/>
        </w:rPr>
        <w:t xml:space="preserve"> και έργα που χρημ</w:t>
      </w:r>
      <w:r w:rsidRPr="00571AF0">
        <w:rPr>
          <w:bCs/>
          <w:sz w:val="22"/>
          <w:szCs w:val="22"/>
        </w:rPr>
        <w:t>α</w:t>
      </w:r>
      <w:r w:rsidRPr="00571AF0">
        <w:rPr>
          <w:bCs/>
          <w:sz w:val="22"/>
          <w:szCs w:val="22"/>
        </w:rPr>
        <w:t>τοδοτούνται μέσω της ΚτΠ.</w:t>
      </w:r>
    </w:p>
    <w:p w:rsidR="00DA54B4" w:rsidRDefault="00DA54B4" w:rsidP="00DA54B4">
      <w:pPr>
        <w:jc w:val="both"/>
        <w:rPr>
          <w:rFonts w:ascii="Arial Narrow" w:hAnsi="Arial Narrow"/>
          <w:b/>
          <w:i/>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Εσωτερικών</w:t>
      </w:r>
    </w:p>
    <w:p w:rsidR="00DA54B4" w:rsidRPr="00253D8E" w:rsidRDefault="00DA54B4" w:rsidP="00DA54B4">
      <w:pPr>
        <w:rPr>
          <w:sz w:val="22"/>
          <w:szCs w:val="22"/>
        </w:rPr>
      </w:pPr>
    </w:p>
    <w:p w:rsidR="007C090C" w:rsidRDefault="00DA54B4" w:rsidP="00DA54B4">
      <w:pPr>
        <w:autoSpaceDE w:val="0"/>
        <w:autoSpaceDN w:val="0"/>
        <w:adjustRightInd w:val="0"/>
        <w:jc w:val="both"/>
        <w:rPr>
          <w:color w:val="000000"/>
          <w:sz w:val="22"/>
          <w:szCs w:val="22"/>
        </w:rPr>
      </w:pPr>
      <w:r w:rsidRPr="00253D8E">
        <w:rPr>
          <w:color w:val="000000"/>
          <w:sz w:val="22"/>
          <w:szCs w:val="22"/>
        </w:rPr>
        <w:t xml:space="preserve">Οι πιστώσεις του </w:t>
      </w:r>
      <w:r w:rsidR="00D9145D">
        <w:rPr>
          <w:color w:val="000000"/>
          <w:sz w:val="22"/>
          <w:szCs w:val="22"/>
        </w:rPr>
        <w:t xml:space="preserve">τακτικού </w:t>
      </w:r>
      <w:r w:rsidRPr="00253D8E">
        <w:rPr>
          <w:color w:val="000000"/>
          <w:sz w:val="22"/>
          <w:szCs w:val="22"/>
        </w:rPr>
        <w:t xml:space="preserve">προϋπολογισμού, μεταξύ άλλων, </w:t>
      </w:r>
      <w:r>
        <w:rPr>
          <w:color w:val="000000"/>
          <w:sz w:val="22"/>
          <w:szCs w:val="22"/>
        </w:rPr>
        <w:t>προβλέπεται να</w:t>
      </w:r>
      <w:r w:rsidRPr="00253D8E">
        <w:rPr>
          <w:color w:val="000000"/>
          <w:sz w:val="22"/>
          <w:szCs w:val="22"/>
        </w:rPr>
        <w:t xml:space="preserve"> καλύψουν δαπάνες</w:t>
      </w:r>
      <w:r w:rsidR="0068124D">
        <w:rPr>
          <w:color w:val="000000"/>
          <w:sz w:val="22"/>
          <w:szCs w:val="22"/>
        </w:rPr>
        <w:t xml:space="preserve"> </w:t>
      </w:r>
      <w:r w:rsidRPr="00253D8E">
        <w:rPr>
          <w:color w:val="000000"/>
          <w:sz w:val="22"/>
          <w:szCs w:val="22"/>
        </w:rPr>
        <w:t>χρ</w:t>
      </w:r>
      <w:r w:rsidRPr="00253D8E">
        <w:rPr>
          <w:color w:val="000000"/>
          <w:sz w:val="22"/>
          <w:szCs w:val="22"/>
        </w:rPr>
        <w:t>η</w:t>
      </w:r>
      <w:r w:rsidRPr="00253D8E">
        <w:rPr>
          <w:color w:val="000000"/>
          <w:sz w:val="22"/>
          <w:szCs w:val="22"/>
        </w:rPr>
        <w:t>ματοδότηση</w:t>
      </w:r>
      <w:r>
        <w:rPr>
          <w:color w:val="000000"/>
          <w:sz w:val="22"/>
          <w:szCs w:val="22"/>
        </w:rPr>
        <w:t>ς</w:t>
      </w:r>
      <w:r w:rsidRPr="00253D8E">
        <w:rPr>
          <w:color w:val="000000"/>
          <w:sz w:val="22"/>
          <w:szCs w:val="22"/>
        </w:rPr>
        <w:t xml:space="preserve"> των πολιτικών κομμάτων, διεξαγωγή</w:t>
      </w:r>
      <w:r>
        <w:rPr>
          <w:color w:val="000000"/>
          <w:sz w:val="22"/>
          <w:szCs w:val="22"/>
        </w:rPr>
        <w:t>ς των αυτοδιοικητικών</w:t>
      </w:r>
      <w:r w:rsidR="00D81340">
        <w:rPr>
          <w:color w:val="000000"/>
          <w:sz w:val="22"/>
          <w:szCs w:val="22"/>
        </w:rPr>
        <w:t xml:space="preserve"> </w:t>
      </w:r>
      <w:r w:rsidR="00D81340" w:rsidRPr="00253D8E">
        <w:rPr>
          <w:color w:val="000000"/>
          <w:sz w:val="22"/>
          <w:szCs w:val="22"/>
        </w:rPr>
        <w:t>και βουλευτικών εκλογών</w:t>
      </w:r>
      <w:r>
        <w:rPr>
          <w:color w:val="000000"/>
          <w:sz w:val="22"/>
          <w:szCs w:val="22"/>
        </w:rPr>
        <w:t>, ευρω</w:t>
      </w:r>
      <w:r w:rsidRPr="00253D8E">
        <w:rPr>
          <w:color w:val="000000"/>
          <w:sz w:val="22"/>
          <w:szCs w:val="22"/>
        </w:rPr>
        <w:t>εκλογών</w:t>
      </w:r>
      <w:r w:rsidR="00D81340">
        <w:rPr>
          <w:color w:val="000000"/>
          <w:sz w:val="22"/>
          <w:szCs w:val="22"/>
        </w:rPr>
        <w:t>, επιχορήγησης του Κέντρου Ερευνών για Θέματα Ισότητας (ΚΕΘΙ)</w:t>
      </w:r>
      <w:r w:rsidR="007C090C">
        <w:rPr>
          <w:color w:val="000000"/>
          <w:sz w:val="22"/>
          <w:szCs w:val="22"/>
        </w:rPr>
        <w:t>.</w:t>
      </w:r>
    </w:p>
    <w:p w:rsidR="007C090C" w:rsidRDefault="007C090C" w:rsidP="00DA54B4">
      <w:pPr>
        <w:autoSpaceDE w:val="0"/>
        <w:autoSpaceDN w:val="0"/>
        <w:adjustRightInd w:val="0"/>
        <w:jc w:val="both"/>
        <w:rPr>
          <w:color w:val="000000"/>
          <w:sz w:val="22"/>
          <w:szCs w:val="22"/>
        </w:rPr>
      </w:pPr>
    </w:p>
    <w:p w:rsidR="007C090C" w:rsidRPr="00571AF0" w:rsidRDefault="007C090C" w:rsidP="007C090C">
      <w:pPr>
        <w:contextualSpacing/>
        <w:jc w:val="both"/>
        <w:rPr>
          <w:bCs/>
          <w:sz w:val="22"/>
          <w:szCs w:val="22"/>
        </w:rPr>
      </w:pPr>
      <w:r w:rsidRPr="00571AF0">
        <w:rPr>
          <w:bCs/>
          <w:sz w:val="22"/>
          <w:szCs w:val="22"/>
        </w:rPr>
        <w:t>Οι πιστώσεις του προϋπολογισμού δημοσίων επενδύσεων του φορέα χρηματοδοτούν δράσεις για την τοπική αυτοδιοίκηση και τις κοινωνικές της υποδομές (π.χ. Π</w:t>
      </w:r>
      <w:r>
        <w:rPr>
          <w:bCs/>
          <w:sz w:val="22"/>
          <w:szCs w:val="22"/>
        </w:rPr>
        <w:t>ρόγραμμα Φιλόδημος Ι και ΙΙ, κ.ά</w:t>
      </w:r>
      <w:r w:rsidRPr="00571AF0">
        <w:rPr>
          <w:bCs/>
          <w:sz w:val="22"/>
          <w:szCs w:val="22"/>
        </w:rPr>
        <w:t xml:space="preserve">), την </w:t>
      </w:r>
      <w:r w:rsidRPr="00571AF0">
        <w:rPr>
          <w:bCs/>
          <w:sz w:val="22"/>
          <w:szCs w:val="22"/>
        </w:rPr>
        <w:lastRenderedPageBreak/>
        <w:t>πρόληψη και αντιμετώπιση ζημιών/καταστροφών που προκαλούνται από θεομηνίες</w:t>
      </w:r>
      <w:r>
        <w:rPr>
          <w:bCs/>
          <w:sz w:val="22"/>
          <w:szCs w:val="22"/>
        </w:rPr>
        <w:t>,</w:t>
      </w:r>
      <w:r w:rsidRPr="00571AF0">
        <w:rPr>
          <w:bCs/>
          <w:sz w:val="22"/>
          <w:szCs w:val="22"/>
        </w:rPr>
        <w:t xml:space="preserve"> την ενίσχυση της διαπεριφερειακής συνεργασίας, την αναβάθμιση των Κέντρων </w:t>
      </w:r>
      <w:r>
        <w:rPr>
          <w:bCs/>
          <w:sz w:val="22"/>
          <w:szCs w:val="22"/>
        </w:rPr>
        <w:t>Εξυπηρέτησης Πολιτών (ΚΕΠ), κ.λπ.</w:t>
      </w:r>
    </w:p>
    <w:p w:rsidR="004C61EC" w:rsidRDefault="004C61EC" w:rsidP="00DA54B4">
      <w:pPr>
        <w:autoSpaceDE w:val="0"/>
        <w:autoSpaceDN w:val="0"/>
        <w:adjustRightInd w:val="0"/>
        <w:jc w:val="both"/>
        <w:rPr>
          <w:color w:val="000000"/>
          <w:sz w:val="22"/>
          <w:szCs w:val="22"/>
        </w:rPr>
      </w:pPr>
    </w:p>
    <w:p w:rsidR="00DA54B4" w:rsidRPr="00253D8E" w:rsidRDefault="007C090C" w:rsidP="00DA54B4">
      <w:pPr>
        <w:autoSpaceDE w:val="0"/>
        <w:autoSpaceDN w:val="0"/>
        <w:adjustRightInd w:val="0"/>
        <w:jc w:val="both"/>
        <w:rPr>
          <w:color w:val="000000"/>
          <w:sz w:val="22"/>
          <w:szCs w:val="22"/>
        </w:rPr>
      </w:pPr>
      <w:r>
        <w:rPr>
          <w:color w:val="000000"/>
          <w:sz w:val="22"/>
          <w:szCs w:val="22"/>
        </w:rPr>
        <w:t xml:space="preserve">Οι </w:t>
      </w:r>
      <w:r w:rsidR="00DA54B4" w:rsidRPr="00253D8E">
        <w:rPr>
          <w:color w:val="000000"/>
          <w:sz w:val="22"/>
          <w:szCs w:val="22"/>
        </w:rPr>
        <w:t>μεταβ</w:t>
      </w:r>
      <w:r>
        <w:rPr>
          <w:color w:val="000000"/>
          <w:sz w:val="22"/>
          <w:szCs w:val="22"/>
        </w:rPr>
        <w:t xml:space="preserve">ιβάσεις </w:t>
      </w:r>
      <w:r w:rsidR="00DA54B4" w:rsidRPr="00253D8E">
        <w:rPr>
          <w:color w:val="000000"/>
          <w:sz w:val="22"/>
          <w:szCs w:val="22"/>
        </w:rPr>
        <w:t xml:space="preserve"> πόρων για κάλυψη</w:t>
      </w:r>
      <w:r w:rsidR="0068124D">
        <w:rPr>
          <w:color w:val="000000"/>
          <w:sz w:val="22"/>
          <w:szCs w:val="22"/>
        </w:rPr>
        <w:t xml:space="preserve"> </w:t>
      </w:r>
      <w:r w:rsidR="00DA54B4" w:rsidRPr="00253D8E">
        <w:rPr>
          <w:color w:val="000000"/>
          <w:sz w:val="22"/>
          <w:szCs w:val="22"/>
        </w:rPr>
        <w:t>δαπανών της Τοπικής Αυτοδιοίκησης (Δήμοι</w:t>
      </w:r>
      <w:r w:rsidR="00DA54B4">
        <w:rPr>
          <w:color w:val="000000"/>
          <w:sz w:val="22"/>
          <w:szCs w:val="22"/>
        </w:rPr>
        <w:t xml:space="preserve"> </w:t>
      </w:r>
      <w:r w:rsidR="00DA54B4" w:rsidRPr="00253D8E">
        <w:rPr>
          <w:color w:val="000000"/>
          <w:sz w:val="22"/>
          <w:szCs w:val="22"/>
        </w:rPr>
        <w:t>-</w:t>
      </w:r>
      <w:r w:rsidR="00DA54B4">
        <w:rPr>
          <w:color w:val="000000"/>
          <w:sz w:val="22"/>
          <w:szCs w:val="22"/>
        </w:rPr>
        <w:t xml:space="preserve"> </w:t>
      </w:r>
      <w:r w:rsidR="00DA54B4" w:rsidRPr="00253D8E">
        <w:rPr>
          <w:color w:val="000000"/>
          <w:sz w:val="22"/>
          <w:szCs w:val="22"/>
        </w:rPr>
        <w:t xml:space="preserve">Περιφέρειες), </w:t>
      </w:r>
      <w:r>
        <w:rPr>
          <w:color w:val="000000"/>
          <w:sz w:val="22"/>
          <w:szCs w:val="22"/>
        </w:rPr>
        <w:t>α</w:t>
      </w:r>
      <w:r>
        <w:rPr>
          <w:color w:val="000000"/>
          <w:sz w:val="22"/>
          <w:szCs w:val="22"/>
        </w:rPr>
        <w:t>φορούν</w:t>
      </w:r>
      <w:r w:rsidR="00DA54B4" w:rsidRPr="00253D8E">
        <w:rPr>
          <w:color w:val="000000"/>
          <w:sz w:val="22"/>
          <w:szCs w:val="22"/>
        </w:rPr>
        <w:t>:</w:t>
      </w:r>
    </w:p>
    <w:p w:rsidR="00DA54B4" w:rsidRPr="00253D8E" w:rsidRDefault="00DA54B4" w:rsidP="00DA54B4">
      <w:pPr>
        <w:autoSpaceDE w:val="0"/>
        <w:autoSpaceDN w:val="0"/>
        <w:adjustRightInd w:val="0"/>
        <w:jc w:val="both"/>
        <w:rPr>
          <w:color w:val="000000"/>
          <w:sz w:val="22"/>
          <w:szCs w:val="22"/>
        </w:rPr>
      </w:pPr>
    </w:p>
    <w:p w:rsidR="00DA54B4" w:rsidRPr="00253D8E" w:rsidRDefault="00824F1A" w:rsidP="006556BD">
      <w:pPr>
        <w:numPr>
          <w:ilvl w:val="0"/>
          <w:numId w:val="3"/>
        </w:numPr>
        <w:autoSpaceDE w:val="0"/>
        <w:autoSpaceDN w:val="0"/>
        <w:adjustRightInd w:val="0"/>
        <w:ind w:left="284" w:hanging="284"/>
        <w:jc w:val="both"/>
        <w:rPr>
          <w:color w:val="000000"/>
          <w:sz w:val="22"/>
          <w:szCs w:val="22"/>
        </w:rPr>
      </w:pPr>
      <w:r>
        <w:rPr>
          <w:color w:val="000000"/>
          <w:sz w:val="22"/>
          <w:szCs w:val="22"/>
        </w:rPr>
        <w:t>την απόδοση</w:t>
      </w:r>
      <w:r w:rsidR="00DA54B4" w:rsidRPr="00253D8E">
        <w:rPr>
          <w:color w:val="000000"/>
          <w:sz w:val="22"/>
          <w:szCs w:val="22"/>
        </w:rPr>
        <w:t xml:space="preserve"> των Κεντρικών Αυτοτελών Πόρων (ΚΑΠ),</w:t>
      </w:r>
    </w:p>
    <w:p w:rsidR="00DA54B4" w:rsidRDefault="00824F1A" w:rsidP="006556BD">
      <w:pPr>
        <w:numPr>
          <w:ilvl w:val="0"/>
          <w:numId w:val="3"/>
        </w:numPr>
        <w:autoSpaceDE w:val="0"/>
        <w:autoSpaceDN w:val="0"/>
        <w:adjustRightInd w:val="0"/>
        <w:ind w:left="284" w:hanging="284"/>
        <w:jc w:val="both"/>
        <w:rPr>
          <w:color w:val="000000"/>
          <w:sz w:val="22"/>
          <w:szCs w:val="22"/>
        </w:rPr>
      </w:pPr>
      <w:r>
        <w:rPr>
          <w:color w:val="000000"/>
          <w:sz w:val="22"/>
          <w:szCs w:val="22"/>
        </w:rPr>
        <w:t>την ειδική</w:t>
      </w:r>
      <w:r w:rsidR="00DA54B4" w:rsidRPr="00253D8E">
        <w:rPr>
          <w:color w:val="000000"/>
          <w:sz w:val="22"/>
          <w:szCs w:val="22"/>
        </w:rPr>
        <w:t xml:space="preserve"> επιχορήγηση ενίσχυσης των ΟΤΑ </w:t>
      </w:r>
      <w:r w:rsidR="000F5A38">
        <w:rPr>
          <w:color w:val="000000"/>
          <w:sz w:val="22"/>
          <w:szCs w:val="22"/>
        </w:rPr>
        <w:t xml:space="preserve">α’ βαθμού </w:t>
      </w:r>
      <w:r w:rsidR="00DA54B4" w:rsidRPr="00253D8E">
        <w:rPr>
          <w:color w:val="000000"/>
          <w:sz w:val="22"/>
          <w:szCs w:val="22"/>
        </w:rPr>
        <w:t>για την κάλυψη μισθοδοσίας δημοτικών αστυνομι</w:t>
      </w:r>
      <w:r w:rsidR="000F5A38">
        <w:rPr>
          <w:color w:val="000000"/>
          <w:sz w:val="22"/>
          <w:szCs w:val="22"/>
        </w:rPr>
        <w:t>κών,</w:t>
      </w:r>
    </w:p>
    <w:p w:rsidR="000F5A38" w:rsidRDefault="000F5A38" w:rsidP="006556BD">
      <w:pPr>
        <w:numPr>
          <w:ilvl w:val="0"/>
          <w:numId w:val="3"/>
        </w:numPr>
        <w:autoSpaceDE w:val="0"/>
        <w:autoSpaceDN w:val="0"/>
        <w:adjustRightInd w:val="0"/>
        <w:ind w:left="284" w:hanging="284"/>
        <w:jc w:val="both"/>
        <w:rPr>
          <w:color w:val="000000"/>
          <w:sz w:val="22"/>
          <w:szCs w:val="22"/>
        </w:rPr>
      </w:pPr>
      <w:r>
        <w:rPr>
          <w:color w:val="000000"/>
          <w:sz w:val="22"/>
          <w:szCs w:val="22"/>
        </w:rPr>
        <w:t>τις λοιπές επιχορηγήσεις σε ΟΤΑ α’ και β’ βαθμού,</w:t>
      </w:r>
    </w:p>
    <w:p w:rsidR="000F5A38" w:rsidRDefault="000F5A38" w:rsidP="006556BD">
      <w:pPr>
        <w:numPr>
          <w:ilvl w:val="0"/>
          <w:numId w:val="3"/>
        </w:numPr>
        <w:autoSpaceDE w:val="0"/>
        <w:autoSpaceDN w:val="0"/>
        <w:adjustRightInd w:val="0"/>
        <w:ind w:left="284" w:hanging="284"/>
        <w:jc w:val="both"/>
        <w:rPr>
          <w:color w:val="000000"/>
          <w:sz w:val="22"/>
          <w:szCs w:val="22"/>
        </w:rPr>
      </w:pPr>
      <w:r>
        <w:rPr>
          <w:color w:val="000000"/>
          <w:sz w:val="22"/>
          <w:szCs w:val="22"/>
        </w:rPr>
        <w:t>τις λοιπές αποδόσεις σε ΟΤΑ α’ βαθμού.</w:t>
      </w:r>
    </w:p>
    <w:p w:rsidR="00824F1A" w:rsidRDefault="00824F1A" w:rsidP="00824F1A">
      <w:pPr>
        <w:autoSpaceDE w:val="0"/>
        <w:autoSpaceDN w:val="0"/>
        <w:adjustRightInd w:val="0"/>
        <w:jc w:val="both"/>
        <w:rPr>
          <w:color w:val="000000"/>
          <w:sz w:val="22"/>
          <w:szCs w:val="22"/>
        </w:rPr>
      </w:pPr>
    </w:p>
    <w:p w:rsidR="00824F1A" w:rsidRPr="00253D8E" w:rsidRDefault="00824F1A" w:rsidP="00824F1A">
      <w:pPr>
        <w:autoSpaceDE w:val="0"/>
        <w:autoSpaceDN w:val="0"/>
        <w:adjustRightInd w:val="0"/>
        <w:jc w:val="both"/>
        <w:rPr>
          <w:color w:val="000000"/>
          <w:sz w:val="22"/>
          <w:szCs w:val="22"/>
        </w:rPr>
      </w:pPr>
      <w:r>
        <w:rPr>
          <w:color w:val="000000"/>
          <w:sz w:val="22"/>
          <w:szCs w:val="22"/>
        </w:rPr>
        <w:t>Ειδικότερα:</w:t>
      </w:r>
    </w:p>
    <w:p w:rsidR="00432E4D" w:rsidRDefault="00432E4D" w:rsidP="00DA54B4">
      <w:pPr>
        <w:autoSpaceDE w:val="0"/>
        <w:autoSpaceDN w:val="0"/>
        <w:adjustRightInd w:val="0"/>
        <w:jc w:val="both"/>
        <w:rPr>
          <w:rFonts w:ascii="Arial Narrow" w:hAnsi="Arial Narrow"/>
          <w:b/>
        </w:rPr>
      </w:pPr>
    </w:p>
    <w:p w:rsidR="00181B2F" w:rsidRPr="00181B2F" w:rsidRDefault="00181B2F" w:rsidP="00181B2F">
      <w:pPr>
        <w:jc w:val="both"/>
        <w:rPr>
          <w:rFonts w:ascii="Arial Narrow" w:hAnsi="Arial Narrow"/>
          <w:b/>
          <w:bCs/>
          <w:sz w:val="20"/>
          <w:szCs w:val="22"/>
        </w:rPr>
      </w:pPr>
      <w:r w:rsidRPr="00181B2F">
        <w:rPr>
          <w:rFonts w:ascii="Arial Narrow" w:hAnsi="Arial Narrow"/>
          <w:b/>
          <w:bCs/>
          <w:sz w:val="20"/>
          <w:szCs w:val="22"/>
        </w:rPr>
        <w:t>Κεντρικοί Αυτοτελείς Πόροι (ΚΑΠ) και μεταβιβάσεις στους ΟΤΑ α’ και β’ βαθμού</w:t>
      </w:r>
    </w:p>
    <w:p w:rsidR="00181B2F" w:rsidRDefault="00181B2F" w:rsidP="00181B2F">
      <w:pPr>
        <w:jc w:val="both"/>
        <w:rPr>
          <w:bCs/>
          <w:sz w:val="22"/>
          <w:szCs w:val="22"/>
        </w:rPr>
      </w:pPr>
    </w:p>
    <w:p w:rsidR="00181B2F" w:rsidRDefault="00181B2F" w:rsidP="00181B2F">
      <w:pPr>
        <w:jc w:val="both"/>
        <w:rPr>
          <w:bCs/>
          <w:sz w:val="22"/>
          <w:szCs w:val="22"/>
        </w:rPr>
      </w:pPr>
      <w:r w:rsidRPr="00A11BA3">
        <w:rPr>
          <w:bCs/>
          <w:sz w:val="22"/>
          <w:szCs w:val="22"/>
        </w:rPr>
        <w:t>Η βασικότερη πηγή εσόδων των ΟΤΑ α’ και β’ βαθμού είναι οι Κεντρικοί Αυτοτελείς Πόροι (ΚΑΠ). Οι ΚΑΠ αποδίδονται μέσω του Τακτικού Προϋπολογισμού του Υπουργείου Εσωτερικών και προσδ</w:t>
      </w:r>
      <w:r w:rsidRPr="00A11BA3">
        <w:rPr>
          <w:bCs/>
          <w:sz w:val="22"/>
          <w:szCs w:val="22"/>
        </w:rPr>
        <w:t>ι</w:t>
      </w:r>
      <w:r w:rsidRPr="00A11BA3">
        <w:rPr>
          <w:bCs/>
          <w:sz w:val="22"/>
          <w:szCs w:val="22"/>
        </w:rPr>
        <w:t>ορίζονται βάσει σχετικών διατάξεων με σκοπό την κάλυψη λειτουργικών και επενδυτικών δαπανών τους.</w:t>
      </w:r>
      <w:r>
        <w:rPr>
          <w:bCs/>
          <w:sz w:val="22"/>
          <w:szCs w:val="22"/>
        </w:rPr>
        <w:t xml:space="preserve"> Οι ΟΤΑ α’ βαθμού λαμβάνουν περαιτέρω ειδική επιχορήγηση για την κάλυψη συγκεκριμένων, εξειδικευμένων δαπανών και επιχορήγηση για</w:t>
      </w:r>
      <w:r w:rsidRPr="007A3383">
        <w:rPr>
          <w:rFonts w:ascii="Tahoma" w:hAnsi="Tahoma" w:cs="Tahoma"/>
        </w:rPr>
        <w:t xml:space="preserve"> </w:t>
      </w:r>
      <w:r w:rsidRPr="008C280C">
        <w:rPr>
          <w:sz w:val="22"/>
          <w:szCs w:val="22"/>
        </w:rPr>
        <w:t>την</w:t>
      </w:r>
      <w:r>
        <w:rPr>
          <w:rFonts w:ascii="Tahoma" w:hAnsi="Tahoma" w:cs="Tahoma"/>
        </w:rPr>
        <w:t xml:space="preserve"> </w:t>
      </w:r>
      <w:r>
        <w:rPr>
          <w:sz w:val="22"/>
          <w:szCs w:val="22"/>
        </w:rPr>
        <w:t>οικονομική</w:t>
      </w:r>
      <w:r w:rsidRPr="008C280C">
        <w:rPr>
          <w:sz w:val="22"/>
          <w:szCs w:val="22"/>
        </w:rPr>
        <w:t xml:space="preserve"> </w:t>
      </w:r>
      <w:r>
        <w:rPr>
          <w:sz w:val="22"/>
          <w:szCs w:val="22"/>
        </w:rPr>
        <w:t>ενίσχυση όσων</w:t>
      </w:r>
      <w:r w:rsidRPr="008C280C">
        <w:rPr>
          <w:sz w:val="22"/>
          <w:szCs w:val="22"/>
        </w:rPr>
        <w:t xml:space="preserve"> περιέρχονται σε κ</w:t>
      </w:r>
      <w:r w:rsidRPr="008C280C">
        <w:rPr>
          <w:sz w:val="22"/>
          <w:szCs w:val="22"/>
        </w:rPr>
        <w:t>α</w:t>
      </w:r>
      <w:r w:rsidRPr="008C280C">
        <w:rPr>
          <w:sz w:val="22"/>
          <w:szCs w:val="22"/>
        </w:rPr>
        <w:t>τάσταση ανάγκης συνεπεία θεομηνίας και λοιπών φυσικών καταστροφών</w:t>
      </w:r>
      <w:r>
        <w:rPr>
          <w:bCs/>
          <w:sz w:val="22"/>
          <w:szCs w:val="22"/>
        </w:rPr>
        <w:t>.</w:t>
      </w:r>
      <w:r w:rsidRPr="00385227">
        <w:rPr>
          <w:bCs/>
          <w:sz w:val="22"/>
          <w:szCs w:val="22"/>
        </w:rPr>
        <w:t xml:space="preserve"> </w:t>
      </w:r>
      <w:r>
        <w:rPr>
          <w:bCs/>
          <w:sz w:val="22"/>
          <w:szCs w:val="22"/>
        </w:rPr>
        <w:t>Άλλη πηγή εσόδων των ΟΤΑ α’ βαθμού αποτελούν οι λοιπές αποδόσεις.</w:t>
      </w:r>
    </w:p>
    <w:p w:rsidR="000F5A38" w:rsidRPr="008C280C" w:rsidRDefault="000F5A38" w:rsidP="00181B2F">
      <w:pPr>
        <w:jc w:val="both"/>
        <w:rPr>
          <w:bCs/>
          <w:sz w:val="22"/>
          <w:szCs w:val="22"/>
        </w:rPr>
      </w:pPr>
    </w:p>
    <w:p w:rsidR="00B4549A" w:rsidRDefault="00B4549A" w:rsidP="00181B2F">
      <w:pPr>
        <w:jc w:val="both"/>
        <w:rPr>
          <w:bCs/>
          <w:sz w:val="22"/>
          <w:szCs w:val="22"/>
        </w:rPr>
      </w:pPr>
    </w:p>
    <w:tbl>
      <w:tblPr>
        <w:tblW w:w="0" w:type="auto"/>
        <w:jc w:val="center"/>
        <w:tblInd w:w="-606" w:type="dxa"/>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6019"/>
        <w:gridCol w:w="1213"/>
        <w:gridCol w:w="1276"/>
      </w:tblGrid>
      <w:tr w:rsidR="00181B2F" w:rsidRPr="006B2DB8" w:rsidTr="004353E1">
        <w:trPr>
          <w:cantSplit/>
          <w:jc w:val="center"/>
        </w:trPr>
        <w:tc>
          <w:tcPr>
            <w:tcW w:w="8508" w:type="dxa"/>
            <w:gridSpan w:val="3"/>
            <w:tcBorders>
              <w:top w:val="single" w:sz="6" w:space="0" w:color="auto"/>
              <w:left w:val="single" w:sz="4" w:space="0" w:color="auto"/>
              <w:bottom w:val="nil"/>
              <w:right w:val="single" w:sz="4" w:space="0" w:color="auto"/>
            </w:tcBorders>
            <w:shd w:val="clear" w:color="auto" w:fill="404040" w:themeFill="text1" w:themeFillTint="BF"/>
            <w:vAlign w:val="center"/>
          </w:tcPr>
          <w:p w:rsidR="00181B2F" w:rsidRDefault="000E6ADB" w:rsidP="004353E1">
            <w:pPr>
              <w:spacing w:before="20"/>
              <w:jc w:val="center"/>
              <w:rPr>
                <w:rFonts w:ascii="Arial Narrow" w:hAnsi="Arial Narrow"/>
                <w:b/>
                <w:color w:val="FFFFFF" w:themeColor="background1"/>
              </w:rPr>
            </w:pPr>
            <w:r>
              <w:rPr>
                <w:rFonts w:ascii="Arial Narrow" w:hAnsi="Arial Narrow"/>
                <w:b/>
                <w:color w:val="FFFFFF" w:themeColor="background1"/>
              </w:rPr>
              <w:t>Πίνακας 3</w:t>
            </w:r>
            <w:r w:rsidR="003001C3">
              <w:rPr>
                <w:rFonts w:ascii="Arial Narrow" w:hAnsi="Arial Narrow"/>
                <w:b/>
                <w:color w:val="FFFFFF" w:themeColor="background1"/>
              </w:rPr>
              <w:t>.16</w:t>
            </w:r>
            <w:r w:rsidR="00181B2F" w:rsidRPr="006B2DB8">
              <w:rPr>
                <w:rFonts w:ascii="Arial Narrow" w:hAnsi="Arial Narrow"/>
                <w:b/>
                <w:color w:val="FFFFFF" w:themeColor="background1"/>
              </w:rPr>
              <w:t xml:space="preserve"> </w:t>
            </w:r>
            <w:r w:rsidR="00181B2F">
              <w:rPr>
                <w:rFonts w:ascii="Arial Narrow" w:hAnsi="Arial Narrow"/>
                <w:b/>
                <w:color w:val="FFFFFF" w:themeColor="background1"/>
              </w:rPr>
              <w:t xml:space="preserve">Κεντρικοί Αυτοτελείς Πόροι (ΚΑΠ) των ΟΤΑ α’ και β’ βαθμού, </w:t>
            </w:r>
          </w:p>
          <w:p w:rsidR="00181B2F" w:rsidRPr="006B2DB8" w:rsidRDefault="00181B2F" w:rsidP="004353E1">
            <w:pPr>
              <w:spacing w:before="20"/>
              <w:jc w:val="center"/>
              <w:rPr>
                <w:rFonts w:ascii="Arial Narrow" w:hAnsi="Arial Narrow"/>
                <w:b/>
                <w:color w:val="FFFFFF"/>
              </w:rPr>
            </w:pPr>
            <w:r>
              <w:rPr>
                <w:rFonts w:ascii="Arial Narrow" w:hAnsi="Arial Narrow"/>
                <w:b/>
                <w:color w:val="FFFFFF" w:themeColor="background1"/>
              </w:rPr>
              <w:t xml:space="preserve">ειδική επιχορήγηση Δήμων, λοιπές αποδόσεις σε Δήμους και λοιπές επιχορηγήσεις σε ΟΤΑ α’ και β’ βαθμού </w:t>
            </w:r>
          </w:p>
          <w:p w:rsidR="00181B2F" w:rsidRPr="006B2DB8" w:rsidRDefault="00181B2F" w:rsidP="004353E1">
            <w:pPr>
              <w:spacing w:after="20"/>
              <w:jc w:val="center"/>
              <w:rPr>
                <w:rFonts w:ascii="Arial Narrow" w:hAnsi="Arial Narrow"/>
                <w:b/>
                <w:sz w:val="16"/>
                <w:szCs w:val="16"/>
              </w:rPr>
            </w:pPr>
            <w:r>
              <w:rPr>
                <w:rFonts w:ascii="Arial Narrow" w:hAnsi="Arial Narrow"/>
                <w:b/>
                <w:color w:val="FFFFFF"/>
              </w:rPr>
              <w:t>(</w:t>
            </w:r>
            <w:r w:rsidRPr="006B2DB8">
              <w:rPr>
                <w:rFonts w:ascii="Arial Narrow" w:hAnsi="Arial Narrow"/>
                <w:b/>
                <w:color w:val="FFFFFF"/>
              </w:rPr>
              <w:t>σε εκατ. ευρώ)</w:t>
            </w:r>
          </w:p>
        </w:tc>
      </w:tr>
      <w:tr w:rsidR="00181B2F" w:rsidRPr="009D6AB4" w:rsidTr="004353E1">
        <w:trPr>
          <w:cantSplit/>
          <w:jc w:val="center"/>
        </w:trPr>
        <w:tc>
          <w:tcPr>
            <w:tcW w:w="8508" w:type="dxa"/>
            <w:gridSpan w:val="3"/>
            <w:tcBorders>
              <w:top w:val="nil"/>
              <w:left w:val="single" w:sz="4" w:space="0" w:color="auto"/>
              <w:bottom w:val="single" w:sz="4" w:space="0" w:color="auto"/>
              <w:right w:val="single" w:sz="4" w:space="0" w:color="auto"/>
            </w:tcBorders>
            <w:shd w:val="clear" w:color="auto" w:fill="auto"/>
            <w:vAlign w:val="center"/>
          </w:tcPr>
          <w:p w:rsidR="00181B2F" w:rsidRPr="009D6AB4" w:rsidRDefault="00181B2F" w:rsidP="004353E1">
            <w:pPr>
              <w:jc w:val="center"/>
              <w:rPr>
                <w:rFonts w:ascii="Arial Narrow" w:hAnsi="Arial Narrow"/>
                <w:b/>
                <w:sz w:val="10"/>
                <w:szCs w:val="16"/>
              </w:rPr>
            </w:pPr>
          </w:p>
        </w:tc>
      </w:tr>
      <w:tr w:rsidR="00181B2F" w:rsidRPr="006B2DB8" w:rsidTr="004353E1">
        <w:trPr>
          <w:cantSplit/>
          <w:jc w:val="center"/>
        </w:trPr>
        <w:tc>
          <w:tcPr>
            <w:tcW w:w="6019" w:type="dxa"/>
            <w:vMerge w:val="restart"/>
            <w:tcBorders>
              <w:top w:val="single" w:sz="4" w:space="0" w:color="auto"/>
              <w:left w:val="single" w:sz="4" w:space="0" w:color="auto"/>
              <w:bottom w:val="nil"/>
              <w:right w:val="single" w:sz="4" w:space="0" w:color="auto"/>
            </w:tcBorders>
            <w:shd w:val="clear" w:color="auto" w:fill="auto"/>
            <w:vAlign w:val="center"/>
          </w:tcPr>
          <w:p w:rsidR="00181B2F" w:rsidRPr="006B2DB8" w:rsidRDefault="00181B2F" w:rsidP="004353E1">
            <w:pPr>
              <w:spacing w:before="20" w:after="20"/>
              <w:jc w:val="center"/>
              <w:rPr>
                <w:rFonts w:ascii="Arial Narrow" w:hAnsi="Arial Narrow"/>
                <w:b/>
                <w:sz w:val="16"/>
                <w:szCs w:val="16"/>
              </w:rPr>
            </w:pPr>
            <w:r w:rsidRPr="006B2DB8">
              <w:rPr>
                <w:rFonts w:ascii="Arial Narrow" w:hAnsi="Arial Narrow"/>
                <w:b/>
                <w:sz w:val="16"/>
                <w:szCs w:val="16"/>
              </w:rPr>
              <w:t>Κατηγορία</w:t>
            </w:r>
          </w:p>
        </w:tc>
        <w:tc>
          <w:tcPr>
            <w:tcW w:w="1213" w:type="dxa"/>
            <w:tcBorders>
              <w:top w:val="single" w:sz="4" w:space="0" w:color="auto"/>
              <w:left w:val="nil"/>
              <w:bottom w:val="single" w:sz="4" w:space="0" w:color="auto"/>
              <w:right w:val="nil"/>
            </w:tcBorders>
            <w:shd w:val="clear" w:color="auto" w:fill="auto"/>
          </w:tcPr>
          <w:p w:rsidR="00181B2F" w:rsidRPr="00CB1BDA" w:rsidRDefault="00181B2F" w:rsidP="004353E1">
            <w:pPr>
              <w:spacing w:before="20" w:after="20"/>
              <w:jc w:val="center"/>
              <w:rPr>
                <w:rFonts w:ascii="Arial Narrow" w:hAnsi="Arial Narrow"/>
                <w:b/>
                <w:sz w:val="16"/>
                <w:szCs w:val="16"/>
              </w:rPr>
            </w:pPr>
            <w:r>
              <w:rPr>
                <w:rFonts w:ascii="Arial Narrow" w:hAnsi="Arial Narrow"/>
                <w:b/>
                <w:sz w:val="16"/>
                <w:szCs w:val="16"/>
              </w:rPr>
              <w:t>2018</w:t>
            </w:r>
          </w:p>
        </w:tc>
        <w:tc>
          <w:tcPr>
            <w:tcW w:w="1276" w:type="dxa"/>
            <w:tcBorders>
              <w:top w:val="single" w:sz="4" w:space="0" w:color="auto"/>
              <w:left w:val="nil"/>
              <w:bottom w:val="single" w:sz="4" w:space="0" w:color="auto"/>
              <w:right w:val="single" w:sz="4" w:space="0" w:color="auto"/>
            </w:tcBorders>
            <w:shd w:val="clear" w:color="auto" w:fill="auto"/>
          </w:tcPr>
          <w:p w:rsidR="00181B2F" w:rsidRPr="00CB1BDA" w:rsidRDefault="00181B2F" w:rsidP="004353E1">
            <w:pPr>
              <w:spacing w:before="20" w:after="20"/>
              <w:jc w:val="center"/>
              <w:rPr>
                <w:rFonts w:ascii="Arial Narrow" w:hAnsi="Arial Narrow"/>
                <w:b/>
                <w:sz w:val="16"/>
                <w:szCs w:val="16"/>
              </w:rPr>
            </w:pPr>
            <w:r>
              <w:rPr>
                <w:rFonts w:ascii="Arial Narrow" w:hAnsi="Arial Narrow"/>
                <w:b/>
                <w:sz w:val="16"/>
                <w:szCs w:val="16"/>
              </w:rPr>
              <w:t>2019</w:t>
            </w:r>
          </w:p>
        </w:tc>
      </w:tr>
      <w:tr w:rsidR="00181B2F" w:rsidRPr="006B2DB8" w:rsidTr="004353E1">
        <w:trPr>
          <w:cantSplit/>
          <w:jc w:val="center"/>
        </w:trPr>
        <w:tc>
          <w:tcPr>
            <w:tcW w:w="6019" w:type="dxa"/>
            <w:vMerge/>
            <w:tcBorders>
              <w:top w:val="nil"/>
              <w:left w:val="single" w:sz="4" w:space="0" w:color="auto"/>
              <w:bottom w:val="single" w:sz="4" w:space="0" w:color="auto"/>
              <w:right w:val="single" w:sz="4" w:space="0" w:color="auto"/>
            </w:tcBorders>
            <w:shd w:val="clear" w:color="auto" w:fill="auto"/>
            <w:vAlign w:val="center"/>
          </w:tcPr>
          <w:p w:rsidR="00181B2F" w:rsidRPr="006B2DB8" w:rsidRDefault="00181B2F" w:rsidP="004353E1">
            <w:pPr>
              <w:spacing w:before="20" w:after="20"/>
              <w:jc w:val="center"/>
              <w:rPr>
                <w:rFonts w:ascii="Arial Narrow" w:hAnsi="Arial Narrow"/>
                <w:b/>
                <w:sz w:val="16"/>
                <w:szCs w:val="16"/>
              </w:rPr>
            </w:pPr>
          </w:p>
        </w:tc>
        <w:tc>
          <w:tcPr>
            <w:tcW w:w="1213" w:type="dxa"/>
            <w:tcBorders>
              <w:top w:val="nil"/>
              <w:left w:val="nil"/>
              <w:bottom w:val="single" w:sz="4" w:space="0" w:color="auto"/>
              <w:right w:val="nil"/>
            </w:tcBorders>
            <w:shd w:val="clear" w:color="auto" w:fill="auto"/>
            <w:vAlign w:val="center"/>
          </w:tcPr>
          <w:p w:rsidR="00181B2F" w:rsidRPr="006B2DB8" w:rsidRDefault="00181B2F" w:rsidP="004353E1">
            <w:pPr>
              <w:spacing w:before="20" w:after="20"/>
              <w:jc w:val="center"/>
              <w:rPr>
                <w:rFonts w:ascii="Arial Narrow" w:hAnsi="Arial Narrow"/>
                <w:b/>
                <w:sz w:val="16"/>
                <w:szCs w:val="16"/>
              </w:rPr>
            </w:pPr>
            <w:r w:rsidRPr="006B2DB8">
              <w:rPr>
                <w:rFonts w:ascii="Arial Narrow" w:hAnsi="Arial Narrow"/>
                <w:b/>
                <w:sz w:val="16"/>
                <w:szCs w:val="16"/>
              </w:rPr>
              <w:t>Εκτιμήσεις</w:t>
            </w:r>
          </w:p>
        </w:tc>
        <w:tc>
          <w:tcPr>
            <w:tcW w:w="1276" w:type="dxa"/>
            <w:tcBorders>
              <w:top w:val="nil"/>
              <w:left w:val="nil"/>
              <w:bottom w:val="single" w:sz="4" w:space="0" w:color="auto"/>
              <w:right w:val="single" w:sz="4" w:space="0" w:color="auto"/>
            </w:tcBorders>
            <w:shd w:val="clear" w:color="auto" w:fill="auto"/>
            <w:vAlign w:val="center"/>
          </w:tcPr>
          <w:p w:rsidR="00181B2F" w:rsidRPr="006B2DB8" w:rsidRDefault="00181B2F" w:rsidP="004353E1">
            <w:pPr>
              <w:spacing w:before="20" w:after="20"/>
              <w:jc w:val="center"/>
              <w:rPr>
                <w:rFonts w:ascii="Arial Narrow" w:hAnsi="Arial Narrow"/>
                <w:b/>
                <w:sz w:val="16"/>
                <w:szCs w:val="16"/>
              </w:rPr>
            </w:pPr>
            <w:r w:rsidRPr="006B2DB8">
              <w:rPr>
                <w:rFonts w:ascii="Arial Narrow" w:hAnsi="Arial Narrow"/>
                <w:b/>
                <w:sz w:val="16"/>
                <w:szCs w:val="16"/>
              </w:rPr>
              <w:t>Προβλέψεις</w:t>
            </w:r>
          </w:p>
        </w:tc>
      </w:tr>
      <w:tr w:rsidR="00181B2F" w:rsidRPr="00256726" w:rsidTr="004353E1">
        <w:trPr>
          <w:cantSplit/>
          <w:jc w:val="center"/>
        </w:trPr>
        <w:tc>
          <w:tcPr>
            <w:tcW w:w="6019" w:type="dxa"/>
            <w:tcBorders>
              <w:top w:val="single" w:sz="4" w:space="0" w:color="auto"/>
              <w:left w:val="single" w:sz="4" w:space="0" w:color="auto"/>
              <w:bottom w:val="nil"/>
              <w:right w:val="single" w:sz="4" w:space="0" w:color="auto"/>
            </w:tcBorders>
            <w:shd w:val="clear" w:color="auto" w:fill="auto"/>
            <w:vAlign w:val="center"/>
          </w:tcPr>
          <w:p w:rsidR="00181B2F" w:rsidRPr="00256726" w:rsidRDefault="00181B2F" w:rsidP="004353E1">
            <w:pPr>
              <w:spacing w:before="20" w:after="20"/>
              <w:jc w:val="center"/>
              <w:rPr>
                <w:rFonts w:ascii="Arial Narrow" w:hAnsi="Arial Narrow"/>
                <w:b/>
                <w:sz w:val="6"/>
                <w:szCs w:val="16"/>
              </w:rPr>
            </w:pPr>
          </w:p>
        </w:tc>
        <w:tc>
          <w:tcPr>
            <w:tcW w:w="1213" w:type="dxa"/>
            <w:tcBorders>
              <w:top w:val="single" w:sz="4" w:space="0" w:color="auto"/>
              <w:left w:val="nil"/>
              <w:bottom w:val="nil"/>
              <w:right w:val="nil"/>
            </w:tcBorders>
            <w:shd w:val="clear" w:color="auto" w:fill="auto"/>
            <w:vAlign w:val="center"/>
          </w:tcPr>
          <w:p w:rsidR="00181B2F" w:rsidRPr="00256726" w:rsidRDefault="00181B2F" w:rsidP="004353E1">
            <w:pPr>
              <w:spacing w:before="20" w:after="20"/>
              <w:jc w:val="center"/>
              <w:rPr>
                <w:rFonts w:ascii="Arial Narrow" w:hAnsi="Arial Narrow"/>
                <w:b/>
                <w:sz w:val="6"/>
                <w:szCs w:val="16"/>
              </w:rPr>
            </w:pPr>
          </w:p>
        </w:tc>
        <w:tc>
          <w:tcPr>
            <w:tcW w:w="1276" w:type="dxa"/>
            <w:tcBorders>
              <w:top w:val="single" w:sz="4" w:space="0" w:color="auto"/>
              <w:left w:val="nil"/>
              <w:bottom w:val="nil"/>
              <w:right w:val="single" w:sz="4" w:space="0" w:color="auto"/>
            </w:tcBorders>
            <w:shd w:val="clear" w:color="auto" w:fill="auto"/>
            <w:vAlign w:val="center"/>
          </w:tcPr>
          <w:p w:rsidR="00181B2F" w:rsidRPr="00256726" w:rsidRDefault="00181B2F" w:rsidP="004353E1">
            <w:pPr>
              <w:spacing w:before="20" w:after="20"/>
              <w:jc w:val="center"/>
              <w:rPr>
                <w:rFonts w:ascii="Arial Narrow" w:hAnsi="Arial Narrow"/>
                <w:b/>
                <w:sz w:val="6"/>
                <w:szCs w:val="16"/>
              </w:rPr>
            </w:pP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D9D9D9" w:themeFill="background1" w:themeFillShade="D9"/>
            <w:vAlign w:val="center"/>
          </w:tcPr>
          <w:p w:rsidR="00181B2F" w:rsidRPr="006B2DB8" w:rsidRDefault="00181B2F" w:rsidP="004353E1">
            <w:pPr>
              <w:spacing w:before="20" w:after="20"/>
              <w:ind w:left="258" w:hanging="258"/>
              <w:rPr>
                <w:rFonts w:ascii="Arial Narrow" w:hAnsi="Arial Narrow"/>
                <w:b/>
                <w:sz w:val="16"/>
                <w:szCs w:val="16"/>
              </w:rPr>
            </w:pPr>
            <w:r>
              <w:rPr>
                <w:rFonts w:ascii="Arial Narrow" w:hAnsi="Arial Narrow"/>
                <w:b/>
                <w:sz w:val="16"/>
                <w:szCs w:val="16"/>
              </w:rPr>
              <w:t>Α.</w:t>
            </w:r>
            <w:r>
              <w:rPr>
                <w:rFonts w:ascii="Arial Narrow" w:hAnsi="Arial Narrow"/>
                <w:b/>
                <w:sz w:val="16"/>
                <w:szCs w:val="16"/>
              </w:rPr>
              <w:tab/>
              <w:t xml:space="preserve">ΟΤΑ Α΄ βαθμού – Δήμοι (Ι + ΙΙ + ΙΙΙ + </w:t>
            </w:r>
            <w:r>
              <w:rPr>
                <w:rFonts w:ascii="Arial Narrow" w:hAnsi="Arial Narrow"/>
                <w:b/>
                <w:sz w:val="16"/>
                <w:szCs w:val="16"/>
                <w:lang w:val="en-GB"/>
              </w:rPr>
              <w:t>IV</w:t>
            </w:r>
            <w:r>
              <w:rPr>
                <w:rFonts w:ascii="Arial Narrow" w:hAnsi="Arial Narrow"/>
                <w:b/>
                <w:sz w:val="16"/>
                <w:szCs w:val="16"/>
              </w:rPr>
              <w:t>)</w:t>
            </w:r>
          </w:p>
        </w:tc>
        <w:tc>
          <w:tcPr>
            <w:tcW w:w="1213" w:type="dxa"/>
            <w:tcBorders>
              <w:top w:val="nil"/>
              <w:left w:val="nil"/>
              <w:bottom w:val="nil"/>
              <w:right w:val="nil"/>
            </w:tcBorders>
            <w:shd w:val="clear" w:color="auto" w:fill="D9D9D9" w:themeFill="background1" w:themeFillShade="D9"/>
            <w:vAlign w:val="center"/>
          </w:tcPr>
          <w:p w:rsidR="00181B2F" w:rsidRPr="002F39BB" w:rsidRDefault="00181B2F" w:rsidP="004353E1">
            <w:pPr>
              <w:ind w:right="337"/>
              <w:jc w:val="right"/>
              <w:rPr>
                <w:rFonts w:ascii="Arial Narrow" w:hAnsi="Arial Narrow"/>
                <w:b/>
                <w:bCs/>
                <w:sz w:val="16"/>
                <w:szCs w:val="16"/>
              </w:rPr>
            </w:pPr>
            <w:r>
              <w:rPr>
                <w:rFonts w:ascii="Arial Narrow" w:hAnsi="Arial Narrow"/>
                <w:b/>
                <w:bCs/>
                <w:sz w:val="16"/>
                <w:szCs w:val="16"/>
              </w:rPr>
              <w:t>2.459</w:t>
            </w:r>
          </w:p>
        </w:tc>
        <w:tc>
          <w:tcPr>
            <w:tcW w:w="1276" w:type="dxa"/>
            <w:tcBorders>
              <w:top w:val="nil"/>
              <w:left w:val="nil"/>
              <w:bottom w:val="nil"/>
              <w:right w:val="single" w:sz="4" w:space="0" w:color="auto"/>
            </w:tcBorders>
            <w:shd w:val="clear" w:color="auto" w:fill="D9D9D9" w:themeFill="background1" w:themeFillShade="D9"/>
            <w:vAlign w:val="center"/>
          </w:tcPr>
          <w:p w:rsidR="00181B2F" w:rsidRPr="002F39BB" w:rsidRDefault="00181B2F" w:rsidP="004353E1">
            <w:pPr>
              <w:ind w:right="337"/>
              <w:jc w:val="right"/>
              <w:rPr>
                <w:rFonts w:ascii="Arial Narrow" w:hAnsi="Arial Narrow"/>
                <w:b/>
                <w:bCs/>
                <w:sz w:val="16"/>
                <w:szCs w:val="16"/>
              </w:rPr>
            </w:pPr>
            <w:r>
              <w:rPr>
                <w:rFonts w:ascii="Arial Narrow" w:hAnsi="Arial Narrow"/>
                <w:b/>
                <w:bCs/>
                <w:sz w:val="16"/>
                <w:szCs w:val="16"/>
              </w:rPr>
              <w:t>1.786</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vAlign w:val="center"/>
          </w:tcPr>
          <w:p w:rsidR="00181B2F" w:rsidRPr="006B2DB8" w:rsidRDefault="00181B2F" w:rsidP="004353E1">
            <w:pPr>
              <w:tabs>
                <w:tab w:val="left" w:pos="258"/>
              </w:tabs>
              <w:spacing w:before="20" w:after="20"/>
              <w:ind w:left="476" w:hanging="476"/>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ab/>
              <w:t xml:space="preserve">Ι. </w:t>
            </w:r>
            <w:r w:rsidRPr="00301426">
              <w:rPr>
                <w:rFonts w:ascii="Arial Narrow" w:hAnsi="Arial Narrow"/>
                <w:b/>
                <w:sz w:val="16"/>
                <w:szCs w:val="16"/>
              </w:rPr>
              <w:tab/>
            </w:r>
            <w:r w:rsidRPr="006B2DB8">
              <w:rPr>
                <w:rFonts w:ascii="Arial Narrow" w:hAnsi="Arial Narrow"/>
                <w:b/>
                <w:sz w:val="16"/>
                <w:szCs w:val="16"/>
              </w:rPr>
              <w:t>ΚΑΠ Δήμων</w:t>
            </w:r>
            <w:r>
              <w:rPr>
                <w:rFonts w:ascii="Arial Narrow" w:hAnsi="Arial Narrow"/>
                <w:b/>
                <w:sz w:val="16"/>
                <w:szCs w:val="16"/>
              </w:rPr>
              <w:t xml:space="preserve"> (α</w:t>
            </w:r>
            <w:r w:rsidRPr="00E263FF">
              <w:rPr>
                <w:rFonts w:ascii="Arial Narrow" w:hAnsi="Arial Narrow"/>
                <w:b/>
                <w:sz w:val="16"/>
                <w:szCs w:val="16"/>
              </w:rPr>
              <w:t xml:space="preserve"> </w:t>
            </w:r>
            <w:r>
              <w:rPr>
                <w:rFonts w:ascii="Arial Narrow" w:hAnsi="Arial Narrow"/>
                <w:b/>
                <w:sz w:val="16"/>
                <w:szCs w:val="16"/>
              </w:rPr>
              <w:t>+</w:t>
            </w:r>
            <w:r w:rsidRPr="00E263FF">
              <w:rPr>
                <w:rFonts w:ascii="Arial Narrow" w:hAnsi="Arial Narrow"/>
                <w:b/>
                <w:sz w:val="16"/>
                <w:szCs w:val="16"/>
              </w:rPr>
              <w:t xml:space="preserve"> </w:t>
            </w:r>
            <w:r>
              <w:rPr>
                <w:rFonts w:ascii="Arial Narrow" w:hAnsi="Arial Narrow"/>
                <w:b/>
                <w:sz w:val="16"/>
                <w:szCs w:val="16"/>
              </w:rPr>
              <w:t>β + γ)</w:t>
            </w:r>
          </w:p>
        </w:tc>
        <w:tc>
          <w:tcPr>
            <w:tcW w:w="1213" w:type="dxa"/>
            <w:tcBorders>
              <w:top w:val="nil"/>
              <w:left w:val="nil"/>
              <w:bottom w:val="nil"/>
              <w:right w:val="nil"/>
            </w:tcBorders>
            <w:shd w:val="clear" w:color="auto" w:fill="auto"/>
            <w:vAlign w:val="center"/>
          </w:tcPr>
          <w:p w:rsidR="00181B2F" w:rsidRPr="002C3762" w:rsidRDefault="00181B2F" w:rsidP="004353E1">
            <w:pPr>
              <w:ind w:right="335"/>
              <w:jc w:val="right"/>
              <w:rPr>
                <w:rFonts w:ascii="Arial Narrow" w:hAnsi="Arial Narrow"/>
                <w:b/>
                <w:bCs/>
                <w:sz w:val="16"/>
                <w:szCs w:val="16"/>
                <w:lang w:val="en-US"/>
              </w:rPr>
            </w:pPr>
            <w:r w:rsidRPr="002C3762">
              <w:rPr>
                <w:rFonts w:ascii="Arial Narrow" w:hAnsi="Arial Narrow"/>
                <w:b/>
                <w:bCs/>
                <w:sz w:val="16"/>
                <w:szCs w:val="16"/>
              </w:rPr>
              <w:t>2</w:t>
            </w:r>
            <w:r w:rsidRPr="002C3762">
              <w:rPr>
                <w:rFonts w:ascii="Arial Narrow" w:hAnsi="Arial Narrow"/>
                <w:b/>
                <w:bCs/>
                <w:sz w:val="16"/>
                <w:szCs w:val="16"/>
                <w:lang w:val="en-US"/>
              </w:rPr>
              <w:t>.402</w:t>
            </w:r>
          </w:p>
        </w:tc>
        <w:tc>
          <w:tcPr>
            <w:tcW w:w="1276" w:type="dxa"/>
            <w:tcBorders>
              <w:top w:val="nil"/>
              <w:left w:val="nil"/>
              <w:bottom w:val="nil"/>
              <w:right w:val="single" w:sz="4" w:space="0" w:color="auto"/>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1.760</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tcPr>
          <w:p w:rsidR="00181B2F" w:rsidRPr="006B2DB8" w:rsidRDefault="00181B2F" w:rsidP="004353E1">
            <w:pPr>
              <w:tabs>
                <w:tab w:val="left" w:pos="258"/>
              </w:tabs>
              <w:spacing w:before="20" w:after="20"/>
              <w:ind w:left="477" w:hanging="477"/>
              <w:jc w:val="both"/>
              <w:rPr>
                <w:rFonts w:ascii="Arial Narrow" w:hAnsi="Arial Narrow"/>
                <w:sz w:val="16"/>
                <w:szCs w:val="16"/>
              </w:rPr>
            </w:pPr>
            <w:r w:rsidRPr="00EB2253">
              <w:rPr>
                <w:rFonts w:ascii="Arial Narrow" w:hAnsi="Arial Narrow"/>
                <w:sz w:val="16"/>
                <w:szCs w:val="16"/>
              </w:rPr>
              <w:tab/>
            </w:r>
            <w:r>
              <w:rPr>
                <w:rFonts w:ascii="Arial Narrow" w:hAnsi="Arial Narrow"/>
                <w:sz w:val="16"/>
                <w:szCs w:val="16"/>
              </w:rPr>
              <w:t>α.</w:t>
            </w:r>
            <w:r>
              <w:rPr>
                <w:rFonts w:ascii="Arial Narrow" w:hAnsi="Arial Narrow"/>
                <w:sz w:val="16"/>
                <w:szCs w:val="16"/>
              </w:rPr>
              <w:tab/>
            </w:r>
            <w:r w:rsidRPr="006B2DB8">
              <w:rPr>
                <w:rFonts w:ascii="Arial Narrow" w:hAnsi="Arial Narrow"/>
                <w:sz w:val="16"/>
                <w:szCs w:val="16"/>
              </w:rPr>
              <w:t>Απόδοση στους Δήμους ποσοστού επί του φόρου προστιθέμενης αξίας</w:t>
            </w:r>
          </w:p>
        </w:tc>
        <w:tc>
          <w:tcPr>
            <w:tcW w:w="1213" w:type="dxa"/>
            <w:tcBorders>
              <w:top w:val="nil"/>
              <w:left w:val="nil"/>
              <w:bottom w:val="nil"/>
              <w:right w:val="nil"/>
            </w:tcBorders>
            <w:shd w:val="clear" w:color="auto" w:fill="auto"/>
            <w:vAlign w:val="center"/>
          </w:tcPr>
          <w:p w:rsidR="00181B2F" w:rsidRPr="000E3027" w:rsidRDefault="00181B2F" w:rsidP="004353E1">
            <w:pPr>
              <w:ind w:right="335"/>
              <w:jc w:val="right"/>
              <w:rPr>
                <w:rFonts w:ascii="Arial Narrow" w:hAnsi="Arial Narrow"/>
                <w:iCs/>
                <w:sz w:val="16"/>
                <w:szCs w:val="16"/>
                <w:lang w:val="en-US"/>
              </w:rPr>
            </w:pPr>
            <w:r>
              <w:rPr>
                <w:rFonts w:ascii="Arial Narrow" w:hAnsi="Arial Narrow"/>
                <w:iCs/>
                <w:sz w:val="16"/>
                <w:szCs w:val="16"/>
              </w:rPr>
              <w:t>1.000</w:t>
            </w:r>
          </w:p>
        </w:tc>
        <w:tc>
          <w:tcPr>
            <w:tcW w:w="1276" w:type="dxa"/>
            <w:tcBorders>
              <w:top w:val="nil"/>
              <w:left w:val="nil"/>
              <w:bottom w:val="nil"/>
              <w:right w:val="single" w:sz="4" w:space="0" w:color="auto"/>
            </w:tcBorders>
            <w:shd w:val="clear" w:color="auto" w:fill="auto"/>
            <w:vAlign w:val="center"/>
          </w:tcPr>
          <w:p w:rsidR="00181B2F" w:rsidRPr="002F39BB" w:rsidRDefault="00181B2F" w:rsidP="004353E1">
            <w:pPr>
              <w:ind w:right="335"/>
              <w:jc w:val="right"/>
              <w:rPr>
                <w:rFonts w:ascii="Arial Narrow" w:hAnsi="Arial Narrow"/>
                <w:iCs/>
                <w:sz w:val="16"/>
                <w:szCs w:val="16"/>
              </w:rPr>
            </w:pPr>
            <w:r>
              <w:rPr>
                <w:rFonts w:ascii="Arial Narrow" w:hAnsi="Arial Narrow"/>
                <w:iCs/>
                <w:sz w:val="16"/>
                <w:szCs w:val="16"/>
              </w:rPr>
              <w:t>729</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tcPr>
          <w:p w:rsidR="00181B2F" w:rsidRPr="006B2DB8" w:rsidRDefault="00181B2F" w:rsidP="004353E1">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β.</w:t>
            </w:r>
            <w:r>
              <w:rPr>
                <w:rFonts w:ascii="Arial Narrow" w:hAnsi="Arial Narrow"/>
                <w:sz w:val="16"/>
                <w:szCs w:val="16"/>
              </w:rPr>
              <w:tab/>
            </w:r>
            <w:r w:rsidRPr="006B2DB8">
              <w:rPr>
                <w:rFonts w:ascii="Arial Narrow" w:hAnsi="Arial Narrow"/>
                <w:sz w:val="16"/>
                <w:szCs w:val="16"/>
              </w:rPr>
              <w:t>Απόδοση στους Δήμους ποσοστού επί των καθαρών συνολικών ετήσιων εισπράξεων του φόρου εισοδήματος φυσικών και νομικών προσώπων</w:t>
            </w:r>
          </w:p>
        </w:tc>
        <w:tc>
          <w:tcPr>
            <w:tcW w:w="1213" w:type="dxa"/>
            <w:tcBorders>
              <w:top w:val="nil"/>
              <w:left w:val="nil"/>
              <w:bottom w:val="nil"/>
              <w:right w:val="nil"/>
            </w:tcBorders>
            <w:shd w:val="clear" w:color="auto" w:fill="auto"/>
            <w:vAlign w:val="center"/>
          </w:tcPr>
          <w:p w:rsidR="00181B2F" w:rsidRPr="00AE2A6F" w:rsidRDefault="00181B2F" w:rsidP="004353E1">
            <w:pPr>
              <w:ind w:right="335"/>
              <w:jc w:val="right"/>
              <w:rPr>
                <w:rFonts w:ascii="Arial Narrow" w:hAnsi="Arial Narrow"/>
                <w:iCs/>
                <w:sz w:val="16"/>
                <w:szCs w:val="16"/>
                <w:lang w:val="en-US"/>
              </w:rPr>
            </w:pPr>
            <w:r w:rsidRPr="002F39BB">
              <w:rPr>
                <w:rFonts w:ascii="Arial Narrow" w:hAnsi="Arial Narrow"/>
                <w:iCs/>
                <w:sz w:val="16"/>
                <w:szCs w:val="16"/>
              </w:rPr>
              <w:t>1.</w:t>
            </w:r>
            <w:r>
              <w:rPr>
                <w:rFonts w:ascii="Arial Narrow" w:hAnsi="Arial Narrow"/>
                <w:iCs/>
                <w:sz w:val="16"/>
                <w:szCs w:val="16"/>
                <w:lang w:val="en-US"/>
              </w:rPr>
              <w:t>235</w:t>
            </w:r>
          </w:p>
        </w:tc>
        <w:tc>
          <w:tcPr>
            <w:tcW w:w="1276" w:type="dxa"/>
            <w:tcBorders>
              <w:top w:val="nil"/>
              <w:left w:val="nil"/>
              <w:bottom w:val="nil"/>
              <w:right w:val="single" w:sz="4" w:space="0" w:color="auto"/>
            </w:tcBorders>
            <w:shd w:val="clear" w:color="auto" w:fill="auto"/>
            <w:vAlign w:val="center"/>
          </w:tcPr>
          <w:p w:rsidR="00181B2F" w:rsidRPr="002F39BB" w:rsidRDefault="00181B2F" w:rsidP="004353E1">
            <w:pPr>
              <w:ind w:right="335"/>
              <w:jc w:val="right"/>
              <w:rPr>
                <w:rFonts w:ascii="Arial Narrow" w:hAnsi="Arial Narrow"/>
                <w:iCs/>
                <w:sz w:val="16"/>
                <w:szCs w:val="16"/>
              </w:rPr>
            </w:pPr>
            <w:r>
              <w:rPr>
                <w:rFonts w:ascii="Arial Narrow" w:hAnsi="Arial Narrow"/>
                <w:iCs/>
                <w:sz w:val="16"/>
                <w:szCs w:val="16"/>
              </w:rPr>
              <w:t>901</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tcPr>
          <w:p w:rsidR="00181B2F" w:rsidRPr="006B2DB8" w:rsidRDefault="00181B2F" w:rsidP="004353E1">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γ.</w:t>
            </w:r>
            <w:r>
              <w:rPr>
                <w:rFonts w:ascii="Arial Narrow" w:hAnsi="Arial Narrow"/>
                <w:sz w:val="16"/>
                <w:szCs w:val="16"/>
              </w:rPr>
              <w:tab/>
            </w:r>
            <w:r w:rsidRPr="006B2DB8">
              <w:rPr>
                <w:rFonts w:ascii="Arial Narrow" w:hAnsi="Arial Narrow"/>
                <w:sz w:val="16"/>
                <w:szCs w:val="16"/>
              </w:rPr>
              <w:t>Απόδοση στου</w:t>
            </w:r>
            <w:r>
              <w:rPr>
                <w:rFonts w:ascii="Arial Narrow" w:hAnsi="Arial Narrow"/>
                <w:sz w:val="16"/>
                <w:szCs w:val="16"/>
              </w:rPr>
              <w:t>ς Δήμους ποσοστού επί του ΕΝΦΙΑ</w:t>
            </w:r>
          </w:p>
        </w:tc>
        <w:tc>
          <w:tcPr>
            <w:tcW w:w="1213" w:type="dxa"/>
            <w:tcBorders>
              <w:top w:val="nil"/>
              <w:left w:val="nil"/>
              <w:bottom w:val="nil"/>
              <w:right w:val="nil"/>
            </w:tcBorders>
            <w:shd w:val="clear" w:color="auto" w:fill="auto"/>
            <w:vAlign w:val="center"/>
          </w:tcPr>
          <w:p w:rsidR="00181B2F" w:rsidRPr="00AE2A6F" w:rsidRDefault="00181B2F" w:rsidP="004353E1">
            <w:pPr>
              <w:ind w:right="335"/>
              <w:jc w:val="right"/>
              <w:rPr>
                <w:rFonts w:ascii="Arial Narrow" w:hAnsi="Arial Narrow"/>
                <w:iCs/>
                <w:sz w:val="16"/>
                <w:szCs w:val="16"/>
                <w:lang w:val="en-US"/>
              </w:rPr>
            </w:pPr>
            <w:r>
              <w:rPr>
                <w:rFonts w:ascii="Arial Narrow" w:hAnsi="Arial Narrow"/>
                <w:iCs/>
                <w:sz w:val="16"/>
                <w:szCs w:val="16"/>
              </w:rPr>
              <w:t>1</w:t>
            </w:r>
            <w:r>
              <w:rPr>
                <w:rFonts w:ascii="Arial Narrow" w:hAnsi="Arial Narrow"/>
                <w:iCs/>
                <w:sz w:val="16"/>
                <w:szCs w:val="16"/>
                <w:lang w:val="en-US"/>
              </w:rPr>
              <w:t>67</w:t>
            </w:r>
          </w:p>
        </w:tc>
        <w:tc>
          <w:tcPr>
            <w:tcW w:w="1276" w:type="dxa"/>
            <w:tcBorders>
              <w:top w:val="nil"/>
              <w:left w:val="nil"/>
              <w:bottom w:val="nil"/>
              <w:right w:val="single" w:sz="4" w:space="0" w:color="auto"/>
            </w:tcBorders>
            <w:shd w:val="clear" w:color="auto" w:fill="auto"/>
            <w:vAlign w:val="center"/>
          </w:tcPr>
          <w:p w:rsidR="00181B2F" w:rsidRPr="002F39BB" w:rsidRDefault="00181B2F" w:rsidP="004353E1">
            <w:pPr>
              <w:ind w:right="335"/>
              <w:jc w:val="right"/>
              <w:rPr>
                <w:rFonts w:ascii="Arial Narrow" w:hAnsi="Arial Narrow"/>
                <w:iCs/>
                <w:sz w:val="16"/>
                <w:szCs w:val="16"/>
              </w:rPr>
            </w:pPr>
            <w:r>
              <w:rPr>
                <w:rFonts w:ascii="Arial Narrow" w:hAnsi="Arial Narrow"/>
                <w:iCs/>
                <w:sz w:val="16"/>
                <w:szCs w:val="16"/>
              </w:rPr>
              <w:t>130</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vAlign w:val="center"/>
          </w:tcPr>
          <w:p w:rsidR="00181B2F" w:rsidRPr="006B2DB8" w:rsidRDefault="00181B2F" w:rsidP="004353E1">
            <w:pPr>
              <w:tabs>
                <w:tab w:val="left" w:pos="258"/>
              </w:tabs>
              <w:spacing w:before="20" w:after="20"/>
              <w:ind w:left="476" w:hanging="476"/>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ab/>
              <w:t>ΙΙ.</w:t>
            </w:r>
            <w:r>
              <w:rPr>
                <w:rFonts w:ascii="Arial Narrow" w:hAnsi="Arial Narrow"/>
                <w:b/>
                <w:sz w:val="16"/>
                <w:szCs w:val="16"/>
              </w:rPr>
              <w:tab/>
              <w:t>Ειδική επιχορήγηση σε ΟΤΑ α</w:t>
            </w:r>
            <w:r w:rsidRPr="00E263FF">
              <w:rPr>
                <w:rFonts w:ascii="Arial Narrow" w:hAnsi="Arial Narrow"/>
                <w:b/>
                <w:sz w:val="16"/>
                <w:szCs w:val="16"/>
              </w:rPr>
              <w:t xml:space="preserve">’ </w:t>
            </w:r>
            <w:r w:rsidRPr="006B2DB8">
              <w:rPr>
                <w:rFonts w:ascii="Arial Narrow" w:hAnsi="Arial Narrow"/>
                <w:b/>
                <w:sz w:val="16"/>
                <w:szCs w:val="16"/>
              </w:rPr>
              <w:t>βαθμού</w:t>
            </w:r>
          </w:p>
        </w:tc>
        <w:tc>
          <w:tcPr>
            <w:tcW w:w="1213" w:type="dxa"/>
            <w:tcBorders>
              <w:top w:val="nil"/>
              <w:left w:val="nil"/>
              <w:bottom w:val="nil"/>
              <w:right w:val="nil"/>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39</w:t>
            </w:r>
          </w:p>
        </w:tc>
        <w:tc>
          <w:tcPr>
            <w:tcW w:w="1276" w:type="dxa"/>
            <w:tcBorders>
              <w:top w:val="nil"/>
              <w:left w:val="nil"/>
              <w:bottom w:val="nil"/>
              <w:right w:val="single" w:sz="4" w:space="0" w:color="auto"/>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21</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vAlign w:val="center"/>
          </w:tcPr>
          <w:p w:rsidR="00181B2F" w:rsidRPr="00E263FF" w:rsidRDefault="00181B2F" w:rsidP="004353E1">
            <w:pPr>
              <w:tabs>
                <w:tab w:val="left" w:pos="258"/>
              </w:tabs>
              <w:spacing w:before="20" w:after="20"/>
              <w:ind w:left="476" w:hanging="476"/>
              <w:rPr>
                <w:rFonts w:ascii="Arial Narrow" w:hAnsi="Arial Narrow"/>
                <w:b/>
                <w:sz w:val="16"/>
                <w:szCs w:val="16"/>
              </w:rPr>
            </w:pPr>
            <w:r w:rsidRPr="00876098">
              <w:rPr>
                <w:rFonts w:ascii="Arial Narrow" w:hAnsi="Arial Narrow"/>
                <w:b/>
                <w:sz w:val="16"/>
                <w:szCs w:val="16"/>
              </w:rPr>
              <w:tab/>
            </w:r>
            <w:r>
              <w:rPr>
                <w:rFonts w:ascii="Arial Narrow" w:hAnsi="Arial Narrow"/>
                <w:b/>
                <w:sz w:val="16"/>
                <w:szCs w:val="16"/>
                <w:lang w:val="en-US"/>
              </w:rPr>
              <w:t>III</w:t>
            </w:r>
            <w:r w:rsidRPr="00E263FF">
              <w:rPr>
                <w:rFonts w:ascii="Arial Narrow" w:hAnsi="Arial Narrow"/>
                <w:b/>
                <w:sz w:val="16"/>
                <w:szCs w:val="16"/>
              </w:rPr>
              <w:t>.</w:t>
            </w:r>
            <w:r>
              <w:rPr>
                <w:rFonts w:ascii="Arial Narrow" w:hAnsi="Arial Narrow"/>
                <w:b/>
                <w:sz w:val="16"/>
                <w:szCs w:val="16"/>
              </w:rPr>
              <w:tab/>
              <w:t>Λοιπές αποδόσεις σε ΟΤΑ α’ βαθμού</w:t>
            </w:r>
            <w:r w:rsidRPr="00E263FF">
              <w:rPr>
                <w:rFonts w:ascii="Arial Narrow" w:hAnsi="Arial Narrow"/>
                <w:b/>
                <w:sz w:val="16"/>
                <w:szCs w:val="16"/>
              </w:rPr>
              <w:tab/>
            </w:r>
          </w:p>
        </w:tc>
        <w:tc>
          <w:tcPr>
            <w:tcW w:w="1213" w:type="dxa"/>
            <w:tcBorders>
              <w:top w:val="nil"/>
              <w:left w:val="nil"/>
              <w:bottom w:val="nil"/>
              <w:right w:val="nil"/>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4</w:t>
            </w:r>
          </w:p>
        </w:tc>
        <w:tc>
          <w:tcPr>
            <w:tcW w:w="1276" w:type="dxa"/>
            <w:tcBorders>
              <w:top w:val="nil"/>
              <w:left w:val="nil"/>
              <w:bottom w:val="nil"/>
              <w:right w:val="single" w:sz="4" w:space="0" w:color="auto"/>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3</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vAlign w:val="center"/>
          </w:tcPr>
          <w:p w:rsidR="00181B2F" w:rsidRPr="00E263FF" w:rsidRDefault="00181B2F" w:rsidP="004353E1">
            <w:pPr>
              <w:tabs>
                <w:tab w:val="left" w:pos="258"/>
              </w:tabs>
              <w:spacing w:before="20" w:after="20"/>
              <w:ind w:left="476" w:hanging="476"/>
              <w:rPr>
                <w:rFonts w:ascii="Arial Narrow" w:hAnsi="Arial Narrow"/>
                <w:b/>
                <w:sz w:val="16"/>
                <w:szCs w:val="16"/>
              </w:rPr>
            </w:pPr>
            <w:r w:rsidRPr="00E263FF">
              <w:rPr>
                <w:rFonts w:ascii="Arial Narrow" w:hAnsi="Arial Narrow"/>
                <w:b/>
                <w:sz w:val="16"/>
                <w:szCs w:val="16"/>
              </w:rPr>
              <w:tab/>
            </w:r>
            <w:r>
              <w:rPr>
                <w:rFonts w:ascii="Arial Narrow" w:hAnsi="Arial Narrow"/>
                <w:b/>
                <w:sz w:val="16"/>
                <w:szCs w:val="16"/>
                <w:lang w:val="en-US"/>
              </w:rPr>
              <w:t>IV</w:t>
            </w:r>
            <w:r w:rsidRPr="00E263FF">
              <w:rPr>
                <w:rFonts w:ascii="Arial Narrow" w:hAnsi="Arial Narrow"/>
                <w:b/>
                <w:sz w:val="16"/>
                <w:szCs w:val="16"/>
              </w:rPr>
              <w:t>.</w:t>
            </w:r>
            <w:r>
              <w:rPr>
                <w:rFonts w:ascii="Arial Narrow" w:hAnsi="Arial Narrow"/>
                <w:b/>
                <w:sz w:val="16"/>
                <w:szCs w:val="16"/>
              </w:rPr>
              <w:tab/>
              <w:t>Λοιπές επιχορηγήσεις σε ΟΤΑ α’ βαθμού</w:t>
            </w:r>
          </w:p>
        </w:tc>
        <w:tc>
          <w:tcPr>
            <w:tcW w:w="1213" w:type="dxa"/>
            <w:tcBorders>
              <w:top w:val="nil"/>
              <w:left w:val="nil"/>
              <w:bottom w:val="nil"/>
              <w:right w:val="nil"/>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14</w:t>
            </w:r>
          </w:p>
        </w:tc>
        <w:tc>
          <w:tcPr>
            <w:tcW w:w="1276" w:type="dxa"/>
            <w:tcBorders>
              <w:top w:val="nil"/>
              <w:left w:val="nil"/>
              <w:bottom w:val="nil"/>
              <w:right w:val="single" w:sz="4" w:space="0" w:color="auto"/>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2</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D9D9D9" w:themeFill="background1" w:themeFillShade="D9"/>
            <w:vAlign w:val="center"/>
          </w:tcPr>
          <w:p w:rsidR="00181B2F" w:rsidRPr="006B2DB8" w:rsidRDefault="00181B2F" w:rsidP="004353E1">
            <w:pPr>
              <w:spacing w:before="20" w:after="20"/>
              <w:ind w:left="258" w:hanging="258"/>
              <w:rPr>
                <w:rFonts w:ascii="Arial Narrow" w:hAnsi="Arial Narrow"/>
                <w:b/>
                <w:sz w:val="16"/>
                <w:szCs w:val="16"/>
              </w:rPr>
            </w:pPr>
            <w:r>
              <w:rPr>
                <w:rFonts w:ascii="Arial Narrow" w:hAnsi="Arial Narrow"/>
                <w:b/>
                <w:sz w:val="16"/>
                <w:szCs w:val="16"/>
              </w:rPr>
              <w:t>Β.</w:t>
            </w:r>
            <w:r>
              <w:rPr>
                <w:rFonts w:ascii="Arial Narrow" w:hAnsi="Arial Narrow"/>
                <w:b/>
                <w:sz w:val="16"/>
                <w:szCs w:val="16"/>
              </w:rPr>
              <w:tab/>
              <w:t>ΟΤΑ Β’ βαθμού – Περιφέρειες (Ι + ΙΙ)</w:t>
            </w:r>
          </w:p>
        </w:tc>
        <w:tc>
          <w:tcPr>
            <w:tcW w:w="1213" w:type="dxa"/>
            <w:tcBorders>
              <w:top w:val="nil"/>
              <w:left w:val="nil"/>
              <w:bottom w:val="nil"/>
              <w:right w:val="nil"/>
            </w:tcBorders>
            <w:shd w:val="clear" w:color="auto" w:fill="D9D9D9" w:themeFill="background1" w:themeFillShade="D9"/>
            <w:vAlign w:val="center"/>
          </w:tcPr>
          <w:p w:rsidR="00181B2F" w:rsidRPr="002F39BB" w:rsidRDefault="00181B2F" w:rsidP="004353E1">
            <w:pPr>
              <w:ind w:right="335"/>
              <w:jc w:val="right"/>
              <w:rPr>
                <w:rFonts w:ascii="Arial Narrow" w:hAnsi="Arial Narrow"/>
                <w:b/>
                <w:bCs/>
                <w:sz w:val="16"/>
                <w:szCs w:val="16"/>
              </w:rPr>
            </w:pPr>
            <w:r>
              <w:rPr>
                <w:rFonts w:ascii="Arial Narrow" w:hAnsi="Arial Narrow"/>
                <w:b/>
                <w:bCs/>
                <w:sz w:val="16"/>
                <w:szCs w:val="16"/>
              </w:rPr>
              <w:t>738</w:t>
            </w:r>
          </w:p>
        </w:tc>
        <w:tc>
          <w:tcPr>
            <w:tcW w:w="1276" w:type="dxa"/>
            <w:tcBorders>
              <w:top w:val="nil"/>
              <w:left w:val="nil"/>
              <w:bottom w:val="nil"/>
              <w:right w:val="single" w:sz="4" w:space="0" w:color="auto"/>
            </w:tcBorders>
            <w:shd w:val="clear" w:color="auto" w:fill="D9D9D9" w:themeFill="background1" w:themeFillShade="D9"/>
            <w:vAlign w:val="center"/>
          </w:tcPr>
          <w:p w:rsidR="00181B2F" w:rsidRPr="002F39BB" w:rsidRDefault="00181B2F" w:rsidP="004353E1">
            <w:pPr>
              <w:ind w:right="335"/>
              <w:jc w:val="right"/>
              <w:rPr>
                <w:rFonts w:ascii="Arial Narrow" w:hAnsi="Arial Narrow"/>
                <w:b/>
                <w:bCs/>
                <w:sz w:val="16"/>
                <w:szCs w:val="16"/>
              </w:rPr>
            </w:pPr>
            <w:r>
              <w:rPr>
                <w:rFonts w:ascii="Arial Narrow" w:hAnsi="Arial Narrow"/>
                <w:b/>
                <w:bCs/>
                <w:sz w:val="16"/>
                <w:szCs w:val="16"/>
              </w:rPr>
              <w:t>665</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vAlign w:val="center"/>
          </w:tcPr>
          <w:p w:rsidR="00181B2F" w:rsidRPr="006B2DB8" w:rsidRDefault="00181B2F" w:rsidP="004353E1">
            <w:pPr>
              <w:tabs>
                <w:tab w:val="left" w:pos="258"/>
              </w:tabs>
              <w:spacing w:before="20" w:after="20"/>
              <w:ind w:left="476" w:hanging="476"/>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ab/>
              <w:t xml:space="preserve">Ι. </w:t>
            </w:r>
            <w:r w:rsidRPr="00301426">
              <w:rPr>
                <w:rFonts w:ascii="Arial Narrow" w:hAnsi="Arial Narrow"/>
                <w:b/>
                <w:sz w:val="16"/>
                <w:szCs w:val="16"/>
              </w:rPr>
              <w:tab/>
            </w:r>
            <w:r w:rsidRPr="006B2DB8">
              <w:rPr>
                <w:rFonts w:ascii="Arial Narrow" w:hAnsi="Arial Narrow"/>
                <w:b/>
                <w:sz w:val="16"/>
                <w:szCs w:val="16"/>
              </w:rPr>
              <w:t xml:space="preserve">ΚΑΠ </w:t>
            </w:r>
            <w:r>
              <w:rPr>
                <w:rFonts w:ascii="Arial Narrow" w:hAnsi="Arial Narrow"/>
                <w:b/>
                <w:sz w:val="16"/>
                <w:szCs w:val="16"/>
              </w:rPr>
              <w:t>Περιφερειών (α+β)</w:t>
            </w:r>
          </w:p>
        </w:tc>
        <w:tc>
          <w:tcPr>
            <w:tcW w:w="1213" w:type="dxa"/>
            <w:tcBorders>
              <w:top w:val="nil"/>
              <w:left w:val="nil"/>
              <w:bottom w:val="nil"/>
              <w:right w:val="nil"/>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738</w:t>
            </w:r>
          </w:p>
        </w:tc>
        <w:tc>
          <w:tcPr>
            <w:tcW w:w="1276" w:type="dxa"/>
            <w:tcBorders>
              <w:top w:val="nil"/>
              <w:left w:val="nil"/>
              <w:bottom w:val="nil"/>
              <w:right w:val="single" w:sz="4" w:space="0" w:color="auto"/>
            </w:tcBorders>
            <w:shd w:val="clear" w:color="auto" w:fill="auto"/>
            <w:vAlign w:val="center"/>
          </w:tcPr>
          <w:p w:rsidR="00181B2F" w:rsidRPr="002C3762" w:rsidRDefault="00181B2F" w:rsidP="004353E1">
            <w:pPr>
              <w:ind w:right="335"/>
              <w:jc w:val="right"/>
              <w:rPr>
                <w:rFonts w:ascii="Arial Narrow" w:hAnsi="Arial Narrow"/>
                <w:b/>
                <w:bCs/>
                <w:sz w:val="16"/>
                <w:szCs w:val="16"/>
              </w:rPr>
            </w:pPr>
            <w:r w:rsidRPr="002C3762">
              <w:rPr>
                <w:rFonts w:ascii="Arial Narrow" w:hAnsi="Arial Narrow"/>
                <w:b/>
                <w:bCs/>
                <w:sz w:val="16"/>
                <w:szCs w:val="16"/>
              </w:rPr>
              <w:t>665</w:t>
            </w:r>
          </w:p>
        </w:tc>
      </w:tr>
      <w:tr w:rsidR="000E6ADB" w:rsidRPr="006B2DB8" w:rsidTr="000E6ADB">
        <w:trPr>
          <w:cantSplit/>
          <w:trHeight w:val="227"/>
          <w:jc w:val="center"/>
        </w:trPr>
        <w:tc>
          <w:tcPr>
            <w:tcW w:w="6019" w:type="dxa"/>
            <w:tcBorders>
              <w:top w:val="nil"/>
              <w:left w:val="single" w:sz="4" w:space="0" w:color="auto"/>
              <w:bottom w:val="nil"/>
              <w:right w:val="nil"/>
            </w:tcBorders>
            <w:shd w:val="clear" w:color="auto" w:fill="auto"/>
          </w:tcPr>
          <w:p w:rsidR="000E6ADB" w:rsidRPr="006B2DB8" w:rsidRDefault="000E6ADB" w:rsidP="000E6ADB">
            <w:pPr>
              <w:tabs>
                <w:tab w:val="left" w:pos="258"/>
              </w:tabs>
              <w:spacing w:before="20" w:after="20"/>
              <w:ind w:left="477" w:hanging="477"/>
              <w:jc w:val="both"/>
              <w:rPr>
                <w:rFonts w:ascii="Arial Narrow" w:hAnsi="Arial Narrow"/>
                <w:sz w:val="16"/>
                <w:szCs w:val="16"/>
              </w:rPr>
            </w:pPr>
            <w:r w:rsidRPr="00EB2253">
              <w:rPr>
                <w:rFonts w:ascii="Arial Narrow" w:hAnsi="Arial Narrow"/>
                <w:sz w:val="16"/>
                <w:szCs w:val="16"/>
              </w:rPr>
              <w:tab/>
            </w:r>
            <w:r>
              <w:rPr>
                <w:rFonts w:ascii="Arial Narrow" w:hAnsi="Arial Narrow"/>
                <w:sz w:val="16"/>
                <w:szCs w:val="16"/>
              </w:rPr>
              <w:t>α.</w:t>
            </w:r>
            <w:r>
              <w:rPr>
                <w:rFonts w:ascii="Arial Narrow" w:hAnsi="Arial Narrow"/>
                <w:sz w:val="16"/>
                <w:szCs w:val="16"/>
              </w:rPr>
              <w:tab/>
            </w:r>
            <w:r w:rsidRPr="006B2DB8">
              <w:rPr>
                <w:rFonts w:ascii="Arial Narrow" w:hAnsi="Arial Narrow"/>
                <w:sz w:val="16"/>
                <w:szCs w:val="16"/>
              </w:rPr>
              <w:t xml:space="preserve">Απόδοση </w:t>
            </w:r>
            <w:r>
              <w:rPr>
                <w:rFonts w:ascii="Arial Narrow" w:hAnsi="Arial Narrow"/>
                <w:sz w:val="16"/>
                <w:szCs w:val="16"/>
              </w:rPr>
              <w:t>στις Περιφέρειες</w:t>
            </w:r>
            <w:r w:rsidRPr="006B2DB8">
              <w:rPr>
                <w:rFonts w:ascii="Arial Narrow" w:hAnsi="Arial Narrow"/>
                <w:sz w:val="16"/>
                <w:szCs w:val="16"/>
              </w:rPr>
              <w:t xml:space="preserve"> ποσοστού επί του φόρου προστιθέμενης αξίας</w:t>
            </w:r>
          </w:p>
        </w:tc>
        <w:tc>
          <w:tcPr>
            <w:tcW w:w="1213" w:type="dxa"/>
            <w:tcBorders>
              <w:top w:val="nil"/>
              <w:left w:val="nil"/>
              <w:bottom w:val="nil"/>
              <w:right w:val="nil"/>
            </w:tcBorders>
            <w:shd w:val="clear" w:color="auto" w:fill="auto"/>
            <w:vAlign w:val="center"/>
          </w:tcPr>
          <w:p w:rsidR="000E6ADB" w:rsidRPr="002F39BB" w:rsidRDefault="00516AA3" w:rsidP="000E6ADB">
            <w:pPr>
              <w:ind w:right="335"/>
              <w:jc w:val="right"/>
              <w:rPr>
                <w:rFonts w:ascii="Arial Narrow" w:hAnsi="Arial Narrow"/>
                <w:iCs/>
                <w:sz w:val="16"/>
                <w:szCs w:val="16"/>
              </w:rPr>
            </w:pPr>
            <w:r>
              <w:rPr>
                <w:rFonts w:ascii="Arial Narrow" w:hAnsi="Arial Narrow"/>
                <w:iCs/>
                <w:sz w:val="16"/>
                <w:szCs w:val="16"/>
              </w:rPr>
              <w:t>410</w:t>
            </w:r>
          </w:p>
        </w:tc>
        <w:tc>
          <w:tcPr>
            <w:tcW w:w="1276" w:type="dxa"/>
            <w:tcBorders>
              <w:top w:val="nil"/>
              <w:left w:val="nil"/>
              <w:bottom w:val="nil"/>
              <w:right w:val="single" w:sz="4" w:space="0" w:color="auto"/>
            </w:tcBorders>
            <w:shd w:val="clear" w:color="auto" w:fill="auto"/>
            <w:vAlign w:val="center"/>
          </w:tcPr>
          <w:p w:rsidR="000E6ADB" w:rsidRPr="002F39BB" w:rsidRDefault="000E6ADB" w:rsidP="000E6ADB">
            <w:pPr>
              <w:ind w:right="335"/>
              <w:jc w:val="right"/>
              <w:rPr>
                <w:rFonts w:ascii="Arial Narrow" w:hAnsi="Arial Narrow"/>
                <w:iCs/>
                <w:sz w:val="16"/>
                <w:szCs w:val="16"/>
              </w:rPr>
            </w:pPr>
            <w:r>
              <w:rPr>
                <w:rFonts w:ascii="Arial Narrow" w:hAnsi="Arial Narrow"/>
                <w:iCs/>
                <w:sz w:val="16"/>
                <w:szCs w:val="16"/>
              </w:rPr>
              <w:t>370</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tcPr>
          <w:p w:rsidR="00181B2F" w:rsidRPr="006B2DB8" w:rsidRDefault="00181B2F" w:rsidP="004353E1">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sidR="000E6ADB">
              <w:rPr>
                <w:rFonts w:ascii="Arial Narrow" w:hAnsi="Arial Narrow"/>
                <w:sz w:val="16"/>
                <w:szCs w:val="16"/>
              </w:rPr>
              <w:t>β</w:t>
            </w:r>
            <w:r>
              <w:rPr>
                <w:rFonts w:ascii="Arial Narrow" w:hAnsi="Arial Narrow"/>
                <w:sz w:val="16"/>
                <w:szCs w:val="16"/>
              </w:rPr>
              <w:t>.</w:t>
            </w:r>
            <w:r>
              <w:rPr>
                <w:rFonts w:ascii="Arial Narrow" w:hAnsi="Arial Narrow"/>
                <w:sz w:val="16"/>
                <w:szCs w:val="16"/>
              </w:rPr>
              <w:tab/>
            </w:r>
            <w:r w:rsidRPr="006B2DB8">
              <w:rPr>
                <w:rFonts w:ascii="Arial Narrow" w:hAnsi="Arial Narrow"/>
                <w:sz w:val="16"/>
                <w:szCs w:val="16"/>
              </w:rPr>
              <w:t xml:space="preserve">Απόδοση </w:t>
            </w:r>
            <w:r>
              <w:rPr>
                <w:rFonts w:ascii="Arial Narrow" w:hAnsi="Arial Narrow"/>
                <w:sz w:val="16"/>
                <w:szCs w:val="16"/>
              </w:rPr>
              <w:t>στις Περιφέρειες</w:t>
            </w:r>
            <w:r w:rsidRPr="006B2DB8">
              <w:rPr>
                <w:rFonts w:ascii="Arial Narrow" w:hAnsi="Arial Narrow"/>
                <w:sz w:val="16"/>
                <w:szCs w:val="16"/>
              </w:rPr>
              <w:t xml:space="preserve"> ποσοστού επί των καθαρών συνολικών ετήσιων εισπράξεων του φόρου εισοδήματος φυσικών και νομικών προσώπων</w:t>
            </w:r>
          </w:p>
        </w:tc>
        <w:tc>
          <w:tcPr>
            <w:tcW w:w="1213" w:type="dxa"/>
            <w:tcBorders>
              <w:top w:val="nil"/>
              <w:left w:val="nil"/>
              <w:bottom w:val="nil"/>
              <w:right w:val="nil"/>
            </w:tcBorders>
            <w:shd w:val="clear" w:color="auto" w:fill="auto"/>
            <w:vAlign w:val="center"/>
          </w:tcPr>
          <w:p w:rsidR="00181B2F" w:rsidRPr="002F39BB" w:rsidRDefault="00516AA3" w:rsidP="004353E1">
            <w:pPr>
              <w:ind w:right="335"/>
              <w:jc w:val="right"/>
              <w:rPr>
                <w:rFonts w:ascii="Arial Narrow" w:hAnsi="Arial Narrow"/>
                <w:iCs/>
                <w:sz w:val="16"/>
                <w:szCs w:val="16"/>
              </w:rPr>
            </w:pPr>
            <w:r>
              <w:rPr>
                <w:rFonts w:ascii="Arial Narrow" w:hAnsi="Arial Narrow"/>
                <w:iCs/>
                <w:sz w:val="16"/>
                <w:szCs w:val="16"/>
              </w:rPr>
              <w:t>328</w:t>
            </w:r>
          </w:p>
        </w:tc>
        <w:tc>
          <w:tcPr>
            <w:tcW w:w="1276" w:type="dxa"/>
            <w:tcBorders>
              <w:top w:val="nil"/>
              <w:left w:val="nil"/>
              <w:bottom w:val="nil"/>
              <w:right w:val="single" w:sz="4" w:space="0" w:color="auto"/>
            </w:tcBorders>
            <w:shd w:val="clear" w:color="auto" w:fill="auto"/>
            <w:vAlign w:val="center"/>
          </w:tcPr>
          <w:p w:rsidR="00181B2F" w:rsidRPr="002F39BB" w:rsidRDefault="00181B2F" w:rsidP="004353E1">
            <w:pPr>
              <w:ind w:right="335"/>
              <w:jc w:val="right"/>
              <w:rPr>
                <w:rFonts w:ascii="Arial Narrow" w:hAnsi="Arial Narrow"/>
                <w:iCs/>
                <w:sz w:val="16"/>
                <w:szCs w:val="16"/>
              </w:rPr>
            </w:pPr>
            <w:r>
              <w:rPr>
                <w:rFonts w:ascii="Arial Narrow" w:hAnsi="Arial Narrow"/>
                <w:iCs/>
                <w:sz w:val="16"/>
                <w:szCs w:val="16"/>
              </w:rPr>
              <w:t>295</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auto"/>
            <w:vAlign w:val="center"/>
          </w:tcPr>
          <w:p w:rsidR="00181B2F" w:rsidRPr="00E263FF" w:rsidRDefault="00181B2F" w:rsidP="004353E1">
            <w:pPr>
              <w:tabs>
                <w:tab w:val="left" w:pos="258"/>
              </w:tabs>
              <w:spacing w:before="20" w:after="20"/>
              <w:ind w:left="477" w:hanging="477"/>
              <w:rPr>
                <w:rFonts w:ascii="Arial Narrow" w:hAnsi="Arial Narrow"/>
                <w:b/>
                <w:sz w:val="16"/>
                <w:szCs w:val="16"/>
              </w:rPr>
            </w:pPr>
            <w:r>
              <w:rPr>
                <w:rFonts w:ascii="Arial Narrow" w:hAnsi="Arial Narrow"/>
                <w:sz w:val="16"/>
                <w:szCs w:val="16"/>
              </w:rPr>
              <w:tab/>
            </w:r>
            <w:r>
              <w:rPr>
                <w:rFonts w:ascii="Arial Narrow" w:hAnsi="Arial Narrow"/>
                <w:b/>
                <w:sz w:val="16"/>
                <w:szCs w:val="16"/>
              </w:rPr>
              <w:t>ΙΙ.</w:t>
            </w:r>
            <w:r>
              <w:rPr>
                <w:rFonts w:ascii="Arial Narrow" w:hAnsi="Arial Narrow"/>
                <w:b/>
                <w:sz w:val="16"/>
                <w:szCs w:val="16"/>
              </w:rPr>
              <w:tab/>
              <w:t>Λοιπές επιχορηγήσεις σε ΟΤΑ β’ βαθμού</w:t>
            </w:r>
          </w:p>
        </w:tc>
        <w:tc>
          <w:tcPr>
            <w:tcW w:w="1213" w:type="dxa"/>
            <w:tcBorders>
              <w:top w:val="nil"/>
              <w:left w:val="nil"/>
              <w:bottom w:val="nil"/>
              <w:right w:val="nil"/>
            </w:tcBorders>
            <w:shd w:val="clear" w:color="auto" w:fill="auto"/>
            <w:vAlign w:val="center"/>
          </w:tcPr>
          <w:p w:rsidR="00181B2F" w:rsidRPr="002C3762" w:rsidRDefault="00181B2F" w:rsidP="004353E1">
            <w:pPr>
              <w:ind w:right="335"/>
              <w:jc w:val="right"/>
              <w:rPr>
                <w:rFonts w:ascii="Arial Narrow" w:hAnsi="Arial Narrow"/>
                <w:b/>
                <w:iCs/>
                <w:sz w:val="16"/>
                <w:szCs w:val="16"/>
              </w:rPr>
            </w:pPr>
            <w:r w:rsidRPr="002C3762">
              <w:rPr>
                <w:rFonts w:ascii="Arial Narrow" w:hAnsi="Arial Narrow"/>
                <w:b/>
                <w:iCs/>
                <w:sz w:val="16"/>
                <w:szCs w:val="16"/>
              </w:rPr>
              <w:t>1</w:t>
            </w:r>
          </w:p>
        </w:tc>
        <w:tc>
          <w:tcPr>
            <w:tcW w:w="1276" w:type="dxa"/>
            <w:tcBorders>
              <w:top w:val="nil"/>
              <w:left w:val="nil"/>
              <w:bottom w:val="nil"/>
              <w:right w:val="single" w:sz="4" w:space="0" w:color="auto"/>
            </w:tcBorders>
            <w:shd w:val="clear" w:color="auto" w:fill="auto"/>
            <w:vAlign w:val="center"/>
          </w:tcPr>
          <w:p w:rsidR="00181B2F" w:rsidRPr="002C3762" w:rsidRDefault="00181B2F" w:rsidP="004353E1">
            <w:pPr>
              <w:ind w:right="335"/>
              <w:jc w:val="right"/>
              <w:rPr>
                <w:rFonts w:ascii="Arial Narrow" w:hAnsi="Arial Narrow"/>
                <w:b/>
                <w:iCs/>
                <w:sz w:val="16"/>
                <w:szCs w:val="16"/>
              </w:rPr>
            </w:pPr>
            <w:r w:rsidRPr="002C3762">
              <w:rPr>
                <w:rFonts w:ascii="Arial Narrow" w:hAnsi="Arial Narrow"/>
                <w:b/>
                <w:iCs/>
                <w:sz w:val="16"/>
                <w:szCs w:val="16"/>
              </w:rPr>
              <w:t>0</w:t>
            </w:r>
          </w:p>
        </w:tc>
      </w:tr>
      <w:tr w:rsidR="00181B2F" w:rsidRPr="006B2DB8" w:rsidTr="000E6ADB">
        <w:trPr>
          <w:cantSplit/>
          <w:trHeight w:val="227"/>
          <w:jc w:val="center"/>
        </w:trPr>
        <w:tc>
          <w:tcPr>
            <w:tcW w:w="6019" w:type="dxa"/>
            <w:tcBorders>
              <w:top w:val="nil"/>
              <w:left w:val="single" w:sz="4" w:space="0" w:color="auto"/>
              <w:bottom w:val="nil"/>
              <w:right w:val="nil"/>
            </w:tcBorders>
            <w:shd w:val="clear" w:color="auto" w:fill="D9D9D9" w:themeFill="background1" w:themeFillShade="D9"/>
            <w:vAlign w:val="center"/>
          </w:tcPr>
          <w:p w:rsidR="00181B2F" w:rsidRPr="006B2DB8" w:rsidRDefault="00181B2F" w:rsidP="004353E1">
            <w:pPr>
              <w:spacing w:before="20" w:after="20"/>
              <w:ind w:left="258" w:hanging="258"/>
              <w:rPr>
                <w:rFonts w:ascii="Arial Narrow" w:hAnsi="Arial Narrow"/>
                <w:b/>
                <w:sz w:val="16"/>
                <w:szCs w:val="16"/>
              </w:rPr>
            </w:pPr>
            <w:r>
              <w:rPr>
                <w:rFonts w:ascii="Arial Narrow" w:hAnsi="Arial Narrow"/>
                <w:b/>
                <w:sz w:val="16"/>
                <w:szCs w:val="16"/>
              </w:rPr>
              <w:t>Γ.</w:t>
            </w:r>
            <w:r>
              <w:rPr>
                <w:rFonts w:ascii="Arial Narrow" w:hAnsi="Arial Narrow"/>
                <w:b/>
                <w:sz w:val="16"/>
                <w:szCs w:val="16"/>
              </w:rPr>
              <w:tab/>
              <w:t xml:space="preserve">ΚΑΠ </w:t>
            </w:r>
            <w:r w:rsidR="009008E4">
              <w:rPr>
                <w:rFonts w:ascii="Arial Narrow" w:hAnsi="Arial Narrow"/>
                <w:b/>
                <w:sz w:val="16"/>
                <w:szCs w:val="16"/>
                <w:lang w:val="en-US"/>
              </w:rPr>
              <w:t>OTA</w:t>
            </w:r>
            <w:r w:rsidR="009008E4" w:rsidRPr="008B486A">
              <w:rPr>
                <w:rFonts w:ascii="Arial Narrow" w:hAnsi="Arial Narrow"/>
                <w:b/>
                <w:sz w:val="16"/>
                <w:szCs w:val="16"/>
              </w:rPr>
              <w:t xml:space="preserve"> </w:t>
            </w:r>
            <w:r>
              <w:rPr>
                <w:rFonts w:ascii="Arial Narrow" w:hAnsi="Arial Narrow"/>
                <w:b/>
                <w:sz w:val="16"/>
                <w:szCs w:val="16"/>
              </w:rPr>
              <w:t>α’ και β’ βαθμού (Α.Ι + Β.Ι)</w:t>
            </w:r>
          </w:p>
        </w:tc>
        <w:tc>
          <w:tcPr>
            <w:tcW w:w="1213" w:type="dxa"/>
            <w:tcBorders>
              <w:top w:val="nil"/>
              <w:left w:val="nil"/>
              <w:bottom w:val="nil"/>
              <w:right w:val="nil"/>
            </w:tcBorders>
            <w:shd w:val="clear" w:color="auto" w:fill="D9D9D9" w:themeFill="background1" w:themeFillShade="D9"/>
            <w:vAlign w:val="center"/>
          </w:tcPr>
          <w:p w:rsidR="00181B2F" w:rsidRPr="002F39BB" w:rsidRDefault="00181B2F" w:rsidP="004353E1">
            <w:pPr>
              <w:ind w:right="335"/>
              <w:jc w:val="right"/>
              <w:rPr>
                <w:rFonts w:ascii="Arial Narrow" w:hAnsi="Arial Narrow"/>
                <w:b/>
                <w:bCs/>
                <w:sz w:val="16"/>
                <w:szCs w:val="16"/>
              </w:rPr>
            </w:pPr>
            <w:r>
              <w:rPr>
                <w:rFonts w:ascii="Arial Narrow" w:hAnsi="Arial Narrow"/>
                <w:b/>
                <w:bCs/>
                <w:sz w:val="16"/>
                <w:szCs w:val="16"/>
              </w:rPr>
              <w:t>3.140</w:t>
            </w:r>
          </w:p>
        </w:tc>
        <w:tc>
          <w:tcPr>
            <w:tcW w:w="1276" w:type="dxa"/>
            <w:tcBorders>
              <w:top w:val="nil"/>
              <w:left w:val="nil"/>
              <w:bottom w:val="nil"/>
              <w:right w:val="single" w:sz="4" w:space="0" w:color="auto"/>
            </w:tcBorders>
            <w:shd w:val="clear" w:color="auto" w:fill="D9D9D9" w:themeFill="background1" w:themeFillShade="D9"/>
            <w:vAlign w:val="center"/>
          </w:tcPr>
          <w:p w:rsidR="00181B2F" w:rsidRPr="00245B90" w:rsidRDefault="00181B2F" w:rsidP="004353E1">
            <w:pPr>
              <w:ind w:right="335"/>
              <w:jc w:val="right"/>
              <w:rPr>
                <w:rFonts w:ascii="Arial Narrow" w:hAnsi="Arial Narrow"/>
                <w:b/>
                <w:sz w:val="16"/>
                <w:szCs w:val="16"/>
              </w:rPr>
            </w:pPr>
            <w:r>
              <w:rPr>
                <w:rFonts w:ascii="Arial Narrow" w:hAnsi="Arial Narrow"/>
                <w:b/>
                <w:sz w:val="16"/>
                <w:szCs w:val="16"/>
              </w:rPr>
              <w:t xml:space="preserve">      </w:t>
            </w:r>
            <w:r w:rsidRPr="00245B90">
              <w:rPr>
                <w:rFonts w:ascii="Arial Narrow" w:hAnsi="Arial Narrow"/>
                <w:b/>
                <w:sz w:val="16"/>
                <w:szCs w:val="16"/>
              </w:rPr>
              <w:t>2</w:t>
            </w:r>
            <w:r>
              <w:rPr>
                <w:rFonts w:ascii="Arial Narrow" w:hAnsi="Arial Narrow"/>
                <w:b/>
                <w:sz w:val="16"/>
                <w:szCs w:val="16"/>
              </w:rPr>
              <w:t>.</w:t>
            </w:r>
            <w:r w:rsidR="00824F1A">
              <w:rPr>
                <w:rFonts w:ascii="Arial Narrow" w:hAnsi="Arial Narrow"/>
                <w:b/>
                <w:sz w:val="16"/>
                <w:szCs w:val="16"/>
              </w:rPr>
              <w:t>4</w:t>
            </w:r>
            <w:r w:rsidRPr="00245B90">
              <w:rPr>
                <w:rFonts w:ascii="Arial Narrow" w:hAnsi="Arial Narrow"/>
                <w:b/>
                <w:sz w:val="16"/>
                <w:szCs w:val="16"/>
              </w:rPr>
              <w:t>2</w:t>
            </w:r>
            <w:r w:rsidR="00824F1A">
              <w:rPr>
                <w:rFonts w:ascii="Arial Narrow" w:hAnsi="Arial Narrow"/>
                <w:b/>
                <w:sz w:val="16"/>
                <w:szCs w:val="16"/>
              </w:rPr>
              <w:t>5</w:t>
            </w:r>
          </w:p>
        </w:tc>
      </w:tr>
      <w:tr w:rsidR="000E6ADB" w:rsidRPr="006B2DB8" w:rsidTr="000E6ADB">
        <w:trPr>
          <w:cantSplit/>
          <w:trHeight w:val="227"/>
          <w:jc w:val="center"/>
        </w:trPr>
        <w:tc>
          <w:tcPr>
            <w:tcW w:w="6019" w:type="dxa"/>
            <w:tcBorders>
              <w:top w:val="nil"/>
              <w:left w:val="single" w:sz="4" w:space="0" w:color="auto"/>
              <w:bottom w:val="nil"/>
              <w:right w:val="nil"/>
            </w:tcBorders>
            <w:shd w:val="clear" w:color="auto" w:fill="auto"/>
            <w:vAlign w:val="center"/>
          </w:tcPr>
          <w:p w:rsidR="000E6ADB" w:rsidRDefault="000E6ADB" w:rsidP="004353E1">
            <w:pPr>
              <w:spacing w:before="20" w:after="20"/>
              <w:ind w:left="258" w:hanging="258"/>
              <w:rPr>
                <w:rFonts w:ascii="Arial Narrow" w:hAnsi="Arial Narrow"/>
                <w:b/>
                <w:sz w:val="16"/>
                <w:szCs w:val="16"/>
              </w:rPr>
            </w:pPr>
          </w:p>
        </w:tc>
        <w:tc>
          <w:tcPr>
            <w:tcW w:w="1213" w:type="dxa"/>
            <w:tcBorders>
              <w:top w:val="nil"/>
              <w:left w:val="nil"/>
              <w:bottom w:val="nil"/>
              <w:right w:val="nil"/>
            </w:tcBorders>
            <w:shd w:val="clear" w:color="auto" w:fill="auto"/>
            <w:vAlign w:val="center"/>
          </w:tcPr>
          <w:p w:rsidR="000E6ADB" w:rsidRDefault="000E6ADB" w:rsidP="004353E1">
            <w:pPr>
              <w:ind w:right="335"/>
              <w:jc w:val="right"/>
              <w:rPr>
                <w:rFonts w:ascii="Arial Narrow" w:hAnsi="Arial Narrow"/>
                <w:b/>
                <w:bCs/>
                <w:sz w:val="16"/>
                <w:szCs w:val="16"/>
              </w:rPr>
            </w:pPr>
          </w:p>
        </w:tc>
        <w:tc>
          <w:tcPr>
            <w:tcW w:w="1276" w:type="dxa"/>
            <w:tcBorders>
              <w:top w:val="nil"/>
              <w:left w:val="nil"/>
              <w:bottom w:val="nil"/>
              <w:right w:val="single" w:sz="4" w:space="0" w:color="auto"/>
            </w:tcBorders>
            <w:shd w:val="clear" w:color="auto" w:fill="auto"/>
            <w:vAlign w:val="center"/>
          </w:tcPr>
          <w:p w:rsidR="000E6ADB" w:rsidRDefault="000E6ADB" w:rsidP="004353E1">
            <w:pPr>
              <w:ind w:right="335"/>
              <w:jc w:val="right"/>
              <w:rPr>
                <w:rFonts w:ascii="Arial Narrow" w:hAnsi="Arial Narrow"/>
                <w:b/>
                <w:sz w:val="16"/>
                <w:szCs w:val="16"/>
              </w:rPr>
            </w:pPr>
          </w:p>
        </w:tc>
      </w:tr>
      <w:tr w:rsidR="00181B2F" w:rsidRPr="006B2DB8" w:rsidTr="000E6ADB">
        <w:trPr>
          <w:cantSplit/>
          <w:trHeight w:val="227"/>
          <w:jc w:val="center"/>
        </w:trPr>
        <w:tc>
          <w:tcPr>
            <w:tcW w:w="6019" w:type="dxa"/>
            <w:tcBorders>
              <w:top w:val="nil"/>
              <w:left w:val="single" w:sz="4" w:space="0" w:color="auto"/>
              <w:bottom w:val="single" w:sz="4" w:space="0" w:color="auto"/>
              <w:right w:val="nil"/>
            </w:tcBorders>
            <w:shd w:val="clear" w:color="auto" w:fill="D9D9D9" w:themeFill="background1" w:themeFillShade="D9"/>
            <w:vAlign w:val="center"/>
          </w:tcPr>
          <w:p w:rsidR="00181B2F" w:rsidRPr="006B2DB8" w:rsidRDefault="00181B2F" w:rsidP="004353E1">
            <w:pPr>
              <w:spacing w:before="20" w:after="20"/>
              <w:ind w:left="258" w:hanging="258"/>
              <w:rPr>
                <w:rFonts w:ascii="Arial Narrow" w:hAnsi="Arial Narrow"/>
                <w:b/>
                <w:sz w:val="16"/>
                <w:szCs w:val="16"/>
              </w:rPr>
            </w:pPr>
            <w:r>
              <w:rPr>
                <w:rFonts w:ascii="Arial Narrow" w:hAnsi="Arial Narrow"/>
                <w:b/>
                <w:sz w:val="16"/>
                <w:szCs w:val="16"/>
              </w:rPr>
              <w:t>Δ.</w:t>
            </w:r>
            <w:r>
              <w:rPr>
                <w:rFonts w:ascii="Arial Narrow" w:hAnsi="Arial Narrow"/>
                <w:b/>
                <w:sz w:val="16"/>
                <w:szCs w:val="16"/>
              </w:rPr>
              <w:tab/>
              <w:t>Σύνολο μεταβιβάσεων από τον Τακτικό Προϋπολογισμό του Υπ. Εσωτερικών (Α + Β)</w:t>
            </w:r>
          </w:p>
        </w:tc>
        <w:tc>
          <w:tcPr>
            <w:tcW w:w="1213" w:type="dxa"/>
            <w:tcBorders>
              <w:top w:val="nil"/>
              <w:left w:val="nil"/>
              <w:bottom w:val="single" w:sz="4" w:space="0" w:color="auto"/>
              <w:right w:val="nil"/>
            </w:tcBorders>
            <w:shd w:val="clear" w:color="auto" w:fill="D9D9D9" w:themeFill="background1" w:themeFillShade="D9"/>
            <w:vAlign w:val="center"/>
          </w:tcPr>
          <w:p w:rsidR="00181B2F" w:rsidRPr="002F39BB" w:rsidRDefault="00181B2F" w:rsidP="004353E1">
            <w:pPr>
              <w:ind w:right="335"/>
              <w:jc w:val="right"/>
              <w:rPr>
                <w:rFonts w:ascii="Arial Narrow" w:hAnsi="Arial Narrow"/>
                <w:b/>
                <w:bCs/>
                <w:sz w:val="16"/>
                <w:szCs w:val="16"/>
              </w:rPr>
            </w:pPr>
            <w:r>
              <w:rPr>
                <w:rFonts w:ascii="Arial Narrow" w:hAnsi="Arial Narrow"/>
                <w:b/>
                <w:bCs/>
                <w:sz w:val="16"/>
                <w:szCs w:val="16"/>
              </w:rPr>
              <w:t>3.198</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rsidR="00181B2F" w:rsidRPr="002F39BB" w:rsidRDefault="00181B2F" w:rsidP="004353E1">
            <w:pPr>
              <w:ind w:right="335"/>
              <w:jc w:val="right"/>
              <w:rPr>
                <w:rFonts w:ascii="Arial Narrow" w:hAnsi="Arial Narrow"/>
                <w:b/>
                <w:bCs/>
                <w:sz w:val="16"/>
                <w:szCs w:val="16"/>
              </w:rPr>
            </w:pPr>
            <w:r>
              <w:rPr>
                <w:rFonts w:ascii="Arial Narrow" w:hAnsi="Arial Narrow"/>
                <w:b/>
                <w:bCs/>
                <w:sz w:val="16"/>
                <w:szCs w:val="16"/>
              </w:rPr>
              <w:t>2.451</w:t>
            </w:r>
          </w:p>
        </w:tc>
      </w:tr>
    </w:tbl>
    <w:p w:rsidR="00181B2F" w:rsidRDefault="00181B2F" w:rsidP="00181B2F">
      <w:pPr>
        <w:jc w:val="both"/>
        <w:rPr>
          <w:bCs/>
          <w:sz w:val="22"/>
          <w:szCs w:val="22"/>
        </w:rPr>
      </w:pPr>
    </w:p>
    <w:p w:rsidR="00181B2F" w:rsidRPr="00A11BA3" w:rsidRDefault="00181B2F" w:rsidP="00181B2F">
      <w:pPr>
        <w:jc w:val="both"/>
        <w:rPr>
          <w:bCs/>
          <w:sz w:val="22"/>
          <w:szCs w:val="22"/>
        </w:rPr>
      </w:pPr>
    </w:p>
    <w:p w:rsidR="00181B2F" w:rsidRDefault="00181B2F" w:rsidP="00181B2F">
      <w:pPr>
        <w:jc w:val="both"/>
        <w:rPr>
          <w:bCs/>
          <w:sz w:val="22"/>
          <w:szCs w:val="22"/>
        </w:rPr>
      </w:pPr>
      <w:r>
        <w:rPr>
          <w:bCs/>
          <w:sz w:val="22"/>
          <w:szCs w:val="22"/>
        </w:rPr>
        <w:t>Για τους Δήμους, το 2018</w:t>
      </w:r>
      <w:r w:rsidRPr="00A11BA3">
        <w:rPr>
          <w:bCs/>
          <w:sz w:val="22"/>
          <w:szCs w:val="22"/>
        </w:rPr>
        <w:t xml:space="preserve"> οι ΚΑΠ εκτ</w:t>
      </w:r>
      <w:r>
        <w:rPr>
          <w:bCs/>
          <w:sz w:val="22"/>
          <w:szCs w:val="22"/>
        </w:rPr>
        <w:t>ιμάται να διαμορφωθούν στα 2.402</w:t>
      </w:r>
      <w:r w:rsidRPr="00A11BA3">
        <w:rPr>
          <w:bCs/>
          <w:sz w:val="22"/>
          <w:szCs w:val="22"/>
        </w:rPr>
        <w:t xml:space="preserve"> εκατ. ευρώ και για το 201</w:t>
      </w:r>
      <w:r>
        <w:rPr>
          <w:bCs/>
          <w:sz w:val="22"/>
          <w:szCs w:val="22"/>
        </w:rPr>
        <w:t>9</w:t>
      </w:r>
      <w:r w:rsidRPr="00A11BA3">
        <w:rPr>
          <w:bCs/>
          <w:sz w:val="22"/>
          <w:szCs w:val="22"/>
        </w:rPr>
        <w:t xml:space="preserve"> πρ</w:t>
      </w:r>
      <w:r>
        <w:rPr>
          <w:bCs/>
          <w:sz w:val="22"/>
          <w:szCs w:val="22"/>
        </w:rPr>
        <w:t>οβλέπ</w:t>
      </w:r>
      <w:r w:rsidR="00AB6540">
        <w:rPr>
          <w:bCs/>
          <w:sz w:val="22"/>
          <w:szCs w:val="22"/>
        </w:rPr>
        <w:t>οντα</w:t>
      </w:r>
      <w:r>
        <w:rPr>
          <w:bCs/>
          <w:sz w:val="22"/>
          <w:szCs w:val="22"/>
        </w:rPr>
        <w:t xml:space="preserve">ι στα 1.760 </w:t>
      </w:r>
      <w:r w:rsidRPr="00A11BA3">
        <w:rPr>
          <w:bCs/>
          <w:sz w:val="22"/>
          <w:szCs w:val="22"/>
        </w:rPr>
        <w:t>εκατ. ευρώ</w:t>
      </w:r>
      <w:r w:rsidR="000E6ADB">
        <w:rPr>
          <w:bCs/>
          <w:sz w:val="22"/>
          <w:szCs w:val="22"/>
        </w:rPr>
        <w:t xml:space="preserve"> λόγω νομοθετικών παρεμβάσεων (καταβολή προνοιακών επιδ</w:t>
      </w:r>
      <w:r w:rsidR="000E6ADB">
        <w:rPr>
          <w:bCs/>
          <w:sz w:val="22"/>
          <w:szCs w:val="22"/>
        </w:rPr>
        <w:t>ο</w:t>
      </w:r>
      <w:r w:rsidR="000E6ADB">
        <w:rPr>
          <w:bCs/>
          <w:sz w:val="22"/>
          <w:szCs w:val="22"/>
        </w:rPr>
        <w:t>μάτων από τον ΟΠΕΚΑ)</w:t>
      </w:r>
      <w:r w:rsidRPr="00A11BA3">
        <w:rPr>
          <w:bCs/>
          <w:sz w:val="22"/>
          <w:szCs w:val="22"/>
        </w:rPr>
        <w:t>.</w:t>
      </w:r>
      <w:r>
        <w:rPr>
          <w:bCs/>
          <w:sz w:val="22"/>
          <w:szCs w:val="22"/>
        </w:rPr>
        <w:t xml:space="preserve"> Επιπλέον</w:t>
      </w:r>
      <w:r w:rsidR="00877188">
        <w:rPr>
          <w:bCs/>
          <w:sz w:val="22"/>
          <w:szCs w:val="22"/>
        </w:rPr>
        <w:t>, οι Δήμοι</w:t>
      </w:r>
      <w:r>
        <w:rPr>
          <w:bCs/>
          <w:sz w:val="22"/>
          <w:szCs w:val="22"/>
        </w:rPr>
        <w:t xml:space="preserve"> το 2018</w:t>
      </w:r>
      <w:r w:rsidRPr="00A11BA3">
        <w:rPr>
          <w:bCs/>
          <w:sz w:val="22"/>
          <w:szCs w:val="22"/>
        </w:rPr>
        <w:t xml:space="preserve"> θα λά</w:t>
      </w:r>
      <w:r>
        <w:rPr>
          <w:bCs/>
          <w:sz w:val="22"/>
          <w:szCs w:val="22"/>
        </w:rPr>
        <w:t>βουν ειδική επιχορήγηση ύψους 39</w:t>
      </w:r>
      <w:r w:rsidRPr="00A11BA3">
        <w:rPr>
          <w:bCs/>
          <w:sz w:val="22"/>
          <w:szCs w:val="22"/>
        </w:rPr>
        <w:t xml:space="preserve"> εκατ. ευρώ, η οποία αφορά τη δαπάνη μ</w:t>
      </w:r>
      <w:r>
        <w:rPr>
          <w:bCs/>
          <w:sz w:val="22"/>
          <w:szCs w:val="22"/>
        </w:rPr>
        <w:t xml:space="preserve">ισθοδοσίας </w:t>
      </w:r>
      <w:r w:rsidRPr="00A11BA3">
        <w:rPr>
          <w:bCs/>
          <w:sz w:val="22"/>
          <w:szCs w:val="22"/>
        </w:rPr>
        <w:t>της Δ</w:t>
      </w:r>
      <w:r>
        <w:rPr>
          <w:bCs/>
          <w:sz w:val="22"/>
          <w:szCs w:val="22"/>
        </w:rPr>
        <w:t>ημοτικής Αστυνομίας. Για το 2019</w:t>
      </w:r>
      <w:r w:rsidRPr="00A11BA3">
        <w:rPr>
          <w:bCs/>
          <w:sz w:val="22"/>
          <w:szCs w:val="22"/>
        </w:rPr>
        <w:t>, η ειδική επ</w:t>
      </w:r>
      <w:r w:rsidRPr="00A11BA3">
        <w:rPr>
          <w:bCs/>
          <w:sz w:val="22"/>
          <w:szCs w:val="22"/>
        </w:rPr>
        <w:t>ι</w:t>
      </w:r>
      <w:r w:rsidRPr="00A11BA3">
        <w:rPr>
          <w:bCs/>
          <w:sz w:val="22"/>
          <w:szCs w:val="22"/>
        </w:rPr>
        <w:lastRenderedPageBreak/>
        <w:t xml:space="preserve">χορήγηση προβλέπεται </w:t>
      </w:r>
      <w:r>
        <w:rPr>
          <w:bCs/>
          <w:sz w:val="22"/>
          <w:szCs w:val="22"/>
        </w:rPr>
        <w:t>στα 21</w:t>
      </w:r>
      <w:r w:rsidRPr="00A11BA3">
        <w:rPr>
          <w:bCs/>
          <w:sz w:val="22"/>
          <w:szCs w:val="22"/>
        </w:rPr>
        <w:t xml:space="preserve"> εκ</w:t>
      </w:r>
      <w:r>
        <w:rPr>
          <w:bCs/>
          <w:sz w:val="22"/>
          <w:szCs w:val="22"/>
        </w:rPr>
        <w:t>ατ. ευρώ, διότι</w:t>
      </w:r>
      <w:r w:rsidRPr="00A11BA3">
        <w:rPr>
          <w:bCs/>
          <w:sz w:val="22"/>
          <w:szCs w:val="22"/>
        </w:rPr>
        <w:t xml:space="preserve"> </w:t>
      </w:r>
      <w:r>
        <w:rPr>
          <w:bCs/>
          <w:sz w:val="22"/>
          <w:szCs w:val="22"/>
        </w:rPr>
        <w:t xml:space="preserve">δεν περιλαμβάνεται </w:t>
      </w:r>
      <w:r w:rsidRPr="00A11BA3">
        <w:rPr>
          <w:bCs/>
          <w:sz w:val="22"/>
          <w:szCs w:val="22"/>
        </w:rPr>
        <w:t xml:space="preserve">το κόστος </w:t>
      </w:r>
      <w:r>
        <w:rPr>
          <w:bCs/>
          <w:sz w:val="22"/>
          <w:szCs w:val="22"/>
        </w:rPr>
        <w:t>μισθοδοσίας</w:t>
      </w:r>
      <w:r w:rsidRPr="00A11BA3">
        <w:rPr>
          <w:bCs/>
          <w:sz w:val="22"/>
          <w:szCs w:val="22"/>
        </w:rPr>
        <w:t xml:space="preserve"> του πρ</w:t>
      </w:r>
      <w:r w:rsidRPr="00A11BA3">
        <w:rPr>
          <w:bCs/>
          <w:sz w:val="22"/>
          <w:szCs w:val="22"/>
        </w:rPr>
        <w:t>ο</w:t>
      </w:r>
      <w:r w:rsidRPr="00A11BA3">
        <w:rPr>
          <w:bCs/>
          <w:sz w:val="22"/>
          <w:szCs w:val="22"/>
        </w:rPr>
        <w:t xml:space="preserve">σωπικού καθαριότητας των σχολικών μονάδων </w:t>
      </w:r>
      <w:r>
        <w:rPr>
          <w:bCs/>
          <w:sz w:val="22"/>
          <w:szCs w:val="22"/>
        </w:rPr>
        <w:t>για</w:t>
      </w:r>
      <w:r w:rsidRPr="00A11BA3">
        <w:rPr>
          <w:bCs/>
          <w:sz w:val="22"/>
          <w:szCs w:val="22"/>
        </w:rPr>
        <w:t xml:space="preserve"> το σχολι</w:t>
      </w:r>
      <w:r>
        <w:rPr>
          <w:bCs/>
          <w:sz w:val="22"/>
          <w:szCs w:val="22"/>
        </w:rPr>
        <w:t>κό έτος 2019-2020</w:t>
      </w:r>
      <w:r w:rsidR="00FA7E7A">
        <w:rPr>
          <w:bCs/>
          <w:sz w:val="22"/>
          <w:szCs w:val="22"/>
        </w:rPr>
        <w:t>,</w:t>
      </w:r>
      <w:r>
        <w:rPr>
          <w:bCs/>
          <w:sz w:val="22"/>
          <w:szCs w:val="22"/>
        </w:rPr>
        <w:t xml:space="preserve"> το οποίο θα βαρύνει το Υπουργείο Παιδείας. </w:t>
      </w:r>
    </w:p>
    <w:p w:rsidR="00181B2F" w:rsidRPr="00A11BA3" w:rsidRDefault="00181B2F" w:rsidP="00181B2F">
      <w:pPr>
        <w:jc w:val="both"/>
        <w:rPr>
          <w:bCs/>
          <w:sz w:val="22"/>
          <w:szCs w:val="22"/>
        </w:rPr>
      </w:pPr>
    </w:p>
    <w:p w:rsidR="00181B2F" w:rsidRDefault="00877188" w:rsidP="00181B2F">
      <w:pPr>
        <w:jc w:val="both"/>
        <w:rPr>
          <w:bCs/>
          <w:sz w:val="22"/>
          <w:szCs w:val="22"/>
        </w:rPr>
      </w:pPr>
      <w:r>
        <w:rPr>
          <w:bCs/>
          <w:sz w:val="22"/>
          <w:szCs w:val="22"/>
        </w:rPr>
        <w:t>Για τις Περιφέρειες,</w:t>
      </w:r>
      <w:r w:rsidR="00181B2F">
        <w:rPr>
          <w:bCs/>
          <w:sz w:val="22"/>
          <w:szCs w:val="22"/>
        </w:rPr>
        <w:t xml:space="preserve"> το 2018</w:t>
      </w:r>
      <w:r w:rsidR="00181B2F" w:rsidRPr="00A11BA3">
        <w:rPr>
          <w:bCs/>
          <w:sz w:val="22"/>
          <w:szCs w:val="22"/>
        </w:rPr>
        <w:t xml:space="preserve"> οι ΚΑΠ ε</w:t>
      </w:r>
      <w:r w:rsidR="00181B2F">
        <w:rPr>
          <w:bCs/>
          <w:sz w:val="22"/>
          <w:szCs w:val="22"/>
        </w:rPr>
        <w:t>κτιμάται να διαμορφωθούν στα 738</w:t>
      </w:r>
      <w:r w:rsidR="00181B2F" w:rsidRPr="00A11BA3">
        <w:rPr>
          <w:bCs/>
          <w:sz w:val="22"/>
          <w:szCs w:val="22"/>
        </w:rPr>
        <w:t xml:space="preserve"> εκατ. ευ</w:t>
      </w:r>
      <w:r w:rsidR="00363589">
        <w:rPr>
          <w:bCs/>
          <w:sz w:val="22"/>
          <w:szCs w:val="22"/>
        </w:rPr>
        <w:t>ρώ</w:t>
      </w:r>
      <w:r>
        <w:rPr>
          <w:bCs/>
          <w:sz w:val="22"/>
          <w:szCs w:val="22"/>
        </w:rPr>
        <w:t xml:space="preserve"> και για το 2019</w:t>
      </w:r>
      <w:r w:rsidR="00181B2F">
        <w:rPr>
          <w:bCs/>
          <w:sz w:val="22"/>
          <w:szCs w:val="22"/>
        </w:rPr>
        <w:t xml:space="preserve"> προβλέπ</w:t>
      </w:r>
      <w:r>
        <w:rPr>
          <w:bCs/>
          <w:sz w:val="22"/>
          <w:szCs w:val="22"/>
        </w:rPr>
        <w:t>ονται</w:t>
      </w:r>
      <w:r w:rsidR="00181B2F">
        <w:rPr>
          <w:bCs/>
          <w:sz w:val="22"/>
          <w:szCs w:val="22"/>
        </w:rPr>
        <w:t xml:space="preserve"> </w:t>
      </w:r>
      <w:r w:rsidR="00363589">
        <w:rPr>
          <w:bCs/>
          <w:sz w:val="22"/>
          <w:szCs w:val="22"/>
        </w:rPr>
        <w:t>σ</w:t>
      </w:r>
      <w:r w:rsidR="00181B2F">
        <w:rPr>
          <w:bCs/>
          <w:sz w:val="22"/>
          <w:szCs w:val="22"/>
        </w:rPr>
        <w:t>τα 665</w:t>
      </w:r>
      <w:r w:rsidR="00181B2F" w:rsidRPr="00A11BA3">
        <w:rPr>
          <w:bCs/>
          <w:sz w:val="22"/>
          <w:szCs w:val="22"/>
        </w:rPr>
        <w:t xml:space="preserve"> εκ</w:t>
      </w:r>
      <w:r w:rsidR="00C27384">
        <w:rPr>
          <w:bCs/>
          <w:sz w:val="22"/>
          <w:szCs w:val="22"/>
        </w:rPr>
        <w:t>ατ. ευρώ, μειωμένοι κυρίως λόγω καταβολής του διατροφικού επιδόματος από τον ΟΠΕΚΑ.</w:t>
      </w:r>
    </w:p>
    <w:p w:rsidR="00D9145D" w:rsidRDefault="00D9145D" w:rsidP="00181B2F">
      <w:pPr>
        <w:jc w:val="both"/>
        <w:rPr>
          <w:bCs/>
          <w:sz w:val="22"/>
          <w:szCs w:val="22"/>
        </w:rPr>
      </w:pPr>
    </w:p>
    <w:p w:rsidR="00DA54B4" w:rsidRPr="00253D8E" w:rsidRDefault="00DA54B4" w:rsidP="00DA54B4">
      <w:pPr>
        <w:autoSpaceDE w:val="0"/>
        <w:autoSpaceDN w:val="0"/>
        <w:adjustRightInd w:val="0"/>
        <w:jc w:val="both"/>
        <w:rPr>
          <w:rFonts w:ascii="Arial Narrow" w:hAnsi="Arial Narrow"/>
          <w:b/>
          <w:sz w:val="20"/>
          <w:szCs w:val="20"/>
        </w:rPr>
      </w:pPr>
      <w:r w:rsidRPr="00253D8E">
        <w:rPr>
          <w:rFonts w:ascii="Arial Narrow" w:hAnsi="Arial Narrow"/>
          <w:b/>
          <w:sz w:val="20"/>
          <w:szCs w:val="20"/>
        </w:rPr>
        <w:t>Πρώην Υπουργείο Μακεδονίας και Θράκης</w:t>
      </w:r>
    </w:p>
    <w:p w:rsidR="00DA54B4" w:rsidRPr="00253D8E" w:rsidRDefault="00DA54B4" w:rsidP="00DA54B4">
      <w:pPr>
        <w:autoSpaceDE w:val="0"/>
        <w:autoSpaceDN w:val="0"/>
        <w:adjustRightInd w:val="0"/>
        <w:jc w:val="both"/>
        <w:rPr>
          <w:color w:val="000000"/>
          <w:sz w:val="22"/>
          <w:szCs w:val="22"/>
        </w:rPr>
      </w:pPr>
    </w:p>
    <w:p w:rsidR="00DA54B4" w:rsidRDefault="00D81340" w:rsidP="00DA54B4">
      <w:pPr>
        <w:autoSpaceDE w:val="0"/>
        <w:autoSpaceDN w:val="0"/>
        <w:adjustRightInd w:val="0"/>
        <w:jc w:val="both"/>
        <w:rPr>
          <w:color w:val="000000"/>
          <w:sz w:val="22"/>
          <w:szCs w:val="22"/>
        </w:rPr>
      </w:pPr>
      <w:r>
        <w:rPr>
          <w:color w:val="000000"/>
          <w:sz w:val="22"/>
          <w:szCs w:val="22"/>
        </w:rPr>
        <w:t xml:space="preserve">Οι πιστώσεις του </w:t>
      </w:r>
      <w:r w:rsidR="00D9145D">
        <w:rPr>
          <w:color w:val="000000"/>
          <w:sz w:val="22"/>
          <w:szCs w:val="22"/>
        </w:rPr>
        <w:t xml:space="preserve">τακτικού </w:t>
      </w:r>
      <w:r>
        <w:rPr>
          <w:color w:val="000000"/>
          <w:sz w:val="22"/>
          <w:szCs w:val="22"/>
        </w:rPr>
        <w:t>προϋπολογισμού θα καλύψουν</w:t>
      </w:r>
      <w:r w:rsidR="00DA54B4" w:rsidRPr="00253D8E">
        <w:rPr>
          <w:color w:val="000000"/>
          <w:sz w:val="22"/>
          <w:szCs w:val="22"/>
        </w:rPr>
        <w:t xml:space="preserve"> πέραν των λειτουργικών του δαπανών και την επιχορήγηση των εποπτευόμενων νομικών προσώπων</w:t>
      </w:r>
      <w:r w:rsidR="00877188">
        <w:rPr>
          <w:color w:val="000000"/>
          <w:sz w:val="22"/>
          <w:szCs w:val="22"/>
        </w:rPr>
        <w:t>:</w:t>
      </w:r>
      <w:r w:rsidR="00DA54B4" w:rsidRPr="00253D8E">
        <w:rPr>
          <w:color w:val="000000"/>
          <w:sz w:val="22"/>
          <w:szCs w:val="22"/>
        </w:rPr>
        <w:t xml:space="preserve"> Κέντρο Διαφύλαξης Αγιορείτικης Κληρ</w:t>
      </w:r>
      <w:r w:rsidR="00DA54B4" w:rsidRPr="00253D8E">
        <w:rPr>
          <w:color w:val="000000"/>
          <w:sz w:val="22"/>
          <w:szCs w:val="22"/>
        </w:rPr>
        <w:t>ο</w:t>
      </w:r>
      <w:r w:rsidR="00DA54B4" w:rsidRPr="00253D8E">
        <w:rPr>
          <w:color w:val="000000"/>
          <w:sz w:val="22"/>
          <w:szCs w:val="22"/>
        </w:rPr>
        <w:t>νομιάς (ΚΕΔΑΚ) και Αλεξάνδρεια Ζώνη Καινοτομίας ΑΕ.</w:t>
      </w:r>
    </w:p>
    <w:p w:rsidR="00D9145D" w:rsidRDefault="00D9145D" w:rsidP="00DA54B4">
      <w:pPr>
        <w:autoSpaceDE w:val="0"/>
        <w:autoSpaceDN w:val="0"/>
        <w:adjustRightInd w:val="0"/>
        <w:jc w:val="both"/>
        <w:rPr>
          <w:color w:val="000000"/>
          <w:sz w:val="22"/>
          <w:szCs w:val="22"/>
        </w:rPr>
      </w:pPr>
    </w:p>
    <w:p w:rsidR="00D9145D" w:rsidRPr="00571AF0" w:rsidRDefault="00D9145D" w:rsidP="00D9145D">
      <w:pPr>
        <w:contextualSpacing/>
        <w:jc w:val="both"/>
        <w:rPr>
          <w:bCs/>
          <w:sz w:val="22"/>
          <w:szCs w:val="22"/>
        </w:rPr>
      </w:pPr>
      <w:r w:rsidRPr="00571AF0">
        <w:rPr>
          <w:bCs/>
          <w:sz w:val="22"/>
          <w:szCs w:val="22"/>
        </w:rPr>
        <w:t>Οι πιστώσεις του προϋπολογισμού δημοσίων επενδύσεων του φορέα χρηματοδοτούν κυρίως δράσεις για την τοπική ανάπτυξη.</w:t>
      </w:r>
    </w:p>
    <w:p w:rsidR="00181B2F" w:rsidRDefault="00181B2F" w:rsidP="00DA54B4">
      <w:pPr>
        <w:jc w:val="both"/>
        <w:rPr>
          <w:rFonts w:ascii="Arial Narrow" w:hAnsi="Arial Narrow"/>
          <w:b/>
          <w:i/>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Εξωτερικών</w:t>
      </w:r>
    </w:p>
    <w:p w:rsidR="00DA54B4" w:rsidRPr="00253D8E" w:rsidRDefault="00DA54B4" w:rsidP="00DA54B4">
      <w:pPr>
        <w:rPr>
          <w:b/>
          <w:sz w:val="22"/>
          <w:szCs w:val="22"/>
        </w:rPr>
      </w:pPr>
    </w:p>
    <w:p w:rsidR="00DA54B4" w:rsidRPr="00253D8E" w:rsidRDefault="00DA54B4" w:rsidP="00DA54B4">
      <w:pPr>
        <w:rPr>
          <w:sz w:val="22"/>
          <w:szCs w:val="22"/>
        </w:rPr>
      </w:pPr>
      <w:r w:rsidRPr="00253D8E">
        <w:rPr>
          <w:sz w:val="22"/>
          <w:szCs w:val="22"/>
        </w:rPr>
        <w:t xml:space="preserve">Οι πιστώσεις του </w:t>
      </w:r>
      <w:r w:rsidR="00D9145D">
        <w:rPr>
          <w:sz w:val="22"/>
          <w:szCs w:val="22"/>
        </w:rPr>
        <w:t xml:space="preserve">τακτικού </w:t>
      </w:r>
      <w:r w:rsidRPr="00253D8E">
        <w:rPr>
          <w:sz w:val="22"/>
          <w:szCs w:val="22"/>
        </w:rPr>
        <w:t>προϋπολογισμού</w:t>
      </w:r>
      <w:r w:rsidR="0068124D">
        <w:rPr>
          <w:sz w:val="22"/>
          <w:szCs w:val="22"/>
        </w:rPr>
        <w:t xml:space="preserve"> </w:t>
      </w:r>
      <w:r w:rsidRPr="00253D8E">
        <w:rPr>
          <w:sz w:val="22"/>
          <w:szCs w:val="22"/>
        </w:rPr>
        <w:t>θα καλύψουν κυρίως</w:t>
      </w:r>
      <w:r w:rsidR="0068124D">
        <w:rPr>
          <w:sz w:val="22"/>
          <w:szCs w:val="22"/>
        </w:rPr>
        <w:t xml:space="preserve"> </w:t>
      </w:r>
      <w:r w:rsidRPr="00253D8E">
        <w:rPr>
          <w:sz w:val="22"/>
          <w:szCs w:val="22"/>
        </w:rPr>
        <w:t>δαπάνες για :</w:t>
      </w:r>
    </w:p>
    <w:p w:rsidR="00DA54B4" w:rsidRPr="00253D8E" w:rsidRDefault="00DA54B4" w:rsidP="00DA54B4">
      <w:pPr>
        <w:rPr>
          <w:sz w:val="22"/>
          <w:szCs w:val="22"/>
        </w:rPr>
      </w:pPr>
    </w:p>
    <w:p w:rsidR="00DA54B4" w:rsidRPr="00253D8E" w:rsidRDefault="00DA54B4" w:rsidP="00DA54B4">
      <w:pPr>
        <w:numPr>
          <w:ilvl w:val="0"/>
          <w:numId w:val="1"/>
        </w:numPr>
        <w:autoSpaceDE w:val="0"/>
        <w:autoSpaceDN w:val="0"/>
        <w:adjustRightInd w:val="0"/>
        <w:ind w:left="284" w:hanging="284"/>
        <w:jc w:val="both"/>
        <w:rPr>
          <w:color w:val="000000"/>
          <w:sz w:val="22"/>
          <w:szCs w:val="22"/>
        </w:rPr>
      </w:pPr>
      <w:r w:rsidRPr="00253D8E">
        <w:rPr>
          <w:sz w:val="22"/>
          <w:szCs w:val="22"/>
        </w:rPr>
        <w:t xml:space="preserve">τις εισφορές σε διεθνείς οργανισμούς, καθώς και τη συμμετοχή της χώρας </w:t>
      </w:r>
      <w:r w:rsidRPr="00253D8E">
        <w:rPr>
          <w:color w:val="000000"/>
          <w:sz w:val="22"/>
          <w:szCs w:val="22"/>
        </w:rPr>
        <w:t>στις δαπάνες των ειρ</w:t>
      </w:r>
      <w:r w:rsidRPr="00253D8E">
        <w:rPr>
          <w:color w:val="000000"/>
          <w:sz w:val="22"/>
          <w:szCs w:val="22"/>
        </w:rPr>
        <w:t>η</w:t>
      </w:r>
      <w:r w:rsidRPr="00253D8E">
        <w:rPr>
          <w:color w:val="000000"/>
          <w:sz w:val="22"/>
          <w:szCs w:val="22"/>
        </w:rPr>
        <w:t>νευτικών αποστολών του ΟΗΕ,</w:t>
      </w:r>
    </w:p>
    <w:p w:rsidR="00DA54B4" w:rsidRPr="00253D8E" w:rsidRDefault="00DA54B4" w:rsidP="00DA54B4">
      <w:pPr>
        <w:numPr>
          <w:ilvl w:val="0"/>
          <w:numId w:val="1"/>
        </w:numPr>
        <w:autoSpaceDE w:val="0"/>
        <w:autoSpaceDN w:val="0"/>
        <w:adjustRightInd w:val="0"/>
        <w:ind w:left="284" w:hanging="284"/>
        <w:jc w:val="both"/>
        <w:rPr>
          <w:sz w:val="22"/>
          <w:szCs w:val="22"/>
        </w:rPr>
      </w:pPr>
      <w:r w:rsidRPr="00253D8E">
        <w:rPr>
          <w:sz w:val="22"/>
          <w:szCs w:val="22"/>
        </w:rPr>
        <w:t xml:space="preserve">τις </w:t>
      </w:r>
      <w:r w:rsidRPr="00253D8E">
        <w:rPr>
          <w:color w:val="000000"/>
          <w:sz w:val="22"/>
          <w:szCs w:val="22"/>
        </w:rPr>
        <w:t>λειτουργικές</w:t>
      </w:r>
      <w:r w:rsidRPr="00253D8E">
        <w:rPr>
          <w:sz w:val="22"/>
          <w:szCs w:val="22"/>
        </w:rPr>
        <w:t xml:space="preserve"> δαπάνες της Γενικής Γραμματείας του Υπουργείου, της Γενικής Γραμματείας </w:t>
      </w:r>
      <w:r w:rsidRPr="00253D8E">
        <w:rPr>
          <w:sz w:val="22"/>
          <w:szCs w:val="22"/>
        </w:rPr>
        <w:t>Α</w:t>
      </w:r>
      <w:r w:rsidRPr="00253D8E">
        <w:rPr>
          <w:sz w:val="22"/>
          <w:szCs w:val="22"/>
        </w:rPr>
        <w:t>πόδημου Ελληνισμού και</w:t>
      </w:r>
      <w:r w:rsidR="0068124D">
        <w:rPr>
          <w:sz w:val="22"/>
          <w:szCs w:val="22"/>
        </w:rPr>
        <w:t xml:space="preserve"> </w:t>
      </w:r>
      <w:r w:rsidRPr="00253D8E">
        <w:rPr>
          <w:sz w:val="22"/>
          <w:szCs w:val="22"/>
        </w:rPr>
        <w:t>των αρχών εξωτερικής υπηρεσίας και</w:t>
      </w:r>
    </w:p>
    <w:p w:rsidR="00DA54B4" w:rsidRDefault="00DA54B4" w:rsidP="00DA54B4">
      <w:pPr>
        <w:numPr>
          <w:ilvl w:val="0"/>
          <w:numId w:val="1"/>
        </w:numPr>
        <w:autoSpaceDE w:val="0"/>
        <w:autoSpaceDN w:val="0"/>
        <w:adjustRightInd w:val="0"/>
        <w:ind w:left="284" w:hanging="284"/>
        <w:jc w:val="both"/>
        <w:rPr>
          <w:sz w:val="22"/>
          <w:szCs w:val="22"/>
        </w:rPr>
      </w:pPr>
      <w:r w:rsidRPr="00253D8E">
        <w:rPr>
          <w:sz w:val="22"/>
          <w:szCs w:val="22"/>
        </w:rPr>
        <w:t xml:space="preserve">τις δράσεις στον τομέα της παροχής διμερούς αναπτυξιακής βοήθειας προς τρίτες </w:t>
      </w:r>
      <w:r w:rsidRPr="00253D8E">
        <w:rPr>
          <w:color w:val="000000"/>
          <w:sz w:val="22"/>
          <w:szCs w:val="22"/>
        </w:rPr>
        <w:t>χώρες</w:t>
      </w:r>
      <w:r w:rsidRPr="00253D8E">
        <w:rPr>
          <w:sz w:val="22"/>
          <w:szCs w:val="22"/>
        </w:rPr>
        <w:t>.</w:t>
      </w:r>
    </w:p>
    <w:p w:rsidR="00D9145D" w:rsidRDefault="00D9145D" w:rsidP="00D9145D">
      <w:pPr>
        <w:autoSpaceDE w:val="0"/>
        <w:autoSpaceDN w:val="0"/>
        <w:adjustRightInd w:val="0"/>
        <w:jc w:val="both"/>
        <w:rPr>
          <w:sz w:val="22"/>
          <w:szCs w:val="22"/>
        </w:rPr>
      </w:pPr>
    </w:p>
    <w:p w:rsidR="00D9145D" w:rsidRPr="00B925B3" w:rsidRDefault="00D9145D" w:rsidP="00D9145D">
      <w:pPr>
        <w:contextualSpacing/>
        <w:jc w:val="both"/>
        <w:rPr>
          <w:bCs/>
          <w:sz w:val="22"/>
          <w:szCs w:val="22"/>
        </w:rPr>
      </w:pPr>
      <w:r w:rsidRPr="00571AF0">
        <w:rPr>
          <w:bCs/>
          <w:sz w:val="22"/>
          <w:szCs w:val="22"/>
        </w:rPr>
        <w:t>Οι πιστώσεις του προϋπολογισμού δημοσίων επενδύσεων του φορέα χρηματοδοτούν κυρίως οριζόντ</w:t>
      </w:r>
      <w:r w:rsidRPr="00571AF0">
        <w:rPr>
          <w:bCs/>
          <w:sz w:val="22"/>
          <w:szCs w:val="22"/>
        </w:rPr>
        <w:t>ι</w:t>
      </w:r>
      <w:r w:rsidRPr="00571AF0">
        <w:rPr>
          <w:bCs/>
          <w:sz w:val="22"/>
          <w:szCs w:val="22"/>
        </w:rPr>
        <w:t xml:space="preserve">ες δράσεις για τον διοικητικό εκσυγχρονισμό των οικείων υπηρεσιών, την ενίσχυση της εξαγωγικής επιχειρηματικότητας, καθώς και </w:t>
      </w:r>
      <w:r w:rsidRPr="00B925B3">
        <w:rPr>
          <w:bCs/>
          <w:sz w:val="22"/>
          <w:szCs w:val="22"/>
        </w:rPr>
        <w:t xml:space="preserve">δαπάνες στον μεταναστευτικό τομέα στο </w:t>
      </w:r>
      <w:r w:rsidR="003414B6">
        <w:rPr>
          <w:bCs/>
          <w:sz w:val="22"/>
          <w:szCs w:val="22"/>
        </w:rPr>
        <w:t>πλαίσιο</w:t>
      </w:r>
      <w:r w:rsidRPr="00B925B3">
        <w:rPr>
          <w:bCs/>
          <w:sz w:val="22"/>
          <w:szCs w:val="22"/>
        </w:rPr>
        <w:t xml:space="preserve"> της αρμοδιότητας του Υπουργείου.</w:t>
      </w:r>
    </w:p>
    <w:p w:rsidR="00DA54B4" w:rsidRDefault="00DA54B4" w:rsidP="00DA54B4">
      <w:pPr>
        <w:jc w:val="both"/>
        <w:rPr>
          <w:rFonts w:ascii="Arial Narrow" w:hAnsi="Arial Narrow"/>
          <w:b/>
          <w:i/>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Εθνικής Άμυνας</w:t>
      </w:r>
    </w:p>
    <w:p w:rsidR="00DA54B4" w:rsidRPr="00253D8E" w:rsidRDefault="00DA54B4" w:rsidP="00DA54B4">
      <w:pPr>
        <w:autoSpaceDE w:val="0"/>
        <w:autoSpaceDN w:val="0"/>
        <w:adjustRightInd w:val="0"/>
        <w:jc w:val="both"/>
        <w:rPr>
          <w:rFonts w:ascii="Arial Narrow" w:hAnsi="Arial Narrow"/>
          <w:b/>
          <w:i/>
          <w:sz w:val="22"/>
        </w:rPr>
      </w:pPr>
    </w:p>
    <w:p w:rsidR="00DA54B4" w:rsidRPr="00253D8E" w:rsidRDefault="00D9145D" w:rsidP="00DA54B4">
      <w:pPr>
        <w:autoSpaceDE w:val="0"/>
        <w:autoSpaceDN w:val="0"/>
        <w:adjustRightInd w:val="0"/>
        <w:jc w:val="both"/>
        <w:rPr>
          <w:color w:val="000000"/>
          <w:sz w:val="22"/>
          <w:szCs w:val="22"/>
        </w:rPr>
      </w:pPr>
      <w:r>
        <w:rPr>
          <w:color w:val="000000"/>
          <w:sz w:val="22"/>
          <w:szCs w:val="22"/>
        </w:rPr>
        <w:t xml:space="preserve">Στον τακτικό προϋπολογισμό του </w:t>
      </w:r>
      <w:r w:rsidR="009A56AF">
        <w:rPr>
          <w:color w:val="000000"/>
          <w:sz w:val="22"/>
          <w:szCs w:val="22"/>
        </w:rPr>
        <w:t>Υπουργείου έ</w:t>
      </w:r>
      <w:r w:rsidR="00DA54B4" w:rsidRPr="00253D8E">
        <w:rPr>
          <w:color w:val="000000"/>
          <w:sz w:val="22"/>
          <w:szCs w:val="22"/>
        </w:rPr>
        <w:t>χουν προβλεφθεί πιστώσεις που θα καλύψουν δαπάνες για:</w:t>
      </w:r>
    </w:p>
    <w:p w:rsidR="00DA54B4" w:rsidRPr="00253D8E" w:rsidRDefault="00DA54B4" w:rsidP="00DA54B4">
      <w:pPr>
        <w:autoSpaceDE w:val="0"/>
        <w:autoSpaceDN w:val="0"/>
        <w:adjustRightInd w:val="0"/>
        <w:jc w:val="both"/>
        <w:rPr>
          <w:color w:val="000000"/>
          <w:sz w:val="22"/>
          <w:szCs w:val="22"/>
        </w:rPr>
      </w:pPr>
    </w:p>
    <w:p w:rsidR="00DA54B4" w:rsidRPr="00253D8E" w:rsidRDefault="00DA54B4" w:rsidP="00DA54B4">
      <w:pPr>
        <w:numPr>
          <w:ilvl w:val="0"/>
          <w:numId w:val="1"/>
        </w:numPr>
        <w:autoSpaceDE w:val="0"/>
        <w:autoSpaceDN w:val="0"/>
        <w:adjustRightInd w:val="0"/>
        <w:ind w:left="284" w:hanging="284"/>
        <w:jc w:val="both"/>
        <w:rPr>
          <w:color w:val="000000"/>
          <w:sz w:val="22"/>
          <w:szCs w:val="22"/>
        </w:rPr>
      </w:pPr>
      <w:r w:rsidRPr="00253D8E">
        <w:rPr>
          <w:color w:val="000000"/>
          <w:sz w:val="22"/>
          <w:szCs w:val="22"/>
        </w:rPr>
        <w:t>την περίθαλψη των στελεχών των Ενόπλων Δυνάμεων,</w:t>
      </w:r>
    </w:p>
    <w:p w:rsidR="00DA54B4" w:rsidRPr="00253D8E" w:rsidRDefault="00DA54B4" w:rsidP="00DA54B4">
      <w:pPr>
        <w:numPr>
          <w:ilvl w:val="0"/>
          <w:numId w:val="1"/>
        </w:numPr>
        <w:autoSpaceDE w:val="0"/>
        <w:autoSpaceDN w:val="0"/>
        <w:adjustRightInd w:val="0"/>
        <w:ind w:left="284" w:hanging="284"/>
        <w:jc w:val="both"/>
        <w:rPr>
          <w:color w:val="000000"/>
          <w:sz w:val="22"/>
          <w:szCs w:val="22"/>
        </w:rPr>
      </w:pPr>
      <w:r w:rsidRPr="00253D8E">
        <w:rPr>
          <w:color w:val="000000"/>
          <w:sz w:val="22"/>
          <w:szCs w:val="22"/>
        </w:rPr>
        <w:t>την εκπαίδευση και κατάρτιση του προσωπικού,</w:t>
      </w:r>
    </w:p>
    <w:p w:rsidR="00DA54B4" w:rsidRPr="00253D8E" w:rsidRDefault="00DA54B4" w:rsidP="00DA54B4">
      <w:pPr>
        <w:numPr>
          <w:ilvl w:val="0"/>
          <w:numId w:val="1"/>
        </w:numPr>
        <w:autoSpaceDE w:val="0"/>
        <w:autoSpaceDN w:val="0"/>
        <w:adjustRightInd w:val="0"/>
        <w:ind w:left="284" w:hanging="284"/>
        <w:jc w:val="both"/>
        <w:rPr>
          <w:color w:val="000000"/>
          <w:sz w:val="22"/>
          <w:szCs w:val="22"/>
        </w:rPr>
      </w:pPr>
      <w:r w:rsidRPr="00253D8E">
        <w:rPr>
          <w:color w:val="000000"/>
          <w:sz w:val="22"/>
          <w:szCs w:val="22"/>
        </w:rPr>
        <w:t>τη συμμετοχή των Ενόπλων Δυνάμεων σε ειρηνευτικές αποστολές,</w:t>
      </w:r>
    </w:p>
    <w:p w:rsidR="00DA54B4" w:rsidRPr="00253D8E" w:rsidRDefault="00DA54B4" w:rsidP="00DA54B4">
      <w:pPr>
        <w:numPr>
          <w:ilvl w:val="0"/>
          <w:numId w:val="1"/>
        </w:numPr>
        <w:autoSpaceDE w:val="0"/>
        <w:autoSpaceDN w:val="0"/>
        <w:adjustRightInd w:val="0"/>
        <w:ind w:left="284" w:hanging="284"/>
        <w:jc w:val="both"/>
        <w:rPr>
          <w:color w:val="000000"/>
          <w:sz w:val="22"/>
          <w:szCs w:val="22"/>
        </w:rPr>
      </w:pPr>
      <w:r w:rsidRPr="00253D8E">
        <w:rPr>
          <w:color w:val="000000"/>
          <w:sz w:val="22"/>
          <w:szCs w:val="22"/>
        </w:rPr>
        <w:t xml:space="preserve">την προμήθεια καυσίμων και υγειονομικού υλικού για τα στρατιωτικά νοσοκομεία, </w:t>
      </w:r>
    </w:p>
    <w:p w:rsidR="00DA54B4" w:rsidRPr="00253D8E" w:rsidRDefault="00DA54B4" w:rsidP="00DA54B4">
      <w:pPr>
        <w:numPr>
          <w:ilvl w:val="0"/>
          <w:numId w:val="1"/>
        </w:numPr>
        <w:autoSpaceDE w:val="0"/>
        <w:autoSpaceDN w:val="0"/>
        <w:adjustRightInd w:val="0"/>
        <w:ind w:left="284" w:hanging="284"/>
        <w:jc w:val="both"/>
        <w:rPr>
          <w:color w:val="000000"/>
          <w:sz w:val="22"/>
          <w:szCs w:val="22"/>
        </w:rPr>
      </w:pPr>
      <w:r w:rsidRPr="00253D8E">
        <w:rPr>
          <w:color w:val="000000"/>
          <w:sz w:val="22"/>
          <w:szCs w:val="22"/>
        </w:rPr>
        <w:t>τις εθνικές υποχρεώσεις που απορρέουν από τη συμμετοχή της Ελλάδας στο ΝΑΤΟ,</w:t>
      </w:r>
    </w:p>
    <w:p w:rsidR="00DA54B4" w:rsidRPr="00253D8E" w:rsidRDefault="00DA54B4" w:rsidP="00DA54B4">
      <w:pPr>
        <w:numPr>
          <w:ilvl w:val="0"/>
          <w:numId w:val="1"/>
        </w:numPr>
        <w:autoSpaceDE w:val="0"/>
        <w:autoSpaceDN w:val="0"/>
        <w:adjustRightInd w:val="0"/>
        <w:ind w:left="284" w:hanging="284"/>
        <w:jc w:val="both"/>
        <w:rPr>
          <w:color w:val="000000"/>
          <w:sz w:val="22"/>
          <w:szCs w:val="22"/>
        </w:rPr>
      </w:pPr>
      <w:r w:rsidRPr="00253D8E">
        <w:rPr>
          <w:color w:val="000000"/>
          <w:sz w:val="22"/>
          <w:szCs w:val="22"/>
        </w:rPr>
        <w:t>τις εισφορές της Εθνικής Μετεωρολογικής Υπηρεσίας σε Διεθνείς Οργανισμούς και</w:t>
      </w:r>
    </w:p>
    <w:p w:rsidR="00DA54B4" w:rsidRDefault="00DA54B4" w:rsidP="00DA54B4">
      <w:pPr>
        <w:numPr>
          <w:ilvl w:val="0"/>
          <w:numId w:val="1"/>
        </w:numPr>
        <w:autoSpaceDE w:val="0"/>
        <w:autoSpaceDN w:val="0"/>
        <w:adjustRightInd w:val="0"/>
        <w:ind w:left="284" w:hanging="284"/>
        <w:jc w:val="both"/>
        <w:rPr>
          <w:color w:val="000000"/>
          <w:sz w:val="22"/>
          <w:szCs w:val="22"/>
        </w:rPr>
      </w:pPr>
      <w:r w:rsidRPr="00253D8E">
        <w:rPr>
          <w:color w:val="000000"/>
          <w:sz w:val="22"/>
          <w:szCs w:val="22"/>
        </w:rPr>
        <w:t>τις υποχρεώσεις που απορρέουν από την υλοποίηση εξοπλιστικών προγραμμάτων.</w:t>
      </w:r>
    </w:p>
    <w:p w:rsidR="009A56AF" w:rsidRDefault="009A56AF" w:rsidP="009A56AF">
      <w:pPr>
        <w:autoSpaceDE w:val="0"/>
        <w:autoSpaceDN w:val="0"/>
        <w:adjustRightInd w:val="0"/>
        <w:jc w:val="both"/>
        <w:rPr>
          <w:color w:val="000000"/>
          <w:sz w:val="22"/>
          <w:szCs w:val="22"/>
        </w:rPr>
      </w:pPr>
    </w:p>
    <w:p w:rsidR="009A56AF" w:rsidRPr="00B925B3" w:rsidRDefault="009A56AF" w:rsidP="009A56AF">
      <w:pPr>
        <w:autoSpaceDE w:val="0"/>
        <w:autoSpaceDN w:val="0"/>
        <w:adjustRightInd w:val="0"/>
        <w:jc w:val="both"/>
        <w:rPr>
          <w:sz w:val="22"/>
          <w:szCs w:val="22"/>
        </w:rPr>
      </w:pPr>
      <w:r>
        <w:rPr>
          <w:color w:val="000000"/>
          <w:sz w:val="22"/>
          <w:szCs w:val="22"/>
        </w:rPr>
        <w:t>Οι πιστώσεις του προϋπολογισμού δημοσίων επενδύσεων του φορέα χρηματοδοτούν δαπάνες στρατ</w:t>
      </w:r>
      <w:r>
        <w:rPr>
          <w:color w:val="000000"/>
          <w:sz w:val="22"/>
          <w:szCs w:val="22"/>
        </w:rPr>
        <w:t>ι</w:t>
      </w:r>
      <w:r>
        <w:rPr>
          <w:color w:val="000000"/>
          <w:sz w:val="22"/>
          <w:szCs w:val="22"/>
        </w:rPr>
        <w:t xml:space="preserve">ωτικών έργων και δαπάνες στον μεταναστευτικό τομέα </w:t>
      </w:r>
      <w:r w:rsidRPr="00B925B3">
        <w:rPr>
          <w:sz w:val="22"/>
          <w:szCs w:val="22"/>
        </w:rPr>
        <w:t xml:space="preserve">στο </w:t>
      </w:r>
      <w:r w:rsidR="00346CCD">
        <w:rPr>
          <w:sz w:val="22"/>
          <w:szCs w:val="22"/>
        </w:rPr>
        <w:t>πλαίσιο</w:t>
      </w:r>
      <w:r w:rsidRPr="00B925B3">
        <w:rPr>
          <w:sz w:val="22"/>
          <w:szCs w:val="22"/>
        </w:rPr>
        <w:t xml:space="preserve"> της αρμοδιότητας του Υπουργε</w:t>
      </w:r>
      <w:r w:rsidRPr="00B925B3">
        <w:rPr>
          <w:sz w:val="22"/>
          <w:szCs w:val="22"/>
        </w:rPr>
        <w:t>ί</w:t>
      </w:r>
      <w:r w:rsidRPr="00B925B3">
        <w:rPr>
          <w:sz w:val="22"/>
          <w:szCs w:val="22"/>
        </w:rPr>
        <w:t>ου.</w:t>
      </w:r>
    </w:p>
    <w:p w:rsidR="00DA54B4" w:rsidRDefault="00DA54B4" w:rsidP="00DA54B4">
      <w:pPr>
        <w:jc w:val="both"/>
        <w:rPr>
          <w:rFonts w:ascii="Arial Narrow" w:hAnsi="Arial Narrow"/>
          <w:b/>
          <w:i/>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Υγείας</w:t>
      </w:r>
    </w:p>
    <w:p w:rsidR="00DA54B4" w:rsidRPr="00253D8E" w:rsidRDefault="00DA54B4" w:rsidP="00DA54B4">
      <w:pPr>
        <w:autoSpaceDE w:val="0"/>
        <w:autoSpaceDN w:val="0"/>
        <w:adjustRightInd w:val="0"/>
        <w:jc w:val="both"/>
        <w:rPr>
          <w:color w:val="000000"/>
          <w:sz w:val="22"/>
          <w:szCs w:val="22"/>
        </w:rPr>
      </w:pPr>
    </w:p>
    <w:p w:rsidR="00A625EE" w:rsidRPr="00A625EE" w:rsidRDefault="00A625EE" w:rsidP="00A625EE">
      <w:pPr>
        <w:jc w:val="both"/>
        <w:rPr>
          <w:color w:val="000000"/>
          <w:sz w:val="22"/>
          <w:szCs w:val="22"/>
        </w:rPr>
      </w:pPr>
      <w:r w:rsidRPr="00A625EE">
        <w:rPr>
          <w:color w:val="000000"/>
          <w:sz w:val="22"/>
          <w:szCs w:val="22"/>
        </w:rPr>
        <w:t xml:space="preserve">Στον </w:t>
      </w:r>
      <w:r w:rsidR="00BB0E16">
        <w:rPr>
          <w:color w:val="000000"/>
          <w:sz w:val="22"/>
          <w:szCs w:val="22"/>
        </w:rPr>
        <w:t xml:space="preserve">τακτικό </w:t>
      </w:r>
      <w:r w:rsidRPr="00A625EE">
        <w:rPr>
          <w:color w:val="000000"/>
          <w:sz w:val="22"/>
          <w:szCs w:val="22"/>
        </w:rPr>
        <w:t>προϋπολογισμό του Υπουργείου προβλέπονται πιστώσεις για την εύρυθμη και αποτ</w:t>
      </w:r>
      <w:r w:rsidRPr="00A625EE">
        <w:rPr>
          <w:color w:val="000000"/>
          <w:sz w:val="22"/>
          <w:szCs w:val="22"/>
        </w:rPr>
        <w:t>ε</w:t>
      </w:r>
      <w:r w:rsidRPr="00A625EE">
        <w:rPr>
          <w:color w:val="000000"/>
          <w:sz w:val="22"/>
          <w:szCs w:val="22"/>
        </w:rPr>
        <w:t xml:space="preserve">λεσματική λειτουργία των υπηρεσιών παροχής πρωτοβάθμιας και δευτεροβάθμιας φροντίδας υγείας της χώρας. </w:t>
      </w:r>
    </w:p>
    <w:p w:rsidR="00A625EE" w:rsidRPr="00A625EE" w:rsidRDefault="00A625EE" w:rsidP="00A625EE">
      <w:pPr>
        <w:jc w:val="both"/>
        <w:rPr>
          <w:color w:val="000000"/>
          <w:sz w:val="22"/>
          <w:szCs w:val="22"/>
        </w:rPr>
      </w:pPr>
    </w:p>
    <w:p w:rsidR="00A625EE" w:rsidRPr="00A625EE" w:rsidRDefault="00041E64" w:rsidP="00A625EE">
      <w:pPr>
        <w:jc w:val="both"/>
        <w:rPr>
          <w:color w:val="000000"/>
          <w:sz w:val="22"/>
          <w:szCs w:val="22"/>
        </w:rPr>
      </w:pPr>
      <w:r>
        <w:rPr>
          <w:color w:val="000000"/>
          <w:sz w:val="22"/>
          <w:szCs w:val="22"/>
        </w:rPr>
        <w:t xml:space="preserve">Στο πλαίσιο αυτό </w:t>
      </w:r>
      <w:r w:rsidR="00A625EE" w:rsidRPr="00A625EE">
        <w:rPr>
          <w:color w:val="000000"/>
          <w:sz w:val="22"/>
          <w:szCs w:val="22"/>
        </w:rPr>
        <w:t xml:space="preserve">οι μεταβιβάσεις προς τα νοσηλευτικά ιδρύματα, τις μονάδες υγείας του συστήματος </w:t>
      </w:r>
      <w:r>
        <w:rPr>
          <w:color w:val="000000"/>
          <w:sz w:val="22"/>
          <w:szCs w:val="22"/>
        </w:rPr>
        <w:t>Πρωτοβάθμιας Φροντίδας Υγείας (</w:t>
      </w:r>
      <w:r w:rsidR="00A625EE" w:rsidRPr="00A625EE">
        <w:rPr>
          <w:color w:val="000000"/>
          <w:sz w:val="22"/>
          <w:szCs w:val="22"/>
        </w:rPr>
        <w:t>ΠΦΥ</w:t>
      </w:r>
      <w:r>
        <w:rPr>
          <w:color w:val="000000"/>
          <w:sz w:val="22"/>
          <w:szCs w:val="22"/>
        </w:rPr>
        <w:t>)</w:t>
      </w:r>
      <w:r w:rsidR="00A625EE" w:rsidRPr="00A625EE">
        <w:rPr>
          <w:color w:val="000000"/>
          <w:sz w:val="22"/>
          <w:szCs w:val="22"/>
        </w:rPr>
        <w:t xml:space="preserve"> και τον ΕΟΠΥΥ αποσκοπούν στη διαρκή βελτίωση του επ</w:t>
      </w:r>
      <w:r w:rsidR="00A625EE" w:rsidRPr="00A625EE">
        <w:rPr>
          <w:color w:val="000000"/>
          <w:sz w:val="22"/>
          <w:szCs w:val="22"/>
        </w:rPr>
        <w:t>ι</w:t>
      </w:r>
      <w:r w:rsidR="00A625EE" w:rsidRPr="00A625EE">
        <w:rPr>
          <w:color w:val="000000"/>
          <w:sz w:val="22"/>
          <w:szCs w:val="22"/>
        </w:rPr>
        <w:t>πέδου των προσφερόμενων υπηρεσιών, στην αναβάθμιση του επιπέδου εξυπηρέτησης των ασθενών, στην ανανέωση και τον εκσυγχρονισμό τόσο του ιατρικού εξοπλισμού όσο και των κτιριακών υποδ</w:t>
      </w:r>
      <w:r w:rsidR="00A625EE" w:rsidRPr="00A625EE">
        <w:rPr>
          <w:color w:val="000000"/>
          <w:sz w:val="22"/>
          <w:szCs w:val="22"/>
        </w:rPr>
        <w:t>ο</w:t>
      </w:r>
      <w:r w:rsidR="00A625EE" w:rsidRPr="00A625EE">
        <w:rPr>
          <w:color w:val="000000"/>
          <w:sz w:val="22"/>
          <w:szCs w:val="22"/>
        </w:rPr>
        <w:t xml:space="preserve">μών, </w:t>
      </w:r>
      <w:r w:rsidR="000E2EB5">
        <w:rPr>
          <w:color w:val="000000"/>
          <w:sz w:val="22"/>
          <w:szCs w:val="22"/>
        </w:rPr>
        <w:t xml:space="preserve">καθώς </w:t>
      </w:r>
      <w:r w:rsidR="00A625EE" w:rsidRPr="00A625EE">
        <w:rPr>
          <w:color w:val="000000"/>
          <w:sz w:val="22"/>
          <w:szCs w:val="22"/>
        </w:rPr>
        <w:t>και στην εξασφάλιση της απρόσκοπτης διαδικασίας εφοδιασμού με ιατροφαρμακευτικό υλικό.</w:t>
      </w:r>
    </w:p>
    <w:p w:rsidR="00A625EE" w:rsidRPr="00A625EE" w:rsidRDefault="00A625EE" w:rsidP="00A625EE">
      <w:pPr>
        <w:jc w:val="both"/>
        <w:rPr>
          <w:color w:val="000000"/>
          <w:sz w:val="22"/>
          <w:szCs w:val="22"/>
        </w:rPr>
      </w:pPr>
    </w:p>
    <w:p w:rsidR="00A625EE" w:rsidRPr="00A625EE" w:rsidRDefault="00A625EE" w:rsidP="00A625EE">
      <w:pPr>
        <w:jc w:val="both"/>
        <w:rPr>
          <w:color w:val="000000"/>
          <w:sz w:val="22"/>
          <w:szCs w:val="22"/>
        </w:rPr>
      </w:pPr>
      <w:r w:rsidRPr="00A625EE">
        <w:rPr>
          <w:color w:val="000000"/>
          <w:sz w:val="22"/>
          <w:szCs w:val="22"/>
        </w:rPr>
        <w:t>Ως προς τους εποπτευόμενους φορείς του Υπουργείου, οι πιστώσεις θα καλύψουν δαπάνες για τις π</w:t>
      </w:r>
      <w:r w:rsidRPr="00A625EE">
        <w:rPr>
          <w:color w:val="000000"/>
          <w:sz w:val="22"/>
          <w:szCs w:val="22"/>
        </w:rPr>
        <w:t>ά</w:t>
      </w:r>
      <w:r w:rsidRPr="00A625EE">
        <w:rPr>
          <w:color w:val="000000"/>
          <w:sz w:val="22"/>
          <w:szCs w:val="22"/>
        </w:rPr>
        <w:t xml:space="preserve">σης φύσεως ανάγκες τους (λειτουργικές δαπάνες και εξειδικευμένες δραστηριότητες κατά τομέα), </w:t>
      </w:r>
      <w:r w:rsidRPr="00A625EE">
        <w:rPr>
          <w:color w:val="000000"/>
          <w:sz w:val="22"/>
          <w:szCs w:val="22"/>
        </w:rPr>
        <w:t>α</w:t>
      </w:r>
      <w:r w:rsidRPr="00A625EE">
        <w:rPr>
          <w:color w:val="000000"/>
          <w:sz w:val="22"/>
          <w:szCs w:val="22"/>
        </w:rPr>
        <w:t>ποσκοπώντας σε ευρύτερο πλαίσιο στην εύρυθμη λειτουργία των μονάδων ψυχικής υγείας, στην α</w:t>
      </w:r>
      <w:r w:rsidRPr="00A625EE">
        <w:rPr>
          <w:color w:val="000000"/>
          <w:sz w:val="22"/>
          <w:szCs w:val="22"/>
        </w:rPr>
        <w:t>π</w:t>
      </w:r>
      <w:r w:rsidRPr="00A625EE">
        <w:rPr>
          <w:color w:val="000000"/>
          <w:sz w:val="22"/>
          <w:szCs w:val="22"/>
        </w:rPr>
        <w:t>ρόσκοπτη συνέχιση των δράσεων για την καταπολέμηση των ναρκωτικών, όπως επίσης και στην έ</w:t>
      </w:r>
      <w:r w:rsidRPr="00A625EE">
        <w:rPr>
          <w:color w:val="000000"/>
          <w:sz w:val="22"/>
          <w:szCs w:val="22"/>
        </w:rPr>
        <w:t>γ</w:t>
      </w:r>
      <w:r w:rsidRPr="00A625EE">
        <w:rPr>
          <w:color w:val="000000"/>
          <w:sz w:val="22"/>
          <w:szCs w:val="22"/>
        </w:rPr>
        <w:t>καιρη και αποτελεσματική αντιμετώπιση περιστατικών έκτακτου χαρακτήρα και απρόβλεπτων υγει</w:t>
      </w:r>
      <w:r w:rsidRPr="00A625EE">
        <w:rPr>
          <w:color w:val="000000"/>
          <w:sz w:val="22"/>
          <w:szCs w:val="22"/>
        </w:rPr>
        <w:t>ο</w:t>
      </w:r>
      <w:r w:rsidRPr="00A625EE">
        <w:rPr>
          <w:color w:val="000000"/>
          <w:sz w:val="22"/>
          <w:szCs w:val="22"/>
        </w:rPr>
        <w:t>νομικών καταστάσεων.</w:t>
      </w:r>
    </w:p>
    <w:p w:rsidR="00DA54B4" w:rsidRDefault="00DA54B4" w:rsidP="00DA54B4">
      <w:pPr>
        <w:jc w:val="both"/>
        <w:rPr>
          <w:color w:val="000000"/>
          <w:sz w:val="22"/>
          <w:szCs w:val="22"/>
        </w:rPr>
      </w:pPr>
    </w:p>
    <w:p w:rsidR="00B925B3" w:rsidRPr="00A03821" w:rsidRDefault="00B925B3" w:rsidP="00B925B3">
      <w:pPr>
        <w:contextualSpacing/>
        <w:jc w:val="both"/>
        <w:rPr>
          <w:bCs/>
          <w:sz w:val="22"/>
          <w:szCs w:val="22"/>
        </w:rPr>
      </w:pPr>
      <w:r w:rsidRPr="00A03821">
        <w:rPr>
          <w:bCs/>
          <w:sz w:val="22"/>
          <w:szCs w:val="22"/>
        </w:rPr>
        <w:t>Οι πιστώσεις του προϋπολογισμού δημοσίων επενδύσεων του φορέα χρηματοδοτούν δαπάνες για την υγεία</w:t>
      </w:r>
      <w:r>
        <w:rPr>
          <w:bCs/>
          <w:sz w:val="22"/>
          <w:szCs w:val="22"/>
        </w:rPr>
        <w:t>-</w:t>
      </w:r>
      <w:r w:rsidRPr="00A03821">
        <w:rPr>
          <w:bCs/>
          <w:sz w:val="22"/>
          <w:szCs w:val="22"/>
        </w:rPr>
        <w:t>πρόνοια που περιλαμβάνουν, μεταξύ άλλων, δαπάνες για εξοπλισμό των νοσοκομείων, για δ</w:t>
      </w:r>
      <w:r w:rsidRPr="00A03821">
        <w:rPr>
          <w:bCs/>
          <w:sz w:val="22"/>
          <w:szCs w:val="22"/>
        </w:rPr>
        <w:t>η</w:t>
      </w:r>
      <w:r w:rsidRPr="00A03821">
        <w:rPr>
          <w:bCs/>
          <w:sz w:val="22"/>
          <w:szCs w:val="22"/>
        </w:rPr>
        <w:t xml:space="preserve">μιουργία δομών αποασυλοποίησης ψυχικά ασθενών, όπως και δομών παροχής φροντίδας ψυχικής υγείας, δαπάνες για την αντιμετώπιση εκτάκτων αναγκών, καθώς και δαπάνες στον μεταναστευτικό τομέα στο </w:t>
      </w:r>
      <w:r w:rsidR="002F2377">
        <w:rPr>
          <w:bCs/>
          <w:sz w:val="22"/>
          <w:szCs w:val="22"/>
        </w:rPr>
        <w:t>πλαίσιο</w:t>
      </w:r>
      <w:r w:rsidRPr="00A03821">
        <w:rPr>
          <w:bCs/>
          <w:sz w:val="22"/>
          <w:szCs w:val="22"/>
        </w:rPr>
        <w:t xml:space="preserve"> της αρμοδιότητας του Υπουργείου.</w:t>
      </w:r>
    </w:p>
    <w:p w:rsidR="00B925B3" w:rsidRDefault="00B925B3" w:rsidP="00DA54B4">
      <w:pPr>
        <w:jc w:val="both"/>
        <w:rPr>
          <w:color w:val="000000"/>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Δικαιοσύνης, Διαφάνειας και Ανθρωπίνων Δικαιωμάτων</w:t>
      </w:r>
    </w:p>
    <w:p w:rsidR="00DA54B4" w:rsidRPr="00253D8E" w:rsidRDefault="00DA54B4" w:rsidP="00DA54B4">
      <w:pPr>
        <w:autoSpaceDE w:val="0"/>
        <w:autoSpaceDN w:val="0"/>
        <w:adjustRightInd w:val="0"/>
        <w:jc w:val="both"/>
        <w:rPr>
          <w:color w:val="000000"/>
          <w:sz w:val="22"/>
          <w:szCs w:val="22"/>
        </w:rPr>
      </w:pPr>
    </w:p>
    <w:p w:rsidR="00DA54B4" w:rsidRDefault="00DA54B4" w:rsidP="00DA54B4">
      <w:pPr>
        <w:autoSpaceDE w:val="0"/>
        <w:autoSpaceDN w:val="0"/>
        <w:adjustRightInd w:val="0"/>
        <w:jc w:val="both"/>
        <w:rPr>
          <w:color w:val="000000"/>
          <w:sz w:val="22"/>
          <w:szCs w:val="22"/>
        </w:rPr>
      </w:pPr>
      <w:r w:rsidRPr="00253D8E">
        <w:rPr>
          <w:color w:val="000000"/>
          <w:sz w:val="22"/>
          <w:szCs w:val="22"/>
        </w:rPr>
        <w:t xml:space="preserve">Οι πιστώσεις του </w:t>
      </w:r>
      <w:r w:rsidR="00BB0E16">
        <w:rPr>
          <w:color w:val="000000"/>
          <w:sz w:val="22"/>
          <w:szCs w:val="22"/>
        </w:rPr>
        <w:t xml:space="preserve">τακτικού </w:t>
      </w:r>
      <w:r w:rsidRPr="00253D8E">
        <w:rPr>
          <w:color w:val="000000"/>
          <w:sz w:val="22"/>
          <w:szCs w:val="22"/>
        </w:rPr>
        <w:t>προϋπολογισμού θα καλύψουν εκτός των άλλων λειτουργικών δαπανών και δαπάνες για τη λειτουργία των Ανεξάρτητων Αρχών (Αρχή Προστασίας Δεδομένων Προσωπικού Χαρακτήρα και Αρχή Διασφάλισης του Απορρήτου των Επικοινωνιών).</w:t>
      </w:r>
    </w:p>
    <w:p w:rsidR="00B925B3" w:rsidRDefault="00B925B3" w:rsidP="00DA54B4">
      <w:pPr>
        <w:autoSpaceDE w:val="0"/>
        <w:autoSpaceDN w:val="0"/>
        <w:adjustRightInd w:val="0"/>
        <w:jc w:val="both"/>
        <w:rPr>
          <w:color w:val="000000"/>
          <w:sz w:val="22"/>
          <w:szCs w:val="22"/>
        </w:rPr>
      </w:pPr>
    </w:p>
    <w:p w:rsidR="00B925B3" w:rsidRPr="00571AF0" w:rsidRDefault="00B925B3" w:rsidP="00B925B3">
      <w:pPr>
        <w:contextualSpacing/>
        <w:jc w:val="both"/>
        <w:rPr>
          <w:bCs/>
          <w:sz w:val="22"/>
          <w:szCs w:val="22"/>
        </w:rPr>
      </w:pPr>
      <w:r w:rsidRPr="00571AF0">
        <w:rPr>
          <w:bCs/>
          <w:sz w:val="22"/>
          <w:szCs w:val="22"/>
        </w:rPr>
        <w:t>Οι πιστώσεις του προϋπολογισμού δημοσίων επενδύσεων του φορέα χρηματοδοτούν κυρίως οριζόντ</w:t>
      </w:r>
      <w:r w:rsidRPr="00571AF0">
        <w:rPr>
          <w:bCs/>
          <w:sz w:val="22"/>
          <w:szCs w:val="22"/>
        </w:rPr>
        <w:t>ι</w:t>
      </w:r>
      <w:r w:rsidRPr="00571AF0">
        <w:rPr>
          <w:bCs/>
          <w:sz w:val="22"/>
          <w:szCs w:val="22"/>
        </w:rPr>
        <w:t>ες δράσεις για τον διοικητικό εκσυγχρονισμό των οικείων υπηρεσιών και δομών.</w:t>
      </w:r>
    </w:p>
    <w:p w:rsidR="00DA54B4" w:rsidRDefault="00DA54B4" w:rsidP="00DA54B4">
      <w:pPr>
        <w:jc w:val="both"/>
        <w:rPr>
          <w:rFonts w:ascii="Arial Narrow" w:hAnsi="Arial Narrow"/>
          <w:b/>
          <w:i/>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Παιδείας, Έρευνας και Θρησκευμάτων</w:t>
      </w:r>
    </w:p>
    <w:p w:rsidR="00DA54B4" w:rsidRPr="00253D8E" w:rsidRDefault="00DA54B4" w:rsidP="00DA54B4">
      <w:pPr>
        <w:autoSpaceDE w:val="0"/>
        <w:autoSpaceDN w:val="0"/>
        <w:adjustRightInd w:val="0"/>
        <w:jc w:val="both"/>
        <w:rPr>
          <w:rFonts w:ascii="Arial Narrow" w:hAnsi="Arial Narrow"/>
          <w:b/>
          <w:i/>
          <w:sz w:val="22"/>
        </w:rPr>
      </w:pPr>
    </w:p>
    <w:p w:rsidR="00DA54B4" w:rsidRPr="00253D8E" w:rsidRDefault="000E2EB5" w:rsidP="00DA54B4">
      <w:pPr>
        <w:autoSpaceDE w:val="0"/>
        <w:autoSpaceDN w:val="0"/>
        <w:adjustRightInd w:val="0"/>
        <w:jc w:val="both"/>
        <w:rPr>
          <w:sz w:val="22"/>
          <w:szCs w:val="22"/>
        </w:rPr>
      </w:pPr>
      <w:r>
        <w:rPr>
          <w:sz w:val="22"/>
          <w:szCs w:val="22"/>
        </w:rPr>
        <w:t xml:space="preserve">Στον </w:t>
      </w:r>
      <w:r w:rsidR="00BB0E16">
        <w:rPr>
          <w:sz w:val="22"/>
          <w:szCs w:val="22"/>
        </w:rPr>
        <w:t xml:space="preserve">τακτικό </w:t>
      </w:r>
      <w:r>
        <w:rPr>
          <w:sz w:val="22"/>
          <w:szCs w:val="22"/>
        </w:rPr>
        <w:t>προϋπολογισμό</w:t>
      </w:r>
      <w:r w:rsidR="00DA54B4" w:rsidRPr="00253D8E">
        <w:rPr>
          <w:sz w:val="22"/>
          <w:szCs w:val="22"/>
        </w:rPr>
        <w:t xml:space="preserve"> έχουν προβλεφθεί πιστώσεις για την κάλυψη των πολιτικών και δράσ</w:t>
      </w:r>
      <w:r w:rsidR="00DA54B4" w:rsidRPr="00253D8E">
        <w:rPr>
          <w:sz w:val="22"/>
          <w:szCs w:val="22"/>
        </w:rPr>
        <w:t>ε</w:t>
      </w:r>
      <w:r w:rsidR="00DA54B4" w:rsidRPr="00253D8E">
        <w:rPr>
          <w:sz w:val="22"/>
          <w:szCs w:val="22"/>
        </w:rPr>
        <w:t>ων του Υπουργείου που αφορούν το σύνολο του εκπαιδευτικού συστήματος (και τις 3 βαθμίδες), αλλά και τους τομείς της Δια Βίου Μάθησης και της Έρευνας και Τεχνολογίας.</w:t>
      </w:r>
    </w:p>
    <w:p w:rsidR="00DA54B4" w:rsidRPr="00253D8E" w:rsidRDefault="00DA54B4" w:rsidP="00DA54B4">
      <w:pPr>
        <w:autoSpaceDE w:val="0"/>
        <w:autoSpaceDN w:val="0"/>
        <w:adjustRightInd w:val="0"/>
        <w:jc w:val="both"/>
        <w:rPr>
          <w:sz w:val="22"/>
          <w:szCs w:val="22"/>
        </w:rPr>
      </w:pPr>
    </w:p>
    <w:p w:rsidR="00DA54B4" w:rsidRPr="00253D8E" w:rsidRDefault="00DA54B4" w:rsidP="00DA54B4">
      <w:pPr>
        <w:autoSpaceDE w:val="0"/>
        <w:autoSpaceDN w:val="0"/>
        <w:adjustRightInd w:val="0"/>
        <w:jc w:val="both"/>
        <w:rPr>
          <w:sz w:val="22"/>
          <w:szCs w:val="22"/>
        </w:rPr>
      </w:pPr>
      <w:r w:rsidRPr="00253D8E">
        <w:rPr>
          <w:sz w:val="22"/>
          <w:szCs w:val="22"/>
        </w:rPr>
        <w:t>Ειδικότερα, έχουν προβλεφθεί οι απαραίτητες πιστώσεις για:</w:t>
      </w:r>
    </w:p>
    <w:p w:rsidR="00DA54B4" w:rsidRPr="00253D8E" w:rsidRDefault="00DA54B4" w:rsidP="00DA54B4">
      <w:pPr>
        <w:autoSpaceDE w:val="0"/>
        <w:autoSpaceDN w:val="0"/>
        <w:adjustRightInd w:val="0"/>
        <w:jc w:val="both"/>
        <w:rPr>
          <w:sz w:val="22"/>
          <w:szCs w:val="22"/>
        </w:rPr>
      </w:pPr>
    </w:p>
    <w:p w:rsidR="00DA54B4" w:rsidRPr="00253D8E" w:rsidRDefault="00DA54B4" w:rsidP="00DA54B4">
      <w:pPr>
        <w:numPr>
          <w:ilvl w:val="0"/>
          <w:numId w:val="1"/>
        </w:numPr>
        <w:autoSpaceDE w:val="0"/>
        <w:autoSpaceDN w:val="0"/>
        <w:adjustRightInd w:val="0"/>
        <w:ind w:left="284" w:hanging="284"/>
        <w:jc w:val="both"/>
        <w:rPr>
          <w:sz w:val="22"/>
          <w:szCs w:val="22"/>
        </w:rPr>
      </w:pPr>
      <w:r w:rsidRPr="00253D8E">
        <w:rPr>
          <w:sz w:val="22"/>
          <w:szCs w:val="22"/>
        </w:rPr>
        <w:t>τη συνέχιση του προγράμματος ενισχυτικής διδασκαλίας για τη δευτεροβάθμια εκπαίδευση,</w:t>
      </w:r>
    </w:p>
    <w:p w:rsidR="00DA54B4" w:rsidRPr="00253D8E" w:rsidRDefault="00DA54B4" w:rsidP="00DA54B4">
      <w:pPr>
        <w:numPr>
          <w:ilvl w:val="0"/>
          <w:numId w:val="1"/>
        </w:numPr>
        <w:autoSpaceDE w:val="0"/>
        <w:autoSpaceDN w:val="0"/>
        <w:adjustRightInd w:val="0"/>
        <w:ind w:left="284" w:hanging="284"/>
        <w:jc w:val="both"/>
        <w:rPr>
          <w:sz w:val="22"/>
          <w:szCs w:val="22"/>
        </w:rPr>
      </w:pPr>
      <w:r w:rsidRPr="00253D8E">
        <w:rPr>
          <w:sz w:val="22"/>
          <w:szCs w:val="22"/>
        </w:rPr>
        <w:t xml:space="preserve">την ειδική ενίσχυση, μέσω των εκπαιδευτικών ιδρυμάτων, των φοιτητών που σπουδάζουν μακριά από τον τόπο κατοικίας τους, καθώς και την κάλυψη των δαπανών σίτισης αυτών, </w:t>
      </w:r>
    </w:p>
    <w:p w:rsidR="00DA54B4" w:rsidRPr="00253D8E" w:rsidRDefault="00DA54B4" w:rsidP="00DA54B4">
      <w:pPr>
        <w:numPr>
          <w:ilvl w:val="0"/>
          <w:numId w:val="1"/>
        </w:numPr>
        <w:autoSpaceDE w:val="0"/>
        <w:autoSpaceDN w:val="0"/>
        <w:adjustRightInd w:val="0"/>
        <w:ind w:left="284" w:hanging="284"/>
        <w:jc w:val="both"/>
        <w:rPr>
          <w:sz w:val="22"/>
          <w:szCs w:val="22"/>
        </w:rPr>
      </w:pPr>
      <w:r w:rsidRPr="00253D8E">
        <w:rPr>
          <w:sz w:val="22"/>
          <w:szCs w:val="22"/>
        </w:rPr>
        <w:t>την απρόσκοπτη λειτουργία των επιχορηγούμενων από το Υπουργείο φορέων (ΑΕΙ, ΤΕΙ, ερευν</w:t>
      </w:r>
      <w:r w:rsidRPr="00253D8E">
        <w:rPr>
          <w:sz w:val="22"/>
          <w:szCs w:val="22"/>
        </w:rPr>
        <w:t>η</w:t>
      </w:r>
      <w:r w:rsidRPr="00253D8E">
        <w:rPr>
          <w:sz w:val="22"/>
          <w:szCs w:val="22"/>
        </w:rPr>
        <w:t>τικοί φορείς κ.λπ.), προκειμένου να αναπτύξουν τις δράσεις τους,</w:t>
      </w:r>
    </w:p>
    <w:p w:rsidR="00DA54B4" w:rsidRPr="00253D8E" w:rsidRDefault="00DA54B4" w:rsidP="00DA54B4">
      <w:pPr>
        <w:numPr>
          <w:ilvl w:val="0"/>
          <w:numId w:val="1"/>
        </w:numPr>
        <w:autoSpaceDE w:val="0"/>
        <w:autoSpaceDN w:val="0"/>
        <w:adjustRightInd w:val="0"/>
        <w:ind w:left="284" w:hanging="284"/>
        <w:jc w:val="both"/>
        <w:rPr>
          <w:sz w:val="22"/>
          <w:szCs w:val="22"/>
        </w:rPr>
      </w:pPr>
      <w:r w:rsidRPr="00253D8E">
        <w:rPr>
          <w:sz w:val="22"/>
          <w:szCs w:val="22"/>
        </w:rPr>
        <w:t>τη λειτουργία του Ελληνικού Ιδρύματος Έρευνας και Καινοτομίας,</w:t>
      </w:r>
    </w:p>
    <w:p w:rsidR="00DA54B4" w:rsidRPr="00253D8E" w:rsidRDefault="00DA54B4" w:rsidP="00DA54B4">
      <w:pPr>
        <w:numPr>
          <w:ilvl w:val="0"/>
          <w:numId w:val="1"/>
        </w:numPr>
        <w:autoSpaceDE w:val="0"/>
        <w:autoSpaceDN w:val="0"/>
        <w:adjustRightInd w:val="0"/>
        <w:ind w:left="284" w:hanging="284"/>
        <w:jc w:val="both"/>
        <w:rPr>
          <w:sz w:val="22"/>
          <w:szCs w:val="22"/>
        </w:rPr>
      </w:pPr>
      <w:r w:rsidRPr="00253D8E">
        <w:rPr>
          <w:sz w:val="22"/>
          <w:szCs w:val="22"/>
        </w:rPr>
        <w:t>την καταβολή των εισφορών σε διεθνείς οργανισμούς, υποχρεώσεις που αφορούν κυρίως τη Γεν</w:t>
      </w:r>
      <w:r w:rsidRPr="00253D8E">
        <w:rPr>
          <w:sz w:val="22"/>
          <w:szCs w:val="22"/>
        </w:rPr>
        <w:t>ι</w:t>
      </w:r>
      <w:r w:rsidRPr="00253D8E">
        <w:rPr>
          <w:sz w:val="22"/>
          <w:szCs w:val="22"/>
        </w:rPr>
        <w:t>κή Γραμματεία Έρευνας και Τεχνολογίας,</w:t>
      </w:r>
    </w:p>
    <w:p w:rsidR="00DA54B4" w:rsidRPr="00253D8E" w:rsidRDefault="00DA54B4" w:rsidP="00322D95">
      <w:pPr>
        <w:numPr>
          <w:ilvl w:val="0"/>
          <w:numId w:val="1"/>
        </w:numPr>
        <w:autoSpaceDE w:val="0"/>
        <w:autoSpaceDN w:val="0"/>
        <w:adjustRightInd w:val="0"/>
        <w:ind w:left="284" w:hanging="284"/>
        <w:jc w:val="both"/>
        <w:rPr>
          <w:sz w:val="22"/>
          <w:szCs w:val="22"/>
        </w:rPr>
      </w:pPr>
      <w:r w:rsidRPr="00253D8E">
        <w:rPr>
          <w:sz w:val="22"/>
          <w:szCs w:val="22"/>
        </w:rPr>
        <w:t>τη στήριξη των ερευνητικών φορέων,</w:t>
      </w:r>
    </w:p>
    <w:p w:rsidR="00DA54B4" w:rsidRPr="00253D8E" w:rsidRDefault="00DA54B4" w:rsidP="00322D95">
      <w:pPr>
        <w:numPr>
          <w:ilvl w:val="0"/>
          <w:numId w:val="1"/>
        </w:numPr>
        <w:autoSpaceDE w:val="0"/>
        <w:autoSpaceDN w:val="0"/>
        <w:adjustRightInd w:val="0"/>
        <w:ind w:left="284" w:hanging="284"/>
        <w:jc w:val="both"/>
        <w:rPr>
          <w:sz w:val="22"/>
          <w:szCs w:val="22"/>
        </w:rPr>
      </w:pPr>
      <w:r w:rsidRPr="00253D8E">
        <w:rPr>
          <w:sz w:val="22"/>
          <w:szCs w:val="22"/>
        </w:rPr>
        <w:t xml:space="preserve">την κάλυψη λειτουργίας των δημόσιων ΙΕΚ, </w:t>
      </w:r>
    </w:p>
    <w:p w:rsidR="00DA54B4" w:rsidRPr="00253D8E" w:rsidRDefault="00DA54B4" w:rsidP="00322D95">
      <w:pPr>
        <w:numPr>
          <w:ilvl w:val="0"/>
          <w:numId w:val="1"/>
        </w:numPr>
        <w:autoSpaceDE w:val="0"/>
        <w:autoSpaceDN w:val="0"/>
        <w:adjustRightInd w:val="0"/>
        <w:ind w:left="284" w:hanging="284"/>
        <w:jc w:val="both"/>
        <w:rPr>
          <w:sz w:val="22"/>
          <w:szCs w:val="22"/>
        </w:rPr>
      </w:pPr>
      <w:r w:rsidRPr="00253D8E">
        <w:rPr>
          <w:sz w:val="22"/>
          <w:szCs w:val="22"/>
        </w:rPr>
        <w:t>την κάλυψη διαφοράς κομίστρου από την παροχή του δικαιώματος μειωμένης μετακίνησης φοιτ</w:t>
      </w:r>
      <w:r w:rsidRPr="00253D8E">
        <w:rPr>
          <w:sz w:val="22"/>
          <w:szCs w:val="22"/>
        </w:rPr>
        <w:t>η</w:t>
      </w:r>
      <w:r w:rsidRPr="00253D8E">
        <w:rPr>
          <w:sz w:val="22"/>
          <w:szCs w:val="22"/>
        </w:rPr>
        <w:t xml:space="preserve">τών ΑΕΙ και ΤΕΙ της χώρας και </w:t>
      </w:r>
    </w:p>
    <w:p w:rsidR="00DA54B4" w:rsidRDefault="00DA54B4" w:rsidP="00DA54B4">
      <w:pPr>
        <w:numPr>
          <w:ilvl w:val="0"/>
          <w:numId w:val="1"/>
        </w:numPr>
        <w:autoSpaceDE w:val="0"/>
        <w:autoSpaceDN w:val="0"/>
        <w:adjustRightInd w:val="0"/>
        <w:ind w:left="284" w:hanging="284"/>
        <w:jc w:val="both"/>
        <w:rPr>
          <w:sz w:val="22"/>
          <w:szCs w:val="22"/>
        </w:rPr>
      </w:pPr>
      <w:r w:rsidRPr="00253D8E">
        <w:rPr>
          <w:sz w:val="22"/>
          <w:szCs w:val="22"/>
        </w:rPr>
        <w:t>την προμήθεια φοιτητικών συγγραμμάτων.</w:t>
      </w:r>
    </w:p>
    <w:p w:rsidR="00BB0E16" w:rsidRDefault="00BB0E16" w:rsidP="00BB0E16">
      <w:pPr>
        <w:autoSpaceDE w:val="0"/>
        <w:autoSpaceDN w:val="0"/>
        <w:adjustRightInd w:val="0"/>
        <w:jc w:val="both"/>
        <w:rPr>
          <w:sz w:val="22"/>
          <w:szCs w:val="22"/>
        </w:rPr>
      </w:pPr>
    </w:p>
    <w:p w:rsidR="00BB0E16" w:rsidRPr="00BB0E16" w:rsidRDefault="00BB0E16" w:rsidP="00BB0E16">
      <w:pPr>
        <w:autoSpaceDE w:val="0"/>
        <w:autoSpaceDN w:val="0"/>
        <w:adjustRightInd w:val="0"/>
        <w:jc w:val="both"/>
        <w:rPr>
          <w:bCs/>
          <w:sz w:val="22"/>
          <w:szCs w:val="22"/>
        </w:rPr>
      </w:pPr>
      <w:r w:rsidRPr="00BB0E16">
        <w:rPr>
          <w:bCs/>
          <w:sz w:val="22"/>
          <w:szCs w:val="22"/>
        </w:rPr>
        <w:t>Οι πιστώσεις του προϋπολογισμού δημοσίων επενδύσεων του φορέα χρηματοδοτούν έργα υποδομής, κτηριακές εγκαταστάσεις και εξοπλισμό των ΑΕΙ, των ΤΕΙ, και των σχολικών μονάδων πρωτοβάθμ</w:t>
      </w:r>
      <w:r w:rsidRPr="00BB0E16">
        <w:rPr>
          <w:bCs/>
          <w:sz w:val="22"/>
          <w:szCs w:val="22"/>
        </w:rPr>
        <w:t>ι</w:t>
      </w:r>
      <w:r w:rsidRPr="00BB0E16">
        <w:rPr>
          <w:bCs/>
          <w:sz w:val="22"/>
          <w:szCs w:val="22"/>
        </w:rPr>
        <w:lastRenderedPageBreak/>
        <w:t>ας και δευτεροβάθμιας εκπαίδευσης. Επίσης, η διαρκής ανάγκη απόκτησης νέων γνώσεων και δεξι</w:t>
      </w:r>
      <w:r w:rsidRPr="00BB0E16">
        <w:rPr>
          <w:bCs/>
          <w:sz w:val="22"/>
          <w:szCs w:val="22"/>
        </w:rPr>
        <w:t>ο</w:t>
      </w:r>
      <w:r w:rsidRPr="00BB0E16">
        <w:rPr>
          <w:bCs/>
          <w:sz w:val="22"/>
          <w:szCs w:val="22"/>
        </w:rPr>
        <w:t>τήτων υπηρετείται μέσω των δράσεων των συγχρηματοδοτούμενων προγραμμάτων του ΕΣΠΑ που αφορούν στην Εκπαίδευση και Δια Βίου Μάθηση, το μεγαλύτερο μέρος των οποίων υλοποιεί το συ</w:t>
      </w:r>
      <w:r w:rsidRPr="00BB0E16">
        <w:rPr>
          <w:bCs/>
          <w:sz w:val="22"/>
          <w:szCs w:val="22"/>
        </w:rPr>
        <w:t>γ</w:t>
      </w:r>
      <w:r w:rsidRPr="00BB0E16">
        <w:rPr>
          <w:bCs/>
          <w:sz w:val="22"/>
          <w:szCs w:val="22"/>
        </w:rPr>
        <w:t xml:space="preserve">κεκριμένο Υπουργείο. Από το πρόγραμμα δημοσίων επενδύσεων του Υπουργείου χρηματοδοτούνται επίσης δράσεις για την έρευνα και την τεχνολογία, για την ανάπτυξη βιομηχανικών ερευνών, καθώς και για την ενίσχυση του ερευνητικού δυναμικού. Τέλος από το ΠΔΕ του Υπουργείου καλύπτονται δαπάνες στον μεταναστευτικό τομέα στο </w:t>
      </w:r>
      <w:r w:rsidR="003147A6">
        <w:rPr>
          <w:bCs/>
          <w:sz w:val="22"/>
          <w:szCs w:val="22"/>
        </w:rPr>
        <w:t>πλαίσιο</w:t>
      </w:r>
      <w:r w:rsidRPr="00BB0E16">
        <w:rPr>
          <w:bCs/>
          <w:sz w:val="22"/>
          <w:szCs w:val="22"/>
        </w:rPr>
        <w:t xml:space="preserve"> της αρμοδιότητάς του.</w:t>
      </w:r>
    </w:p>
    <w:p w:rsidR="00DA54B4" w:rsidRDefault="00DA54B4" w:rsidP="00DA54B4">
      <w:pPr>
        <w:jc w:val="both"/>
        <w:rPr>
          <w:rFonts w:ascii="Arial Narrow" w:hAnsi="Arial Narrow"/>
          <w:b/>
          <w:i/>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Πολιτισμού και Αθλητισμού</w:t>
      </w:r>
    </w:p>
    <w:p w:rsidR="00DA54B4" w:rsidRPr="00253D8E" w:rsidRDefault="00DA54B4" w:rsidP="00DA54B4">
      <w:pPr>
        <w:jc w:val="both"/>
        <w:rPr>
          <w:b/>
          <w:i/>
          <w:sz w:val="22"/>
          <w:szCs w:val="22"/>
        </w:rPr>
      </w:pPr>
    </w:p>
    <w:p w:rsidR="00DA54B4" w:rsidRPr="00253D8E" w:rsidRDefault="00DA54B4" w:rsidP="00DA54B4">
      <w:pPr>
        <w:jc w:val="both"/>
        <w:rPr>
          <w:sz w:val="22"/>
          <w:szCs w:val="22"/>
        </w:rPr>
      </w:pPr>
      <w:r w:rsidRPr="00253D8E">
        <w:rPr>
          <w:sz w:val="22"/>
          <w:szCs w:val="22"/>
        </w:rPr>
        <w:t xml:space="preserve">Οι πιστώσεις του </w:t>
      </w:r>
      <w:r w:rsidR="00BB0E16">
        <w:rPr>
          <w:sz w:val="22"/>
          <w:szCs w:val="22"/>
        </w:rPr>
        <w:t xml:space="preserve">τακτικού προϋπολογισμού του </w:t>
      </w:r>
      <w:r w:rsidRPr="00253D8E">
        <w:rPr>
          <w:sz w:val="22"/>
          <w:szCs w:val="22"/>
        </w:rPr>
        <w:t>Υπουργείου Πολιτισμού και Αθλητισμού θα καλ</w:t>
      </w:r>
      <w:r w:rsidRPr="00253D8E">
        <w:rPr>
          <w:sz w:val="22"/>
          <w:szCs w:val="22"/>
        </w:rPr>
        <w:t>ύ</w:t>
      </w:r>
      <w:r w:rsidRPr="00253D8E">
        <w:rPr>
          <w:sz w:val="22"/>
          <w:szCs w:val="22"/>
        </w:rPr>
        <w:t>ψουν κυρίως δαπάνες:</w:t>
      </w:r>
    </w:p>
    <w:p w:rsidR="00DA54B4" w:rsidRPr="00253D8E" w:rsidRDefault="00DA54B4" w:rsidP="00DA54B4">
      <w:pPr>
        <w:jc w:val="both"/>
        <w:rPr>
          <w:sz w:val="22"/>
          <w:szCs w:val="22"/>
        </w:rPr>
      </w:pP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μισθοδοσίας του προσωπικού και πρόσληψης εποχικού προσωπικού για τη φύλαξη των μουσείων και των αρχαιολογικών χώρων,</w:t>
      </w: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συντήρησης, διαμόρφωσης και προστασίας των αρχαιολογικών χώρων και μουσείων, με στόχο την προστασία και την ανάδειξη της πολιτιστικής κληρονομιάς,</w:t>
      </w: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λειτουργικών αναγκών των αρχαιολογικών υπηρεσιών,</w:t>
      </w: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επιχορηγήσεων φορέων που προάγουν τον πολιτισμό και τον αθλητισμό,</w:t>
      </w:r>
    </w:p>
    <w:p w:rsidR="00DA54B4" w:rsidRPr="0091495A" w:rsidRDefault="00DA54B4" w:rsidP="006556BD">
      <w:pPr>
        <w:numPr>
          <w:ilvl w:val="0"/>
          <w:numId w:val="2"/>
        </w:numPr>
        <w:tabs>
          <w:tab w:val="num" w:pos="426"/>
        </w:tabs>
        <w:autoSpaceDE w:val="0"/>
        <w:autoSpaceDN w:val="0"/>
        <w:adjustRightInd w:val="0"/>
        <w:ind w:left="284" w:hanging="284"/>
        <w:jc w:val="both"/>
        <w:rPr>
          <w:sz w:val="22"/>
          <w:szCs w:val="22"/>
        </w:rPr>
      </w:pPr>
      <w:r w:rsidRPr="0091495A">
        <w:rPr>
          <w:sz w:val="22"/>
          <w:szCs w:val="22"/>
        </w:rPr>
        <w:t>κάλυψης πολιτιστικών εκδηλώσεων, συνεδρίων και προγραμμάτων διάδοσης του ελληνικού πολ</w:t>
      </w:r>
      <w:r w:rsidRPr="0091495A">
        <w:rPr>
          <w:sz w:val="22"/>
          <w:szCs w:val="22"/>
        </w:rPr>
        <w:t>ι</w:t>
      </w:r>
      <w:r w:rsidRPr="0091495A">
        <w:rPr>
          <w:sz w:val="22"/>
          <w:szCs w:val="22"/>
        </w:rPr>
        <w:t xml:space="preserve">τισμού, </w:t>
      </w:r>
    </w:p>
    <w:p w:rsidR="00DA54B4"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προβολής των πολιτιστικών θησαυρών της χώρας</w:t>
      </w:r>
      <w:r w:rsidR="0068124D">
        <w:rPr>
          <w:sz w:val="22"/>
          <w:szCs w:val="22"/>
        </w:rPr>
        <w:t xml:space="preserve"> </w:t>
      </w:r>
      <w:r w:rsidRPr="00253D8E">
        <w:rPr>
          <w:sz w:val="22"/>
          <w:szCs w:val="22"/>
        </w:rPr>
        <w:t xml:space="preserve">με σκοπό την καθιέρωσή της ως προορισμό </w:t>
      </w:r>
      <w:r w:rsidRPr="00253D8E">
        <w:rPr>
          <w:sz w:val="22"/>
          <w:szCs w:val="22"/>
        </w:rPr>
        <w:t>υ</w:t>
      </w:r>
      <w:r w:rsidRPr="00253D8E">
        <w:rPr>
          <w:sz w:val="22"/>
          <w:szCs w:val="22"/>
        </w:rPr>
        <w:t>ψη</w:t>
      </w:r>
      <w:r w:rsidR="00BB0E16">
        <w:rPr>
          <w:sz w:val="22"/>
          <w:szCs w:val="22"/>
        </w:rPr>
        <w:t>λού πολιτιστικού ενδιαφέροντος.</w:t>
      </w:r>
    </w:p>
    <w:p w:rsidR="00BB0E16" w:rsidRDefault="00BB0E16" w:rsidP="00BB0E16">
      <w:pPr>
        <w:autoSpaceDE w:val="0"/>
        <w:autoSpaceDN w:val="0"/>
        <w:adjustRightInd w:val="0"/>
        <w:jc w:val="both"/>
        <w:rPr>
          <w:sz w:val="22"/>
          <w:szCs w:val="22"/>
        </w:rPr>
      </w:pPr>
    </w:p>
    <w:p w:rsidR="00BB0E16" w:rsidRPr="00BB0E16" w:rsidRDefault="00BB0E16" w:rsidP="00BB0E16">
      <w:pPr>
        <w:autoSpaceDE w:val="0"/>
        <w:autoSpaceDN w:val="0"/>
        <w:adjustRightInd w:val="0"/>
        <w:jc w:val="both"/>
        <w:rPr>
          <w:bCs/>
          <w:sz w:val="22"/>
          <w:szCs w:val="22"/>
        </w:rPr>
      </w:pPr>
      <w:r w:rsidRPr="00BB0E16">
        <w:rPr>
          <w:bCs/>
          <w:sz w:val="22"/>
          <w:szCs w:val="22"/>
        </w:rPr>
        <w:t>Οι πιστώσεις του προϋπολογισμού δημοσίων επενδύσεων του φορέα χρηματοδοτούν έργα, όπως η κατασκευή, βελτίωση και αναδιοργάνωση μουσείων, η συντήρηση μνημείων και αρχαιολογικών χ</w:t>
      </w:r>
      <w:r w:rsidRPr="00BB0E16">
        <w:rPr>
          <w:bCs/>
          <w:sz w:val="22"/>
          <w:szCs w:val="22"/>
        </w:rPr>
        <w:t>ώ</w:t>
      </w:r>
      <w:r w:rsidRPr="00BB0E16">
        <w:rPr>
          <w:bCs/>
          <w:sz w:val="22"/>
          <w:szCs w:val="22"/>
        </w:rPr>
        <w:t>ρων και η συν</w:t>
      </w:r>
      <w:r w:rsidR="00BF34D6">
        <w:rPr>
          <w:bCs/>
          <w:sz w:val="22"/>
          <w:szCs w:val="22"/>
        </w:rPr>
        <w:t xml:space="preserve">ολική ανάδειξή τους, καθώς και </w:t>
      </w:r>
      <w:r w:rsidRPr="00BB0E16">
        <w:rPr>
          <w:bCs/>
          <w:sz w:val="22"/>
          <w:szCs w:val="22"/>
        </w:rPr>
        <w:t>η κατασκευή και βελτίωση αθλητικών εγκαταστάσεων.</w:t>
      </w:r>
    </w:p>
    <w:p w:rsidR="00DA54B4" w:rsidRDefault="00DA54B4" w:rsidP="00DA54B4">
      <w:pPr>
        <w:jc w:val="both"/>
        <w:rPr>
          <w:rFonts w:ascii="Arial Narrow" w:hAnsi="Arial Narrow"/>
          <w:b/>
          <w:i/>
          <w:sz w:val="22"/>
          <w:szCs w:val="22"/>
        </w:rPr>
      </w:pPr>
    </w:p>
    <w:p w:rsidR="00DA54B4" w:rsidRPr="00253D8E" w:rsidRDefault="00DA54B4" w:rsidP="00DA54B4">
      <w:pPr>
        <w:jc w:val="both"/>
        <w:rPr>
          <w:rFonts w:ascii="Arial Narrow" w:hAnsi="Arial Narrow"/>
          <w:sz w:val="22"/>
          <w:szCs w:val="22"/>
        </w:rPr>
      </w:pPr>
      <w:r w:rsidRPr="00253D8E">
        <w:rPr>
          <w:rFonts w:ascii="Arial Narrow" w:hAnsi="Arial Narrow"/>
          <w:b/>
          <w:i/>
          <w:sz w:val="22"/>
          <w:szCs w:val="22"/>
        </w:rPr>
        <w:t>Υπουργείο Οικονομικών</w:t>
      </w:r>
      <w:r w:rsidR="0068124D">
        <w:rPr>
          <w:rFonts w:ascii="Arial Narrow" w:hAnsi="Arial Narrow"/>
          <w:b/>
          <w:i/>
          <w:sz w:val="22"/>
          <w:szCs w:val="22"/>
        </w:rPr>
        <w:t xml:space="preserve"> </w:t>
      </w:r>
    </w:p>
    <w:p w:rsidR="00DA54B4" w:rsidRPr="00253D8E" w:rsidRDefault="00DA54B4" w:rsidP="00DA54B4">
      <w:pPr>
        <w:jc w:val="both"/>
        <w:rPr>
          <w:sz w:val="22"/>
          <w:szCs w:val="22"/>
        </w:rPr>
      </w:pPr>
    </w:p>
    <w:p w:rsidR="00DA54B4" w:rsidRPr="00253D8E" w:rsidRDefault="00DA54B4" w:rsidP="00DA54B4">
      <w:pPr>
        <w:jc w:val="both"/>
        <w:rPr>
          <w:sz w:val="22"/>
          <w:szCs w:val="22"/>
        </w:rPr>
      </w:pPr>
      <w:r w:rsidRPr="00253D8E">
        <w:rPr>
          <w:sz w:val="22"/>
          <w:szCs w:val="22"/>
        </w:rPr>
        <w:t>Στον προϋπολογισμό του Υπουργείου, πέραν των πιστώσεων που έχουν προβλεφθεί για τη λειτουργία των υπηρεσιών του, περιλαμβάνονται πιστώσεις και για τη Γενική Γραμματεία της Κυβέρνησης, τη Γενική Γραμματεία του Πρωθυπουργού, τη Γενική Γραμματεία Συντονισμού, το πολιτικό γραφείο του Αντιπροέδρου της Κυβέρνησης, τα πολιτικά γραφεία των Υπουργών Επικρατείας, το πολιτικό γραφ</w:t>
      </w:r>
      <w:r w:rsidRPr="00253D8E">
        <w:rPr>
          <w:sz w:val="22"/>
          <w:szCs w:val="22"/>
        </w:rPr>
        <w:t>ε</w:t>
      </w:r>
      <w:r w:rsidRPr="00253D8E">
        <w:rPr>
          <w:sz w:val="22"/>
          <w:szCs w:val="22"/>
        </w:rPr>
        <w:t>ίο του Υφυπουργού στον Πρωθυπουργό, το Νομικό Συμβούλιο του Κράτους</w:t>
      </w:r>
      <w:r w:rsidR="00877188">
        <w:rPr>
          <w:sz w:val="22"/>
          <w:szCs w:val="22"/>
        </w:rPr>
        <w:t>,</w:t>
      </w:r>
      <w:r w:rsidRPr="00253D8E">
        <w:rPr>
          <w:sz w:val="22"/>
          <w:szCs w:val="22"/>
        </w:rPr>
        <w:t xml:space="preserve"> καθώς και την Εθνική Επιτροπή για τα Δικαιώματα του Ανθρώπου. </w:t>
      </w:r>
    </w:p>
    <w:p w:rsidR="00DA54B4" w:rsidRPr="00253D8E" w:rsidRDefault="00DA54B4" w:rsidP="00DA54B4">
      <w:pPr>
        <w:jc w:val="both"/>
        <w:rPr>
          <w:sz w:val="22"/>
          <w:szCs w:val="22"/>
        </w:rPr>
      </w:pPr>
    </w:p>
    <w:p w:rsidR="00DA54B4" w:rsidRPr="00253D8E" w:rsidRDefault="00DA54B4" w:rsidP="00DA54B4">
      <w:pPr>
        <w:jc w:val="both"/>
        <w:rPr>
          <w:sz w:val="22"/>
          <w:szCs w:val="22"/>
        </w:rPr>
      </w:pPr>
      <w:r w:rsidRPr="00253D8E">
        <w:rPr>
          <w:sz w:val="22"/>
          <w:szCs w:val="22"/>
        </w:rPr>
        <w:t>Επίσης, στον προϋπολογισμό του Υπουργείου Οικονομικών περιλαμβάνονται και οι πιστώσεις για την Ανεξάρτητη Αρχή Δημοσίων Εσόδων και την Αρχή Καταπολέμησης της Νομιμοποίησης Εσόδων από Εγκληματικές Δραστηριότητες.</w:t>
      </w:r>
    </w:p>
    <w:p w:rsidR="008D2F78" w:rsidRDefault="008D2F78" w:rsidP="00DA54B4">
      <w:pPr>
        <w:jc w:val="both"/>
        <w:rPr>
          <w:sz w:val="22"/>
          <w:szCs w:val="22"/>
        </w:rPr>
      </w:pPr>
    </w:p>
    <w:p w:rsidR="00DA54B4" w:rsidRPr="00253D8E" w:rsidRDefault="00DA54B4" w:rsidP="00DA54B4">
      <w:pPr>
        <w:jc w:val="both"/>
        <w:rPr>
          <w:b/>
          <w:sz w:val="22"/>
          <w:szCs w:val="22"/>
        </w:rPr>
      </w:pPr>
      <w:r w:rsidRPr="00253D8E">
        <w:rPr>
          <w:b/>
          <w:sz w:val="22"/>
          <w:szCs w:val="22"/>
        </w:rPr>
        <w:t>Ανεξάρτητη Αρχή Δημοσίων Εσόδων</w:t>
      </w:r>
    </w:p>
    <w:p w:rsidR="00DA54B4" w:rsidRPr="00253D8E" w:rsidRDefault="00DA54B4" w:rsidP="00DA54B4">
      <w:pPr>
        <w:jc w:val="both"/>
        <w:rPr>
          <w:sz w:val="22"/>
          <w:szCs w:val="22"/>
        </w:rPr>
      </w:pPr>
    </w:p>
    <w:p w:rsidR="00DA54B4" w:rsidRPr="00253D8E" w:rsidRDefault="00DA54B4" w:rsidP="00DA54B4">
      <w:pPr>
        <w:jc w:val="both"/>
        <w:rPr>
          <w:sz w:val="22"/>
          <w:szCs w:val="22"/>
        </w:rPr>
      </w:pPr>
      <w:r w:rsidRPr="00253D8E">
        <w:rPr>
          <w:sz w:val="22"/>
          <w:szCs w:val="22"/>
        </w:rPr>
        <w:t>Με το ν. 4389/</w:t>
      </w:r>
      <w:r w:rsidR="008D2F78">
        <w:rPr>
          <w:sz w:val="22"/>
          <w:szCs w:val="22"/>
        </w:rPr>
        <w:t>20</w:t>
      </w:r>
      <w:r w:rsidRPr="00253D8E">
        <w:rPr>
          <w:sz w:val="22"/>
          <w:szCs w:val="22"/>
        </w:rPr>
        <w:t>16 από 1/1/2017 καταργήθηκε η Γενική Γραμματεία Δημοσίων Εσόδων και συστ</w:t>
      </w:r>
      <w:r w:rsidRPr="00253D8E">
        <w:rPr>
          <w:sz w:val="22"/>
          <w:szCs w:val="22"/>
        </w:rPr>
        <w:t>ά</w:t>
      </w:r>
      <w:r w:rsidRPr="00253D8E">
        <w:rPr>
          <w:sz w:val="22"/>
          <w:szCs w:val="22"/>
        </w:rPr>
        <w:t xml:space="preserve">θηκε Ανεξάρτητη Διοικητική Αρχή με την επωνυμία Ανεξάρτητη Αρχή Δημοσίων Εσόδων (ΑΑΔΕ), της οποίας ο προϋπολογισμός περιλαμβάνεται στον Κρατικό Προϋπολογισμό και ειδικότερα στον προϋπολογισμό του Υπουργείου Οικονομικών. </w:t>
      </w:r>
    </w:p>
    <w:p w:rsidR="00DA54B4" w:rsidRPr="00253D8E" w:rsidRDefault="00DA54B4" w:rsidP="00DA54B4">
      <w:pPr>
        <w:jc w:val="both"/>
        <w:rPr>
          <w:sz w:val="22"/>
          <w:szCs w:val="22"/>
        </w:rPr>
      </w:pPr>
    </w:p>
    <w:p w:rsidR="00DA54B4" w:rsidRPr="00253D8E" w:rsidRDefault="00DA54B4" w:rsidP="00DA54B4">
      <w:pPr>
        <w:jc w:val="both"/>
        <w:rPr>
          <w:sz w:val="22"/>
          <w:szCs w:val="22"/>
        </w:rPr>
      </w:pPr>
      <w:r w:rsidRPr="00253D8E">
        <w:rPr>
          <w:sz w:val="22"/>
          <w:szCs w:val="22"/>
        </w:rPr>
        <w:t xml:space="preserve">Στο πλαίσιο αυτό, σε ειδικούς φορείς του προϋπολογισμού του Υπουργείου Οικονομικών έχουν προβλεφθεί οι σχετικές πιστώσεις για την ΑΑΔΕ. </w:t>
      </w:r>
    </w:p>
    <w:p w:rsidR="00DA54B4" w:rsidRPr="00253D8E" w:rsidRDefault="00DA54B4" w:rsidP="00DA54B4">
      <w:pPr>
        <w:jc w:val="both"/>
        <w:rPr>
          <w:sz w:val="22"/>
          <w:szCs w:val="22"/>
        </w:rPr>
      </w:pPr>
    </w:p>
    <w:p w:rsidR="00DA54B4" w:rsidRDefault="00DA54B4" w:rsidP="00DA54B4">
      <w:pPr>
        <w:jc w:val="both"/>
        <w:rPr>
          <w:sz w:val="22"/>
          <w:szCs w:val="22"/>
        </w:rPr>
      </w:pPr>
      <w:r>
        <w:rPr>
          <w:sz w:val="22"/>
          <w:szCs w:val="22"/>
        </w:rPr>
        <w:t>Ειδικότερα σ</w:t>
      </w:r>
      <w:r w:rsidRPr="00253D8E">
        <w:rPr>
          <w:sz w:val="22"/>
          <w:szCs w:val="22"/>
        </w:rPr>
        <w:t>τον προϋπολογισμό</w:t>
      </w:r>
      <w:r w:rsidR="0068124D">
        <w:rPr>
          <w:sz w:val="22"/>
          <w:szCs w:val="22"/>
        </w:rPr>
        <w:t xml:space="preserve"> </w:t>
      </w:r>
      <w:r w:rsidRPr="00253D8E">
        <w:rPr>
          <w:sz w:val="22"/>
          <w:szCs w:val="22"/>
        </w:rPr>
        <w:t>έχουν προβλεφθεί</w:t>
      </w:r>
      <w:r w:rsidR="0068124D">
        <w:rPr>
          <w:sz w:val="22"/>
          <w:szCs w:val="22"/>
        </w:rPr>
        <w:t xml:space="preserve"> </w:t>
      </w:r>
      <w:r w:rsidRPr="00253D8E">
        <w:rPr>
          <w:sz w:val="22"/>
          <w:szCs w:val="22"/>
        </w:rPr>
        <w:t>πιστώσεις ύψους 494,8 εκατ. ευρώ έναντι της πρότασής της για πιστώσεις ύψους 500,4 εκατ. ευρώ. Σημειώνεται ότι</w:t>
      </w:r>
      <w:r w:rsidR="0068124D">
        <w:rPr>
          <w:sz w:val="22"/>
          <w:szCs w:val="22"/>
        </w:rPr>
        <w:t xml:space="preserve"> </w:t>
      </w:r>
      <w:r w:rsidRPr="00253D8E">
        <w:rPr>
          <w:sz w:val="22"/>
          <w:szCs w:val="22"/>
        </w:rPr>
        <w:t>στο πλαίσιο επανασχεδιασμού του βαθμολογίου-μισθολογίου του προσωπικού της ΑΑΔΕ βάσει της περιγραφής θέσεων και αξιολ</w:t>
      </w:r>
      <w:r w:rsidRPr="00253D8E">
        <w:rPr>
          <w:sz w:val="22"/>
          <w:szCs w:val="22"/>
        </w:rPr>
        <w:t>ό</w:t>
      </w:r>
      <w:r w:rsidRPr="00253D8E">
        <w:rPr>
          <w:sz w:val="22"/>
          <w:szCs w:val="22"/>
        </w:rPr>
        <w:lastRenderedPageBreak/>
        <w:t>γησης, έχ</w:t>
      </w:r>
      <w:r>
        <w:rPr>
          <w:sz w:val="22"/>
          <w:szCs w:val="22"/>
        </w:rPr>
        <w:t>ουν</w:t>
      </w:r>
      <w:r w:rsidRPr="00253D8E">
        <w:rPr>
          <w:sz w:val="22"/>
          <w:szCs w:val="22"/>
        </w:rPr>
        <w:t xml:space="preserve"> περιληφθεί</w:t>
      </w:r>
      <w:r w:rsidR="0068124D">
        <w:rPr>
          <w:sz w:val="22"/>
          <w:szCs w:val="22"/>
        </w:rPr>
        <w:t xml:space="preserve"> </w:t>
      </w:r>
      <w:r w:rsidRPr="00253D8E">
        <w:rPr>
          <w:sz w:val="22"/>
          <w:szCs w:val="22"/>
        </w:rPr>
        <w:t>στη</w:t>
      </w:r>
      <w:r>
        <w:rPr>
          <w:sz w:val="22"/>
          <w:szCs w:val="22"/>
        </w:rPr>
        <w:t>ν</w:t>
      </w:r>
      <w:r w:rsidR="0068124D">
        <w:rPr>
          <w:sz w:val="22"/>
          <w:szCs w:val="22"/>
        </w:rPr>
        <w:t xml:space="preserve"> </w:t>
      </w:r>
      <w:r w:rsidRPr="00253D8E">
        <w:rPr>
          <w:sz w:val="22"/>
          <w:szCs w:val="22"/>
        </w:rPr>
        <w:t>κατηγορία</w:t>
      </w:r>
      <w:r w:rsidR="0068124D">
        <w:rPr>
          <w:sz w:val="22"/>
          <w:szCs w:val="22"/>
        </w:rPr>
        <w:t xml:space="preserve"> </w:t>
      </w:r>
      <w:r w:rsidRPr="00253D8E">
        <w:rPr>
          <w:sz w:val="22"/>
          <w:szCs w:val="22"/>
        </w:rPr>
        <w:t>«Παροχές σε εργαζόμενους»</w:t>
      </w:r>
      <w:r>
        <w:rPr>
          <w:sz w:val="22"/>
          <w:szCs w:val="22"/>
        </w:rPr>
        <w:t xml:space="preserve"> συνολικές</w:t>
      </w:r>
      <w:r w:rsidRPr="00253D8E">
        <w:rPr>
          <w:sz w:val="22"/>
          <w:szCs w:val="22"/>
        </w:rPr>
        <w:t xml:space="preserve"> π</w:t>
      </w:r>
      <w:r>
        <w:rPr>
          <w:sz w:val="22"/>
          <w:szCs w:val="22"/>
        </w:rPr>
        <w:t>ιστώσεις</w:t>
      </w:r>
      <w:r w:rsidRPr="00253D8E">
        <w:rPr>
          <w:sz w:val="22"/>
          <w:szCs w:val="22"/>
        </w:rPr>
        <w:t xml:space="preserve"> ύψους 38,8 εκατ. ευρώ (</w:t>
      </w:r>
      <w:r w:rsidR="000E2EB5">
        <w:rPr>
          <w:sz w:val="22"/>
          <w:szCs w:val="22"/>
        </w:rPr>
        <w:t>συμπεριλαμβανομένων των εργοδοτικών εισφορών</w:t>
      </w:r>
      <w:r>
        <w:rPr>
          <w:sz w:val="22"/>
          <w:szCs w:val="22"/>
        </w:rPr>
        <w:t>)</w:t>
      </w:r>
      <w:r w:rsidR="000E2EB5">
        <w:rPr>
          <w:sz w:val="22"/>
          <w:szCs w:val="22"/>
        </w:rPr>
        <w:t>.</w:t>
      </w:r>
    </w:p>
    <w:p w:rsidR="00F66938" w:rsidRDefault="00F66938" w:rsidP="00DA54B4">
      <w:pPr>
        <w:jc w:val="both"/>
        <w:rPr>
          <w:sz w:val="22"/>
          <w:szCs w:val="22"/>
        </w:rPr>
      </w:pPr>
    </w:p>
    <w:p w:rsidR="00DA54B4" w:rsidRPr="00253D8E" w:rsidRDefault="00DA54B4" w:rsidP="00DA54B4">
      <w:pPr>
        <w:jc w:val="both"/>
        <w:rPr>
          <w:rFonts w:ascii="Arial Narrow" w:hAnsi="Arial Narrow"/>
          <w:b/>
          <w:i/>
          <w:sz w:val="22"/>
          <w:szCs w:val="22"/>
        </w:rPr>
      </w:pPr>
      <w:r w:rsidRPr="00253D8E">
        <w:rPr>
          <w:rFonts w:ascii="Arial Narrow" w:hAnsi="Arial Narrow"/>
          <w:b/>
          <w:i/>
          <w:sz w:val="22"/>
          <w:szCs w:val="22"/>
        </w:rPr>
        <w:t>Υπουργείο Αγροτικής Ανάπτυξης και Τροφίμων</w:t>
      </w:r>
    </w:p>
    <w:p w:rsidR="00DA54B4" w:rsidRPr="00253D8E" w:rsidRDefault="00DA54B4" w:rsidP="00DA54B4">
      <w:pPr>
        <w:jc w:val="both"/>
        <w:rPr>
          <w:sz w:val="22"/>
          <w:szCs w:val="22"/>
        </w:rPr>
      </w:pPr>
    </w:p>
    <w:p w:rsidR="00DA54B4" w:rsidRPr="00253D8E" w:rsidRDefault="00DA54B4" w:rsidP="00DA54B4">
      <w:pPr>
        <w:jc w:val="both"/>
        <w:rPr>
          <w:sz w:val="22"/>
          <w:szCs w:val="22"/>
        </w:rPr>
      </w:pPr>
      <w:r w:rsidRPr="00253D8E">
        <w:rPr>
          <w:sz w:val="22"/>
          <w:szCs w:val="22"/>
        </w:rPr>
        <w:t>Σημαντικό μέρος των πιστώσεων του Υπουργείου Αγροτικής Ανάπτυξης και Τροφίμων θα διατεθεί για:</w:t>
      </w:r>
    </w:p>
    <w:p w:rsidR="00DA54B4" w:rsidRPr="00253D8E" w:rsidRDefault="00DA54B4" w:rsidP="00DA54B4">
      <w:pPr>
        <w:jc w:val="both"/>
        <w:rPr>
          <w:sz w:val="22"/>
          <w:szCs w:val="22"/>
        </w:rPr>
      </w:pPr>
    </w:p>
    <w:p w:rsidR="00DA54B4" w:rsidRPr="00253D8E" w:rsidRDefault="00DA54B4" w:rsidP="006556BD">
      <w:pPr>
        <w:pStyle w:val="af2"/>
        <w:numPr>
          <w:ilvl w:val="0"/>
          <w:numId w:val="15"/>
        </w:numPr>
        <w:spacing w:after="0" w:line="240" w:lineRule="auto"/>
        <w:ind w:left="284" w:hanging="284"/>
        <w:jc w:val="both"/>
        <w:rPr>
          <w:rFonts w:ascii="Times New Roman" w:hAnsi="Times New Roman"/>
        </w:rPr>
      </w:pPr>
      <w:r w:rsidRPr="00253D8E">
        <w:rPr>
          <w:rFonts w:ascii="Times New Roman" w:hAnsi="Times New Roman"/>
        </w:rPr>
        <w:t>τη χορήγηση ενισχύσεων στους αγρότες στο πλαίσιο υλοποίησης προγραμμάτων Πολιτικής Σχεδ</w:t>
      </w:r>
      <w:r w:rsidRPr="00253D8E">
        <w:rPr>
          <w:rFonts w:ascii="Times New Roman" w:hAnsi="Times New Roman"/>
        </w:rPr>
        <w:t>ί</w:t>
      </w:r>
      <w:r w:rsidRPr="00253D8E">
        <w:rPr>
          <w:rFonts w:ascii="Times New Roman" w:hAnsi="Times New Roman"/>
        </w:rPr>
        <w:t>ασης Έκτακτης Ανάγκης (ΠΣΕΑ) και άλλων προγραμμάτων,</w:t>
      </w:r>
    </w:p>
    <w:p w:rsidR="00DA54B4" w:rsidRPr="00253D8E" w:rsidRDefault="00DA54B4" w:rsidP="006556BD">
      <w:pPr>
        <w:pStyle w:val="af2"/>
        <w:numPr>
          <w:ilvl w:val="0"/>
          <w:numId w:val="15"/>
        </w:numPr>
        <w:spacing w:after="0" w:line="240" w:lineRule="auto"/>
        <w:ind w:left="284" w:hanging="284"/>
        <w:jc w:val="both"/>
        <w:rPr>
          <w:rFonts w:ascii="Times New Roman" w:hAnsi="Times New Roman"/>
        </w:rPr>
      </w:pPr>
      <w:r w:rsidRPr="00253D8E">
        <w:rPr>
          <w:rFonts w:ascii="Times New Roman" w:hAnsi="Times New Roman"/>
        </w:rPr>
        <w:t>την κατοχύρωση της μέγιστης δυνατής ασφάλειας των παραγομένων και των εισαγόμενων τροφ</w:t>
      </w:r>
      <w:r w:rsidRPr="00253D8E">
        <w:rPr>
          <w:rFonts w:ascii="Times New Roman" w:hAnsi="Times New Roman"/>
        </w:rPr>
        <w:t>ί</w:t>
      </w:r>
      <w:r w:rsidRPr="00253D8E">
        <w:rPr>
          <w:rFonts w:ascii="Times New Roman" w:hAnsi="Times New Roman"/>
        </w:rPr>
        <w:t>μων στη χώρα,</w:t>
      </w:r>
    </w:p>
    <w:p w:rsidR="00DA54B4" w:rsidRPr="00253D8E" w:rsidRDefault="00DA54B4" w:rsidP="006556BD">
      <w:pPr>
        <w:pStyle w:val="af2"/>
        <w:numPr>
          <w:ilvl w:val="0"/>
          <w:numId w:val="15"/>
        </w:numPr>
        <w:spacing w:after="0" w:line="240" w:lineRule="auto"/>
        <w:ind w:left="284" w:hanging="284"/>
        <w:jc w:val="both"/>
        <w:rPr>
          <w:rFonts w:ascii="Times New Roman" w:hAnsi="Times New Roman"/>
        </w:rPr>
      </w:pPr>
      <w:r w:rsidRPr="00253D8E">
        <w:rPr>
          <w:rFonts w:ascii="Times New Roman" w:hAnsi="Times New Roman"/>
        </w:rPr>
        <w:t>την αύξηση της προστιθέμενης αξίας και την προώθηση του εξαγωγικού προσανατολισμού των αγροτικών προϊόντων,</w:t>
      </w:r>
    </w:p>
    <w:p w:rsidR="00DA54B4" w:rsidRPr="00253D8E" w:rsidRDefault="00DA54B4" w:rsidP="006556BD">
      <w:pPr>
        <w:pStyle w:val="af2"/>
        <w:numPr>
          <w:ilvl w:val="0"/>
          <w:numId w:val="15"/>
        </w:numPr>
        <w:spacing w:after="0" w:line="240" w:lineRule="auto"/>
        <w:ind w:left="284" w:hanging="284"/>
        <w:jc w:val="both"/>
        <w:rPr>
          <w:rFonts w:ascii="Times New Roman" w:hAnsi="Times New Roman"/>
        </w:rPr>
      </w:pPr>
      <w:r w:rsidRPr="00253D8E">
        <w:rPr>
          <w:rFonts w:ascii="Times New Roman" w:hAnsi="Times New Roman"/>
        </w:rPr>
        <w:t>την ανάπτυξη και τη βελτίωση των συνθηκών παραγωγής και του επιχειρηματικού περιβάλλοντος του αγροτικού τομέα,</w:t>
      </w:r>
    </w:p>
    <w:p w:rsidR="00DA54B4" w:rsidRPr="00253D8E" w:rsidRDefault="00DA54B4" w:rsidP="006556BD">
      <w:pPr>
        <w:pStyle w:val="af2"/>
        <w:numPr>
          <w:ilvl w:val="0"/>
          <w:numId w:val="15"/>
        </w:numPr>
        <w:spacing w:after="0" w:line="240" w:lineRule="auto"/>
        <w:ind w:left="284" w:hanging="284"/>
        <w:jc w:val="both"/>
        <w:rPr>
          <w:rFonts w:ascii="Times New Roman" w:hAnsi="Times New Roman"/>
        </w:rPr>
      </w:pPr>
      <w:r w:rsidRPr="00253D8E">
        <w:rPr>
          <w:rFonts w:ascii="Times New Roman" w:hAnsi="Times New Roman"/>
        </w:rPr>
        <w:t>την κάλυψη του ελλείμματος του Ειδικού Λογαριασμού Εγγυήσεων Γεωργικών Προϊόντων (ΕΛΕΓΕΠ).</w:t>
      </w:r>
    </w:p>
    <w:p w:rsidR="00DA54B4" w:rsidRPr="00253D8E" w:rsidRDefault="00DA54B4" w:rsidP="00DA54B4">
      <w:pPr>
        <w:pStyle w:val="af2"/>
        <w:ind w:left="284"/>
        <w:jc w:val="both"/>
        <w:rPr>
          <w:rFonts w:ascii="Times New Roman" w:hAnsi="Times New Roman"/>
        </w:rPr>
      </w:pPr>
    </w:p>
    <w:p w:rsidR="00DA54B4" w:rsidRPr="00253D8E" w:rsidRDefault="00DA54B4" w:rsidP="00DA54B4">
      <w:pPr>
        <w:pStyle w:val="af2"/>
        <w:ind w:left="0"/>
        <w:jc w:val="both"/>
        <w:rPr>
          <w:rFonts w:ascii="Times New Roman" w:hAnsi="Times New Roman"/>
          <w:color w:val="000000"/>
        </w:rPr>
      </w:pPr>
      <w:r w:rsidRPr="00253D8E">
        <w:rPr>
          <w:rFonts w:ascii="Times New Roman" w:hAnsi="Times New Roman"/>
        </w:rPr>
        <w:t xml:space="preserve">Σημειώνεται ότι συγχρηματοδοτούμενα προγράμματα αρμοδιότητας του </w:t>
      </w:r>
      <w:r>
        <w:rPr>
          <w:rFonts w:ascii="Times New Roman" w:hAnsi="Times New Roman"/>
        </w:rPr>
        <w:t>Υ</w:t>
      </w:r>
      <w:r w:rsidRPr="00253D8E">
        <w:rPr>
          <w:rFonts w:ascii="Times New Roman" w:hAnsi="Times New Roman"/>
        </w:rPr>
        <w:t xml:space="preserve">πουργείου ύψους 192,9 </w:t>
      </w:r>
      <w:r w:rsidRPr="00253D8E">
        <w:rPr>
          <w:rFonts w:ascii="Times New Roman" w:hAnsi="Times New Roman"/>
        </w:rPr>
        <w:t>ε</w:t>
      </w:r>
      <w:r w:rsidRPr="00253D8E">
        <w:rPr>
          <w:rFonts w:ascii="Times New Roman" w:hAnsi="Times New Roman"/>
        </w:rPr>
        <w:t>κατ.</w:t>
      </w:r>
      <w:r w:rsidR="00AD3172">
        <w:rPr>
          <w:rFonts w:ascii="Times New Roman" w:hAnsi="Times New Roman"/>
        </w:rPr>
        <w:t xml:space="preserve"> ευρώ</w:t>
      </w:r>
      <w:r w:rsidRPr="00253D8E">
        <w:rPr>
          <w:rFonts w:ascii="Times New Roman" w:hAnsi="Times New Roman"/>
        </w:rPr>
        <w:t>, θα υλοποιηθούν από το Πρόγραμμα Δημοσίων Επενδύσεων</w:t>
      </w:r>
      <w:r w:rsidRPr="00253D8E">
        <w:rPr>
          <w:rFonts w:ascii="Times New Roman" w:hAnsi="Times New Roman"/>
          <w:color w:val="17365D" w:themeColor="text2" w:themeShade="BF"/>
        </w:rPr>
        <w:t>.</w:t>
      </w: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 xml:space="preserve">Υπουργείο Περιβάλλοντος και Ενέργειας </w:t>
      </w:r>
    </w:p>
    <w:p w:rsidR="00DA54B4" w:rsidRPr="00253D8E" w:rsidRDefault="00DA54B4" w:rsidP="00DA54B4">
      <w:pPr>
        <w:rPr>
          <w:b/>
          <w:sz w:val="22"/>
          <w:szCs w:val="22"/>
        </w:rPr>
      </w:pPr>
    </w:p>
    <w:p w:rsidR="00DA54B4" w:rsidRPr="00253D8E" w:rsidRDefault="00DA54B4" w:rsidP="00DA54B4">
      <w:pPr>
        <w:rPr>
          <w:sz w:val="22"/>
          <w:szCs w:val="22"/>
        </w:rPr>
      </w:pPr>
      <w:r w:rsidRPr="00253D8E">
        <w:rPr>
          <w:sz w:val="22"/>
          <w:szCs w:val="22"/>
        </w:rPr>
        <w:t xml:space="preserve">Οι πιστώσεις του </w:t>
      </w:r>
      <w:r w:rsidR="00BB0E16">
        <w:rPr>
          <w:sz w:val="22"/>
          <w:szCs w:val="22"/>
        </w:rPr>
        <w:t xml:space="preserve">τακτικού </w:t>
      </w:r>
      <w:r w:rsidRPr="00253D8E">
        <w:rPr>
          <w:sz w:val="22"/>
          <w:szCs w:val="22"/>
        </w:rPr>
        <w:t>προϋπολογισμού του Υπουργείου θα καλύψουν κυρίως :</w:t>
      </w:r>
    </w:p>
    <w:p w:rsidR="00DA54B4" w:rsidRPr="00253D8E" w:rsidRDefault="00DA54B4" w:rsidP="00DA54B4">
      <w:pPr>
        <w:rPr>
          <w:sz w:val="22"/>
          <w:szCs w:val="22"/>
        </w:rPr>
      </w:pP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 xml:space="preserve">την επιχορήγηση των εποπτευόμενων από το υπουργείο φορέων (ΕΚΠΑΑ, ΙΓΜΕ, ΚΑΠΕ, Φορείς Διαχείρισης Προστατευόμενων Περιοχών) για να συνεχιστεί απρόσκοπτα το επιστημονικό και </w:t>
      </w:r>
      <w:r w:rsidRPr="00253D8E">
        <w:rPr>
          <w:sz w:val="22"/>
          <w:szCs w:val="22"/>
        </w:rPr>
        <w:t>ε</w:t>
      </w:r>
      <w:r w:rsidRPr="00253D8E">
        <w:rPr>
          <w:sz w:val="22"/>
          <w:szCs w:val="22"/>
        </w:rPr>
        <w:t>ρευνητικό τους έργο,</w:t>
      </w: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τις αποδόσεις εσόδων στο Πράσινο Ταμείο και στον Ελληνικό Οργανισμό Ανακύκλωσης (ΕΟΑΝ) και</w:t>
      </w:r>
    </w:p>
    <w:p w:rsidR="00DA54B4"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τη χρηματοδότηση προγραμμάτων προστασίας του δασικού πλούτου της χώρας.</w:t>
      </w:r>
    </w:p>
    <w:p w:rsidR="00BB0E16" w:rsidRDefault="00BB0E16" w:rsidP="00BB0E16">
      <w:pPr>
        <w:autoSpaceDE w:val="0"/>
        <w:autoSpaceDN w:val="0"/>
        <w:adjustRightInd w:val="0"/>
        <w:jc w:val="both"/>
        <w:rPr>
          <w:sz w:val="22"/>
          <w:szCs w:val="22"/>
        </w:rPr>
      </w:pPr>
    </w:p>
    <w:p w:rsidR="00BB0E16" w:rsidRPr="00BB0E16" w:rsidRDefault="00BB0E16" w:rsidP="00BB0E16">
      <w:pPr>
        <w:autoSpaceDE w:val="0"/>
        <w:autoSpaceDN w:val="0"/>
        <w:adjustRightInd w:val="0"/>
        <w:jc w:val="both"/>
        <w:rPr>
          <w:bCs/>
          <w:sz w:val="22"/>
          <w:szCs w:val="22"/>
        </w:rPr>
      </w:pPr>
      <w:r w:rsidRPr="00BB0E16">
        <w:rPr>
          <w:bCs/>
          <w:sz w:val="22"/>
          <w:szCs w:val="22"/>
        </w:rPr>
        <w:t>Οι πιστώσεις του προϋπολογισμού δημοσίων επενδύσεων του φορέα χρηματοδοτούν έργα που συ</w:t>
      </w:r>
      <w:r w:rsidRPr="00BB0E16">
        <w:rPr>
          <w:bCs/>
          <w:sz w:val="22"/>
          <w:szCs w:val="22"/>
        </w:rPr>
        <w:t>μ</w:t>
      </w:r>
      <w:r w:rsidRPr="00BB0E16">
        <w:rPr>
          <w:bCs/>
          <w:sz w:val="22"/>
          <w:szCs w:val="22"/>
        </w:rPr>
        <w:t>βάλλουν στην προστασία και αναβάθμιση του περιβάλλοντος και τη βιώσιμη οικιστική ανάπτυξη, κ</w:t>
      </w:r>
      <w:r w:rsidRPr="00BB0E16">
        <w:rPr>
          <w:bCs/>
          <w:sz w:val="22"/>
          <w:szCs w:val="22"/>
        </w:rPr>
        <w:t>α</w:t>
      </w:r>
      <w:r w:rsidRPr="00BB0E16">
        <w:rPr>
          <w:bCs/>
          <w:sz w:val="22"/>
          <w:szCs w:val="22"/>
        </w:rPr>
        <w:t>θώς και την προστασία των δασών. Στις δαπάνες για ενέργεια περιλαμβάνονται οι επιχορηγήσεις σε ενδιάμεσους φορείς (όπως το Κέντρο Ανανεώσιμων Πηγών Ενέργειας</w:t>
      </w:r>
      <w:r>
        <w:rPr>
          <w:bCs/>
          <w:sz w:val="22"/>
          <w:szCs w:val="22"/>
        </w:rPr>
        <w:t>-</w:t>
      </w:r>
      <w:r w:rsidRPr="00BB0E16">
        <w:rPr>
          <w:bCs/>
          <w:sz w:val="22"/>
          <w:szCs w:val="22"/>
        </w:rPr>
        <w:t>ΚΑΠΕ) για την πραγματοπο</w:t>
      </w:r>
      <w:r w:rsidRPr="00BB0E16">
        <w:rPr>
          <w:bCs/>
          <w:sz w:val="22"/>
          <w:szCs w:val="22"/>
        </w:rPr>
        <w:t>ί</w:t>
      </w:r>
      <w:r w:rsidRPr="00BB0E16">
        <w:rPr>
          <w:bCs/>
          <w:sz w:val="22"/>
          <w:szCs w:val="22"/>
        </w:rPr>
        <w:t>ηση ιδιωτικών επενδύσεων σε ανανεώσιμες πηγές ενέργειας.</w:t>
      </w:r>
    </w:p>
    <w:p w:rsidR="00BD3EA7" w:rsidRDefault="00BD3EA7" w:rsidP="00DA54B4">
      <w:pPr>
        <w:jc w:val="both"/>
        <w:rPr>
          <w:rFonts w:ascii="Arial Narrow" w:hAnsi="Arial Narrow"/>
          <w:b/>
          <w:i/>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Εργασίας, Κοινωνικής Ασφάλισης και Κοινωνικής Αλληλεγγύης</w:t>
      </w:r>
    </w:p>
    <w:p w:rsidR="00DA54B4" w:rsidRPr="00253D8E" w:rsidRDefault="00DA54B4" w:rsidP="00DA54B4">
      <w:pPr>
        <w:autoSpaceDE w:val="0"/>
        <w:autoSpaceDN w:val="0"/>
        <w:adjustRightInd w:val="0"/>
        <w:jc w:val="both"/>
        <w:rPr>
          <w:bCs/>
          <w:szCs w:val="22"/>
        </w:rPr>
      </w:pPr>
    </w:p>
    <w:p w:rsidR="00DA54B4" w:rsidRPr="00253D8E" w:rsidRDefault="00DA54B4" w:rsidP="00140C19">
      <w:pPr>
        <w:autoSpaceDE w:val="0"/>
        <w:autoSpaceDN w:val="0"/>
        <w:adjustRightInd w:val="0"/>
        <w:jc w:val="both"/>
        <w:rPr>
          <w:color w:val="000000"/>
          <w:sz w:val="22"/>
          <w:szCs w:val="22"/>
        </w:rPr>
      </w:pPr>
      <w:r w:rsidRPr="00253D8E">
        <w:rPr>
          <w:color w:val="000000"/>
          <w:sz w:val="22"/>
          <w:szCs w:val="22"/>
        </w:rPr>
        <w:t xml:space="preserve">Το μεγαλύτερο μέρος των πιστώσεων του </w:t>
      </w:r>
      <w:r w:rsidR="00BB0E16">
        <w:rPr>
          <w:color w:val="000000"/>
          <w:sz w:val="22"/>
          <w:szCs w:val="22"/>
        </w:rPr>
        <w:t xml:space="preserve">τακτικού </w:t>
      </w:r>
      <w:r w:rsidRPr="00253D8E">
        <w:rPr>
          <w:color w:val="000000"/>
          <w:sz w:val="22"/>
          <w:szCs w:val="22"/>
        </w:rPr>
        <w:t>προϋπολογισμού του Υπουργείου προβλέπεται να διατεθεί σε Οργανισμούς Κοινωνικής Ασφάλισης (ΟΚΑ) για τη στήριξη του ασφαλιστικού συστήμ</w:t>
      </w:r>
      <w:r w:rsidRPr="00253D8E">
        <w:rPr>
          <w:color w:val="000000"/>
          <w:sz w:val="22"/>
          <w:szCs w:val="22"/>
        </w:rPr>
        <w:t>α</w:t>
      </w:r>
      <w:r w:rsidRPr="00253D8E">
        <w:rPr>
          <w:color w:val="000000"/>
          <w:sz w:val="22"/>
          <w:szCs w:val="22"/>
        </w:rPr>
        <w:t>τος της χώρας.</w:t>
      </w:r>
    </w:p>
    <w:p w:rsidR="00140C19" w:rsidRDefault="00140C19" w:rsidP="00140C19">
      <w:pPr>
        <w:rPr>
          <w:color w:val="000000"/>
          <w:sz w:val="22"/>
          <w:szCs w:val="22"/>
        </w:rPr>
      </w:pPr>
    </w:p>
    <w:p w:rsidR="00DA54B4" w:rsidRDefault="00DA54B4" w:rsidP="00140C19">
      <w:pPr>
        <w:rPr>
          <w:color w:val="000000"/>
          <w:sz w:val="22"/>
          <w:szCs w:val="22"/>
        </w:rPr>
      </w:pPr>
      <w:r w:rsidRPr="00253D8E">
        <w:rPr>
          <w:color w:val="000000"/>
          <w:sz w:val="22"/>
          <w:szCs w:val="22"/>
        </w:rPr>
        <w:t xml:space="preserve">Παράλληλα, ενισχύεται η χρηματοδότηση του Οργανισμού Προνοιακών Επιδομάτων και Κοινωνικής Αλληλεγγύης (ΟΠΕΚΑ), μέσω του οποίου καταβάλλονται: </w:t>
      </w:r>
    </w:p>
    <w:p w:rsidR="002120F6" w:rsidRPr="00253D8E" w:rsidRDefault="002120F6" w:rsidP="00140C19">
      <w:pPr>
        <w:rPr>
          <w:color w:val="000000"/>
          <w:sz w:val="22"/>
          <w:szCs w:val="22"/>
        </w:rPr>
      </w:pPr>
    </w:p>
    <w:p w:rsidR="00DA54B4" w:rsidRPr="00253D8E" w:rsidRDefault="00DA54B4" w:rsidP="006556BD">
      <w:pPr>
        <w:pStyle w:val="af2"/>
        <w:numPr>
          <w:ilvl w:val="0"/>
          <w:numId w:val="14"/>
        </w:numPr>
        <w:spacing w:after="0" w:line="240" w:lineRule="auto"/>
        <w:ind w:left="284" w:hanging="284"/>
        <w:contextualSpacing w:val="0"/>
        <w:rPr>
          <w:rFonts w:ascii="Times New Roman" w:eastAsia="Times New Roman" w:hAnsi="Times New Roman"/>
          <w:color w:val="000000"/>
          <w:lang w:eastAsia="el-GR"/>
        </w:rPr>
      </w:pPr>
      <w:r w:rsidRPr="00253D8E">
        <w:rPr>
          <w:rFonts w:ascii="Times New Roman" w:eastAsia="Times New Roman" w:hAnsi="Times New Roman"/>
          <w:color w:val="000000"/>
          <w:lang w:eastAsia="el-GR"/>
        </w:rPr>
        <w:t>το επίδομα παιδιού</w:t>
      </w:r>
      <w:r w:rsidR="002120F6">
        <w:rPr>
          <w:rFonts w:ascii="Times New Roman" w:eastAsia="Times New Roman" w:hAnsi="Times New Roman"/>
          <w:color w:val="000000"/>
          <w:lang w:eastAsia="el-GR"/>
        </w:rPr>
        <w:t>,</w:t>
      </w:r>
      <w:r w:rsidRPr="00253D8E">
        <w:rPr>
          <w:rFonts w:ascii="Times New Roman" w:eastAsia="Times New Roman" w:hAnsi="Times New Roman"/>
          <w:color w:val="000000"/>
          <w:lang w:eastAsia="el-GR"/>
        </w:rPr>
        <w:t xml:space="preserve"> </w:t>
      </w:r>
    </w:p>
    <w:p w:rsidR="00DA54B4" w:rsidRPr="00253D8E" w:rsidRDefault="00DA54B4" w:rsidP="006556BD">
      <w:pPr>
        <w:pStyle w:val="af2"/>
        <w:numPr>
          <w:ilvl w:val="0"/>
          <w:numId w:val="14"/>
        </w:numPr>
        <w:spacing w:after="0" w:line="240" w:lineRule="auto"/>
        <w:ind w:left="284" w:hanging="284"/>
        <w:contextualSpacing w:val="0"/>
        <w:rPr>
          <w:rFonts w:ascii="Times New Roman" w:eastAsia="Times New Roman" w:hAnsi="Times New Roman"/>
          <w:color w:val="000000"/>
          <w:lang w:eastAsia="el-GR"/>
        </w:rPr>
      </w:pPr>
      <w:r w:rsidRPr="00253D8E">
        <w:rPr>
          <w:rFonts w:ascii="Times New Roman" w:eastAsia="Times New Roman" w:hAnsi="Times New Roman"/>
          <w:color w:val="000000"/>
          <w:lang w:eastAsia="el-GR"/>
        </w:rPr>
        <w:t>το Κοινωνικό Εισόδημα Αλληλεγγύης (ΚΕΑ)</w:t>
      </w:r>
      <w:r w:rsidR="002120F6">
        <w:rPr>
          <w:rFonts w:ascii="Times New Roman" w:eastAsia="Times New Roman" w:hAnsi="Times New Roman"/>
          <w:color w:val="000000"/>
          <w:lang w:eastAsia="el-GR"/>
        </w:rPr>
        <w:t>,</w:t>
      </w:r>
    </w:p>
    <w:p w:rsidR="00DA54B4" w:rsidRPr="00253D8E" w:rsidRDefault="00DA54B4" w:rsidP="006556BD">
      <w:pPr>
        <w:pStyle w:val="af2"/>
        <w:numPr>
          <w:ilvl w:val="0"/>
          <w:numId w:val="14"/>
        </w:numPr>
        <w:spacing w:after="0" w:line="240" w:lineRule="auto"/>
        <w:ind w:left="284" w:hanging="284"/>
        <w:contextualSpacing w:val="0"/>
        <w:rPr>
          <w:rFonts w:ascii="Times New Roman" w:eastAsia="Times New Roman" w:hAnsi="Times New Roman"/>
          <w:color w:val="000000"/>
          <w:lang w:eastAsia="el-GR"/>
        </w:rPr>
      </w:pPr>
      <w:r w:rsidRPr="00253D8E">
        <w:rPr>
          <w:rFonts w:ascii="Times New Roman" w:eastAsia="Times New Roman" w:hAnsi="Times New Roman"/>
          <w:color w:val="000000"/>
          <w:lang w:eastAsia="el-GR"/>
        </w:rPr>
        <w:t>το επίδομα κοινωνικής αλληλεγγύης ανασφάλιστων υπερηλίκων και η παροχή σε ανασφάλιστους υπερήλικες</w:t>
      </w:r>
      <w:r w:rsidR="002120F6">
        <w:rPr>
          <w:rFonts w:ascii="Times New Roman" w:eastAsia="Times New Roman" w:hAnsi="Times New Roman"/>
          <w:color w:val="000000"/>
          <w:lang w:eastAsia="el-GR"/>
        </w:rPr>
        <w:t>,</w:t>
      </w:r>
    </w:p>
    <w:p w:rsidR="00DA54B4" w:rsidRPr="00253D8E" w:rsidRDefault="00DA54B4" w:rsidP="006556BD">
      <w:pPr>
        <w:pStyle w:val="af2"/>
        <w:numPr>
          <w:ilvl w:val="0"/>
          <w:numId w:val="14"/>
        </w:numPr>
        <w:spacing w:after="0" w:line="240" w:lineRule="auto"/>
        <w:ind w:left="284" w:hanging="284"/>
        <w:contextualSpacing w:val="0"/>
        <w:rPr>
          <w:rFonts w:ascii="Times New Roman" w:eastAsia="Times New Roman" w:hAnsi="Times New Roman"/>
          <w:color w:val="000000"/>
          <w:lang w:eastAsia="el-GR"/>
        </w:rPr>
      </w:pPr>
      <w:r w:rsidRPr="00253D8E">
        <w:rPr>
          <w:rFonts w:ascii="Times New Roman" w:eastAsia="Times New Roman" w:hAnsi="Times New Roman"/>
          <w:color w:val="000000"/>
          <w:lang w:eastAsia="el-GR"/>
        </w:rPr>
        <w:t>οι</w:t>
      </w:r>
      <w:r w:rsidR="0068124D">
        <w:rPr>
          <w:rFonts w:ascii="Times New Roman" w:eastAsia="Times New Roman" w:hAnsi="Times New Roman"/>
          <w:color w:val="000000"/>
          <w:lang w:eastAsia="el-GR"/>
        </w:rPr>
        <w:t xml:space="preserve"> </w:t>
      </w:r>
      <w:r w:rsidRPr="00253D8E">
        <w:rPr>
          <w:rFonts w:ascii="Times New Roman" w:eastAsia="Times New Roman" w:hAnsi="Times New Roman"/>
          <w:color w:val="000000"/>
          <w:lang w:eastAsia="el-GR"/>
        </w:rPr>
        <w:t>προνοιακές παροχές σε χρ</w:t>
      </w:r>
      <w:r w:rsidR="002120F6">
        <w:rPr>
          <w:rFonts w:ascii="Times New Roman" w:eastAsia="Times New Roman" w:hAnsi="Times New Roman"/>
          <w:color w:val="000000"/>
          <w:lang w:eastAsia="el-GR"/>
        </w:rPr>
        <w:t>ήμα σε άτομα με αναπηρία (από 1/1/</w:t>
      </w:r>
      <w:r w:rsidRPr="00253D8E">
        <w:rPr>
          <w:rFonts w:ascii="Times New Roman" w:eastAsia="Times New Roman" w:hAnsi="Times New Roman"/>
          <w:color w:val="000000"/>
          <w:lang w:eastAsia="el-GR"/>
        </w:rPr>
        <w:t xml:space="preserve">2019), </w:t>
      </w:r>
    </w:p>
    <w:p w:rsidR="00DA54B4" w:rsidRPr="00253D8E" w:rsidRDefault="00DA54B4" w:rsidP="006556BD">
      <w:pPr>
        <w:pStyle w:val="af2"/>
        <w:numPr>
          <w:ilvl w:val="0"/>
          <w:numId w:val="14"/>
        </w:numPr>
        <w:spacing w:after="0" w:line="240" w:lineRule="auto"/>
        <w:ind w:left="284" w:hanging="284"/>
        <w:contextualSpacing w:val="0"/>
        <w:jc w:val="both"/>
        <w:rPr>
          <w:rFonts w:ascii="Times New Roman" w:eastAsia="Times New Roman" w:hAnsi="Times New Roman"/>
          <w:color w:val="000000"/>
          <w:lang w:eastAsia="el-GR"/>
        </w:rPr>
      </w:pPr>
      <w:r w:rsidRPr="00253D8E">
        <w:rPr>
          <w:rFonts w:ascii="Times New Roman" w:eastAsia="Times New Roman" w:hAnsi="Times New Roman"/>
          <w:color w:val="000000"/>
          <w:lang w:eastAsia="el-GR"/>
        </w:rPr>
        <w:lastRenderedPageBreak/>
        <w:t>λοιπά προγράμματα, δράσεις και ενέργειες που αφορούν προνοιακές πολιτικές του Υπουργείου Εργασίας, Κοινωνικής Ασφάλισης και Κοινωνικής Αλληλεγγύης</w:t>
      </w:r>
      <w:r w:rsidR="00140C19">
        <w:rPr>
          <w:rFonts w:ascii="Times New Roman" w:eastAsia="Times New Roman" w:hAnsi="Times New Roman"/>
          <w:color w:val="000000"/>
          <w:lang w:eastAsia="el-GR"/>
        </w:rPr>
        <w:t>.</w:t>
      </w:r>
    </w:p>
    <w:p w:rsidR="00140C19" w:rsidRDefault="00140C19" w:rsidP="00140C19">
      <w:pPr>
        <w:jc w:val="both"/>
        <w:rPr>
          <w:color w:val="000000"/>
          <w:sz w:val="22"/>
          <w:szCs w:val="22"/>
        </w:rPr>
      </w:pPr>
    </w:p>
    <w:p w:rsidR="00DA54B4" w:rsidRDefault="00DA54B4" w:rsidP="00140C19">
      <w:pPr>
        <w:jc w:val="both"/>
        <w:rPr>
          <w:color w:val="000000"/>
          <w:sz w:val="22"/>
          <w:szCs w:val="22"/>
        </w:rPr>
      </w:pPr>
      <w:r w:rsidRPr="00253D8E">
        <w:rPr>
          <w:color w:val="000000"/>
          <w:sz w:val="22"/>
          <w:szCs w:val="22"/>
        </w:rPr>
        <w:t xml:space="preserve">Επιπρόσθετα, οι πιστώσεις αναμένεται να διατεθούν για την κάλυψη αναγκών όπως: </w:t>
      </w:r>
    </w:p>
    <w:p w:rsidR="00140C19" w:rsidRPr="00253D8E" w:rsidRDefault="00140C19" w:rsidP="00140C19">
      <w:pPr>
        <w:jc w:val="both"/>
        <w:rPr>
          <w:color w:val="000000"/>
          <w:sz w:val="22"/>
          <w:szCs w:val="22"/>
        </w:rPr>
      </w:pPr>
    </w:p>
    <w:p w:rsidR="00DA54B4" w:rsidRPr="00253D8E" w:rsidRDefault="00DA54B4" w:rsidP="006556BD">
      <w:pPr>
        <w:pStyle w:val="af2"/>
        <w:numPr>
          <w:ilvl w:val="0"/>
          <w:numId w:val="14"/>
        </w:numPr>
        <w:spacing w:line="240" w:lineRule="auto"/>
        <w:ind w:left="284" w:hanging="284"/>
        <w:rPr>
          <w:rFonts w:ascii="Times New Roman" w:eastAsia="Times New Roman" w:hAnsi="Times New Roman"/>
          <w:color w:val="000000"/>
          <w:lang w:eastAsia="el-GR"/>
        </w:rPr>
      </w:pPr>
      <w:r w:rsidRPr="00253D8E">
        <w:rPr>
          <w:rFonts w:ascii="Times New Roman" w:eastAsia="Times New Roman" w:hAnsi="Times New Roman"/>
          <w:color w:val="000000"/>
          <w:lang w:eastAsia="el-GR"/>
        </w:rPr>
        <w:t>η καταβολή του επιδόματος στέγασης</w:t>
      </w:r>
      <w:r w:rsidR="002120F6">
        <w:rPr>
          <w:rFonts w:ascii="Times New Roman" w:eastAsia="Times New Roman" w:hAnsi="Times New Roman"/>
          <w:color w:val="000000"/>
          <w:lang w:eastAsia="el-GR"/>
        </w:rPr>
        <w:t>,</w:t>
      </w:r>
    </w:p>
    <w:p w:rsidR="00DA54B4" w:rsidRPr="00253D8E" w:rsidRDefault="00DA54B4" w:rsidP="006556BD">
      <w:pPr>
        <w:pStyle w:val="af2"/>
        <w:numPr>
          <w:ilvl w:val="0"/>
          <w:numId w:val="14"/>
        </w:numPr>
        <w:spacing w:line="240" w:lineRule="auto"/>
        <w:ind w:left="284" w:hanging="284"/>
        <w:jc w:val="both"/>
        <w:rPr>
          <w:rFonts w:ascii="Times New Roman" w:eastAsia="Times New Roman" w:hAnsi="Times New Roman"/>
          <w:color w:val="000000"/>
          <w:lang w:eastAsia="el-GR"/>
        </w:rPr>
      </w:pPr>
      <w:r w:rsidRPr="00253D8E">
        <w:rPr>
          <w:rFonts w:ascii="Times New Roman" w:eastAsia="Times New Roman" w:hAnsi="Times New Roman"/>
          <w:color w:val="000000"/>
          <w:lang w:eastAsia="el-GR"/>
        </w:rPr>
        <w:t>η ενίσχυση δράσεων κοινωνικής προστασίας, όπως η διευκόλυνση μετακίνησης ευάλωτων κοιν</w:t>
      </w:r>
      <w:r w:rsidRPr="00253D8E">
        <w:rPr>
          <w:rFonts w:ascii="Times New Roman" w:eastAsia="Times New Roman" w:hAnsi="Times New Roman"/>
          <w:color w:val="000000"/>
          <w:lang w:eastAsia="el-GR"/>
        </w:rPr>
        <w:t>ω</w:t>
      </w:r>
      <w:r w:rsidRPr="00253D8E">
        <w:rPr>
          <w:rFonts w:ascii="Times New Roman" w:eastAsia="Times New Roman" w:hAnsi="Times New Roman"/>
          <w:color w:val="000000"/>
          <w:lang w:eastAsia="el-GR"/>
        </w:rPr>
        <w:t xml:space="preserve">νικών ομάδων (ΑμΕΑ, πολύτεκνοι, κ.ά) με συγκοινωνιακά μέσα, </w:t>
      </w:r>
    </w:p>
    <w:p w:rsidR="00DA54B4" w:rsidRPr="00253D8E" w:rsidRDefault="00DA54B4" w:rsidP="006556BD">
      <w:pPr>
        <w:pStyle w:val="af2"/>
        <w:numPr>
          <w:ilvl w:val="0"/>
          <w:numId w:val="14"/>
        </w:numPr>
        <w:spacing w:line="240" w:lineRule="auto"/>
        <w:ind w:left="284" w:hanging="284"/>
        <w:jc w:val="both"/>
        <w:rPr>
          <w:rFonts w:ascii="Times New Roman" w:eastAsia="Times New Roman" w:hAnsi="Times New Roman"/>
          <w:color w:val="000000"/>
          <w:lang w:eastAsia="el-GR"/>
        </w:rPr>
      </w:pPr>
      <w:r w:rsidRPr="00253D8E">
        <w:rPr>
          <w:rFonts w:ascii="Times New Roman" w:eastAsia="Times New Roman" w:hAnsi="Times New Roman"/>
          <w:color w:val="000000"/>
          <w:lang w:eastAsia="el-GR"/>
        </w:rPr>
        <w:t>η χρηματοδότηση των Κέντρων Κοινωνικής Πρόνοιας και των λοιπών προνοιακών φορέων,</w:t>
      </w:r>
    </w:p>
    <w:p w:rsidR="00DA54B4" w:rsidRPr="00253D8E" w:rsidRDefault="00DA54B4" w:rsidP="006556BD">
      <w:pPr>
        <w:pStyle w:val="af2"/>
        <w:numPr>
          <w:ilvl w:val="0"/>
          <w:numId w:val="14"/>
        </w:numPr>
        <w:spacing w:line="240" w:lineRule="auto"/>
        <w:ind w:left="284" w:hanging="284"/>
        <w:jc w:val="both"/>
        <w:rPr>
          <w:rFonts w:ascii="Times New Roman" w:eastAsia="Times New Roman" w:hAnsi="Times New Roman"/>
          <w:color w:val="000000"/>
          <w:lang w:eastAsia="el-GR"/>
        </w:rPr>
      </w:pPr>
      <w:r w:rsidRPr="00253D8E">
        <w:rPr>
          <w:rFonts w:ascii="Times New Roman" w:eastAsia="Times New Roman" w:hAnsi="Times New Roman"/>
          <w:color w:val="000000"/>
          <w:lang w:eastAsia="el-GR"/>
        </w:rPr>
        <w:t>η συνέχιση της χρηματοδότησης του προγράμματος «Βοήθεια στο Σπίτι» με σκοπό την υποβοήθ</w:t>
      </w:r>
      <w:r w:rsidRPr="00253D8E">
        <w:rPr>
          <w:rFonts w:ascii="Times New Roman" w:eastAsia="Times New Roman" w:hAnsi="Times New Roman"/>
          <w:color w:val="000000"/>
          <w:lang w:eastAsia="el-GR"/>
        </w:rPr>
        <w:t>η</w:t>
      </w:r>
      <w:r w:rsidRPr="00253D8E">
        <w:rPr>
          <w:rFonts w:ascii="Times New Roman" w:eastAsia="Times New Roman" w:hAnsi="Times New Roman"/>
          <w:color w:val="000000"/>
          <w:lang w:eastAsia="el-GR"/>
        </w:rPr>
        <w:t xml:space="preserve">ση συνταξιούχων και ηλικιωμένων ατόμων, </w:t>
      </w:r>
    </w:p>
    <w:p w:rsidR="00DA54B4" w:rsidRPr="00253D8E" w:rsidRDefault="00DA54B4" w:rsidP="006556BD">
      <w:pPr>
        <w:pStyle w:val="af2"/>
        <w:numPr>
          <w:ilvl w:val="0"/>
          <w:numId w:val="14"/>
        </w:numPr>
        <w:spacing w:line="240" w:lineRule="auto"/>
        <w:ind w:left="284" w:hanging="284"/>
        <w:jc w:val="both"/>
        <w:rPr>
          <w:rFonts w:ascii="Times New Roman" w:eastAsia="Times New Roman" w:hAnsi="Times New Roman"/>
          <w:color w:val="000000"/>
          <w:lang w:eastAsia="el-GR"/>
        </w:rPr>
      </w:pPr>
      <w:r w:rsidRPr="00253D8E">
        <w:rPr>
          <w:rFonts w:ascii="Times New Roman" w:eastAsia="Times New Roman" w:hAnsi="Times New Roman"/>
          <w:color w:val="000000"/>
          <w:lang w:eastAsia="el-GR"/>
        </w:rPr>
        <w:t>η εφαρμογή προγραμμάτων ενεργητικών πολιτικών απασχόλησης από τον Οργανισμό Απασχόλ</w:t>
      </w:r>
      <w:r w:rsidRPr="00253D8E">
        <w:rPr>
          <w:rFonts w:ascii="Times New Roman" w:eastAsia="Times New Roman" w:hAnsi="Times New Roman"/>
          <w:color w:val="000000"/>
          <w:lang w:eastAsia="el-GR"/>
        </w:rPr>
        <w:t>η</w:t>
      </w:r>
      <w:r w:rsidRPr="00253D8E">
        <w:rPr>
          <w:rFonts w:ascii="Times New Roman" w:eastAsia="Times New Roman" w:hAnsi="Times New Roman"/>
          <w:color w:val="000000"/>
          <w:lang w:eastAsia="el-GR"/>
        </w:rPr>
        <w:t xml:space="preserve">σης Εργατικού Δυναμικού (ΟΑΕΔ) με σκοπό την περαιτέρω μείωση της ανεργίας, </w:t>
      </w:r>
    </w:p>
    <w:p w:rsidR="00DA54B4" w:rsidRPr="00253D8E" w:rsidRDefault="00DA54B4" w:rsidP="006556BD">
      <w:pPr>
        <w:pStyle w:val="af2"/>
        <w:numPr>
          <w:ilvl w:val="0"/>
          <w:numId w:val="14"/>
        </w:numPr>
        <w:spacing w:after="0" w:line="240" w:lineRule="auto"/>
        <w:ind w:left="284" w:hanging="284"/>
        <w:contextualSpacing w:val="0"/>
        <w:jc w:val="both"/>
        <w:rPr>
          <w:rFonts w:ascii="Times New Roman" w:eastAsia="Times New Roman" w:hAnsi="Times New Roman"/>
          <w:color w:val="000000"/>
          <w:lang w:eastAsia="el-GR"/>
        </w:rPr>
      </w:pPr>
      <w:r w:rsidRPr="00253D8E">
        <w:rPr>
          <w:rFonts w:ascii="Times New Roman" w:eastAsia="Times New Roman" w:hAnsi="Times New Roman"/>
          <w:color w:val="000000"/>
          <w:lang w:eastAsia="el-GR"/>
        </w:rPr>
        <w:t>η επιδότηση ασφαλιστικών εισφορών για νέους εργαζόμενους με στόχο τη βελτίωση της πρόσβ</w:t>
      </w:r>
      <w:r w:rsidRPr="00253D8E">
        <w:rPr>
          <w:rFonts w:ascii="Times New Roman" w:eastAsia="Times New Roman" w:hAnsi="Times New Roman"/>
          <w:color w:val="000000"/>
          <w:lang w:eastAsia="el-GR"/>
        </w:rPr>
        <w:t>α</w:t>
      </w:r>
      <w:r w:rsidR="00877188">
        <w:rPr>
          <w:rFonts w:ascii="Times New Roman" w:eastAsia="Times New Roman" w:hAnsi="Times New Roman"/>
          <w:color w:val="000000"/>
          <w:lang w:eastAsia="el-GR"/>
        </w:rPr>
        <w:t>σή</w:t>
      </w:r>
      <w:r w:rsidRPr="00253D8E">
        <w:rPr>
          <w:rFonts w:ascii="Times New Roman" w:eastAsia="Times New Roman" w:hAnsi="Times New Roman"/>
          <w:color w:val="000000"/>
          <w:lang w:eastAsia="el-GR"/>
        </w:rPr>
        <w:t>ς τους στην αγορά εργασίας.</w:t>
      </w:r>
    </w:p>
    <w:p w:rsidR="00140C19" w:rsidRPr="00BB0E16" w:rsidRDefault="00140C19" w:rsidP="00DA54B4">
      <w:pPr>
        <w:autoSpaceDE w:val="0"/>
        <w:autoSpaceDN w:val="0"/>
        <w:adjustRightInd w:val="0"/>
        <w:jc w:val="both"/>
        <w:rPr>
          <w:sz w:val="22"/>
        </w:rPr>
      </w:pPr>
    </w:p>
    <w:p w:rsidR="00BB0E16" w:rsidRPr="00BB0E16" w:rsidRDefault="00BB0E16" w:rsidP="00BB0E16">
      <w:pPr>
        <w:autoSpaceDE w:val="0"/>
        <w:autoSpaceDN w:val="0"/>
        <w:adjustRightInd w:val="0"/>
        <w:jc w:val="both"/>
        <w:rPr>
          <w:bCs/>
          <w:sz w:val="22"/>
        </w:rPr>
      </w:pPr>
      <w:r w:rsidRPr="00BB0E16">
        <w:rPr>
          <w:bCs/>
          <w:sz w:val="22"/>
        </w:rPr>
        <w:t xml:space="preserve">Οι πιστώσεις του προϋπολογισμού δημοσίων επενδύσεων του φορέα χρηματοδοτούν δράσεις που </w:t>
      </w:r>
      <w:r w:rsidRPr="00BB0E16">
        <w:rPr>
          <w:bCs/>
          <w:sz w:val="22"/>
        </w:rPr>
        <w:t>α</w:t>
      </w:r>
      <w:r w:rsidRPr="00BB0E16">
        <w:rPr>
          <w:bCs/>
          <w:sz w:val="22"/>
        </w:rPr>
        <w:t>φορούν</w:t>
      </w:r>
      <w:r w:rsidR="00BF34D6">
        <w:rPr>
          <w:bCs/>
          <w:sz w:val="22"/>
        </w:rPr>
        <w:t xml:space="preserve"> στη λειτουργία παιδικών σταθμών και γηροκομείων,</w:t>
      </w:r>
      <w:r w:rsidRPr="00BB0E16">
        <w:rPr>
          <w:bCs/>
          <w:sz w:val="22"/>
        </w:rPr>
        <w:t xml:space="preserve"> στην προώθηση της απασχόλησης, την ενίσχυση της επιχειρηματικότητας και την καταπολέμηση του κοινωνικού αποκλεισμού.</w:t>
      </w:r>
    </w:p>
    <w:p w:rsidR="00BB0E16" w:rsidRDefault="00BB0E16" w:rsidP="00BB0E16">
      <w:pPr>
        <w:autoSpaceDE w:val="0"/>
        <w:autoSpaceDN w:val="0"/>
        <w:adjustRightInd w:val="0"/>
        <w:jc w:val="both"/>
        <w:rPr>
          <w:bCs/>
          <w:sz w:val="22"/>
        </w:rPr>
      </w:pPr>
    </w:p>
    <w:p w:rsidR="00BB0E16" w:rsidRPr="00BB0E16" w:rsidRDefault="00BB0E16" w:rsidP="00BB0E16">
      <w:pPr>
        <w:autoSpaceDE w:val="0"/>
        <w:autoSpaceDN w:val="0"/>
        <w:adjustRightInd w:val="0"/>
        <w:jc w:val="both"/>
        <w:rPr>
          <w:bCs/>
          <w:sz w:val="22"/>
        </w:rPr>
      </w:pPr>
      <w:r w:rsidRPr="00BB0E16">
        <w:rPr>
          <w:bCs/>
          <w:sz w:val="22"/>
        </w:rPr>
        <w:t>Το ΠΔΕ στηρίζει τις παραπάνω δράσεις μέσω χρηματοδοτικών ενισχύσεων για την ανάληψη επιχε</w:t>
      </w:r>
      <w:r w:rsidRPr="00BB0E16">
        <w:rPr>
          <w:bCs/>
          <w:sz w:val="22"/>
        </w:rPr>
        <w:t>ι</w:t>
      </w:r>
      <w:r w:rsidRPr="00BB0E16">
        <w:rPr>
          <w:bCs/>
          <w:sz w:val="22"/>
        </w:rPr>
        <w:t>ρηματικών πρωτοβουλιών σε όλους σχεδόν τους τομείς οικονομικής δραστηριότητας, με προτεραι</w:t>
      </w:r>
      <w:r w:rsidRPr="00BB0E16">
        <w:rPr>
          <w:bCs/>
          <w:sz w:val="22"/>
        </w:rPr>
        <w:t>ό</w:t>
      </w:r>
      <w:r w:rsidRPr="00BB0E16">
        <w:rPr>
          <w:bCs/>
          <w:sz w:val="22"/>
        </w:rPr>
        <w:t>τητα σε κλάδους και τομείς της οικονομίας που ενσωματώνουν την καινοτομία. Θεματικά εργαστήρ</w:t>
      </w:r>
      <w:r w:rsidRPr="00BB0E16">
        <w:rPr>
          <w:bCs/>
          <w:sz w:val="22"/>
        </w:rPr>
        <w:t>ι</w:t>
      </w:r>
      <w:r w:rsidRPr="00BB0E16">
        <w:rPr>
          <w:bCs/>
          <w:sz w:val="22"/>
        </w:rPr>
        <w:t>α, υπηρεσίες καθοδήγησης, ενδυνάμωση της επιχειρηματικής υποστήριξης, καθώς και παροχή συμβ</w:t>
      </w:r>
      <w:r w:rsidRPr="00BB0E16">
        <w:rPr>
          <w:bCs/>
          <w:sz w:val="22"/>
        </w:rPr>
        <w:t>ο</w:t>
      </w:r>
      <w:r w:rsidRPr="00BB0E16">
        <w:rPr>
          <w:bCs/>
          <w:sz w:val="22"/>
        </w:rPr>
        <w:t>υλευτικής υποστήριξης (mentoring) των νέων</w:t>
      </w:r>
      <w:r w:rsidR="00BF34D6">
        <w:rPr>
          <w:bCs/>
          <w:sz w:val="22"/>
        </w:rPr>
        <w:t>,</w:t>
      </w:r>
      <w:r w:rsidRPr="00BB0E16">
        <w:rPr>
          <w:bCs/>
          <w:sz w:val="22"/>
        </w:rPr>
        <w:t xml:space="preserve"> αποτελούν κάποια από τα μέσα επίτευξης των παραπ</w:t>
      </w:r>
      <w:r w:rsidRPr="00BB0E16">
        <w:rPr>
          <w:bCs/>
          <w:sz w:val="22"/>
        </w:rPr>
        <w:t>ά</w:t>
      </w:r>
      <w:r w:rsidRPr="00BB0E16">
        <w:rPr>
          <w:bCs/>
          <w:sz w:val="22"/>
        </w:rPr>
        <w:t>νω στόχων. Ειδικά για τους νέους ενισχύονται συστηματικά προγράμματα μετάβασης από την εκπα</w:t>
      </w:r>
      <w:r w:rsidRPr="00BB0E16">
        <w:rPr>
          <w:bCs/>
          <w:sz w:val="22"/>
        </w:rPr>
        <w:t>ί</w:t>
      </w:r>
      <w:r w:rsidRPr="00BB0E16">
        <w:rPr>
          <w:bCs/>
          <w:sz w:val="22"/>
        </w:rPr>
        <w:t>δευση στην εργασία, ώστε να υποστηριχθεί η απόκτηση πρώτης εργασιακής εμπειρίας, καθώς και η προώθηση της επιχειρηματικότητας. Τέλος</w:t>
      </w:r>
      <w:r w:rsidR="00BF34D6">
        <w:rPr>
          <w:bCs/>
          <w:sz w:val="22"/>
        </w:rPr>
        <w:t>,</w:t>
      </w:r>
      <w:r w:rsidRPr="00BB0E16">
        <w:rPr>
          <w:bCs/>
          <w:sz w:val="22"/>
        </w:rPr>
        <w:t xml:space="preserve"> από το ΠΔΕ του Υπουργείου καλύπτονται δαπάνες στον μεταναστευτικό τομέα στο </w:t>
      </w:r>
      <w:r w:rsidR="00BF34D6">
        <w:rPr>
          <w:bCs/>
          <w:sz w:val="22"/>
        </w:rPr>
        <w:t>πλαίσιο</w:t>
      </w:r>
      <w:r w:rsidRPr="00BB0E16">
        <w:rPr>
          <w:bCs/>
          <w:sz w:val="22"/>
        </w:rPr>
        <w:t xml:space="preserve"> της αρμοδιότητάς του.</w:t>
      </w:r>
    </w:p>
    <w:p w:rsidR="00BB0E16" w:rsidRPr="00BB0E16" w:rsidRDefault="00BB0E16" w:rsidP="00DA54B4">
      <w:pPr>
        <w:autoSpaceDE w:val="0"/>
        <w:autoSpaceDN w:val="0"/>
        <w:adjustRightInd w:val="0"/>
        <w:jc w:val="both"/>
        <w:rPr>
          <w:rFonts w:ascii="Arial Narrow" w:hAnsi="Arial Narrow"/>
          <w:sz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 xml:space="preserve">Υπουργείο Οικονομίας και Ανάπτυξης </w:t>
      </w:r>
    </w:p>
    <w:p w:rsidR="00DA54B4" w:rsidRPr="00253D8E" w:rsidRDefault="00DA54B4" w:rsidP="00DA54B4">
      <w:pPr>
        <w:autoSpaceDE w:val="0"/>
        <w:autoSpaceDN w:val="0"/>
        <w:adjustRightInd w:val="0"/>
        <w:jc w:val="both"/>
        <w:rPr>
          <w:b/>
          <w:color w:val="000000"/>
          <w:sz w:val="22"/>
          <w:szCs w:val="22"/>
        </w:rPr>
      </w:pPr>
    </w:p>
    <w:p w:rsidR="00DA54B4" w:rsidRPr="00253D8E" w:rsidRDefault="00DA54B4" w:rsidP="00DA54B4">
      <w:pPr>
        <w:autoSpaceDE w:val="0"/>
        <w:autoSpaceDN w:val="0"/>
        <w:adjustRightInd w:val="0"/>
        <w:jc w:val="both"/>
        <w:rPr>
          <w:color w:val="000000"/>
          <w:sz w:val="22"/>
          <w:szCs w:val="22"/>
        </w:rPr>
      </w:pPr>
      <w:r w:rsidRPr="00253D8E">
        <w:rPr>
          <w:color w:val="000000"/>
          <w:sz w:val="22"/>
          <w:szCs w:val="22"/>
        </w:rPr>
        <w:t xml:space="preserve">Οι πιστώσεις του </w:t>
      </w:r>
      <w:r w:rsidR="00BB0E16">
        <w:rPr>
          <w:color w:val="000000"/>
          <w:sz w:val="22"/>
          <w:szCs w:val="22"/>
        </w:rPr>
        <w:t xml:space="preserve">τακτικού </w:t>
      </w:r>
      <w:r w:rsidRPr="00253D8E">
        <w:rPr>
          <w:color w:val="000000"/>
          <w:sz w:val="22"/>
          <w:szCs w:val="22"/>
        </w:rPr>
        <w:t>προϋπολογισμού του Υπουργείου προβλέπεται να καλύψουν κυρίως δαπ</w:t>
      </w:r>
      <w:r w:rsidRPr="00253D8E">
        <w:rPr>
          <w:color w:val="000000"/>
          <w:sz w:val="22"/>
          <w:szCs w:val="22"/>
        </w:rPr>
        <w:t>ά</w:t>
      </w:r>
      <w:r w:rsidRPr="00253D8E">
        <w:rPr>
          <w:color w:val="000000"/>
          <w:sz w:val="22"/>
          <w:szCs w:val="22"/>
        </w:rPr>
        <w:t xml:space="preserve">νες για: </w:t>
      </w:r>
    </w:p>
    <w:p w:rsidR="00DA54B4" w:rsidRPr="00253D8E" w:rsidRDefault="00DA54B4" w:rsidP="00DA54B4">
      <w:pPr>
        <w:autoSpaceDE w:val="0"/>
        <w:autoSpaceDN w:val="0"/>
        <w:adjustRightInd w:val="0"/>
        <w:jc w:val="both"/>
        <w:rPr>
          <w:color w:val="000000"/>
          <w:sz w:val="22"/>
          <w:szCs w:val="22"/>
        </w:rPr>
      </w:pPr>
    </w:p>
    <w:p w:rsidR="00DA54B4" w:rsidRPr="00253D8E" w:rsidRDefault="00DA54B4" w:rsidP="006556BD">
      <w:pPr>
        <w:pStyle w:val="af2"/>
        <w:numPr>
          <w:ilvl w:val="0"/>
          <w:numId w:val="11"/>
        </w:numPr>
        <w:autoSpaceDE w:val="0"/>
        <w:autoSpaceDN w:val="0"/>
        <w:adjustRightInd w:val="0"/>
        <w:spacing w:after="0" w:line="240" w:lineRule="auto"/>
        <w:ind w:left="284" w:hanging="284"/>
        <w:contextualSpacing w:val="0"/>
        <w:jc w:val="both"/>
        <w:rPr>
          <w:rFonts w:ascii="Times New Roman" w:hAnsi="Times New Roman"/>
          <w:color w:val="000000"/>
        </w:rPr>
      </w:pPr>
      <w:r w:rsidRPr="00253D8E">
        <w:rPr>
          <w:rFonts w:ascii="Times New Roman" w:hAnsi="Times New Roman"/>
          <w:color w:val="000000"/>
        </w:rPr>
        <w:t>τη συνεισφορά του Ελληνικού Δημοσίου για την προστασία της κύριας κατοικίας των υπερχρε</w:t>
      </w:r>
      <w:r w:rsidRPr="00253D8E">
        <w:rPr>
          <w:rFonts w:ascii="Times New Roman" w:hAnsi="Times New Roman"/>
          <w:color w:val="000000"/>
        </w:rPr>
        <w:t>ω</w:t>
      </w:r>
      <w:r w:rsidRPr="00253D8E">
        <w:rPr>
          <w:rFonts w:ascii="Times New Roman" w:hAnsi="Times New Roman"/>
          <w:color w:val="000000"/>
        </w:rPr>
        <w:t>μένων νοικοκυριών,</w:t>
      </w:r>
    </w:p>
    <w:p w:rsidR="00DA54B4" w:rsidRPr="00253D8E"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την ενίσχυση της επιχειρηματικότητας, την προσέλκυση παραγωγικών ιδιωτικών επενδύσεων και τη βελτίωση της ανταγωνιστικότητας της οικονομίας,</w:t>
      </w:r>
    </w:p>
    <w:p w:rsidR="00DA54B4" w:rsidRPr="00253D8E"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 xml:space="preserve">τη δημιουργία κατάλληλου επιχειρηματικού περιβάλλοντος για την ανάπτυξη της καινοτομίας, της βιομηχανίας και των μεσαίων, μικρών και πολύ μικρών επιχειρήσεων, </w:t>
      </w:r>
    </w:p>
    <w:p w:rsidR="00DA54B4" w:rsidRPr="00253D8E"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την εξασφάλιση της λειτουργίας των βιομηχανικών και βιοτεχνικών δραστηριοτήτων και άσκησης των τεχνικών επαγγελμάτων, καθώς και την ενίσχυση της ασφάλειας και της ποιότητας των βιομ</w:t>
      </w:r>
      <w:r w:rsidRPr="00253D8E">
        <w:rPr>
          <w:color w:val="000000"/>
          <w:sz w:val="22"/>
          <w:szCs w:val="22"/>
        </w:rPr>
        <w:t>η</w:t>
      </w:r>
      <w:r w:rsidRPr="00253D8E">
        <w:rPr>
          <w:color w:val="000000"/>
          <w:sz w:val="22"/>
          <w:szCs w:val="22"/>
        </w:rPr>
        <w:t>χανικών προϊόντων και υπηρεσιών,</w:t>
      </w:r>
    </w:p>
    <w:p w:rsidR="00DA54B4" w:rsidRPr="00253D8E"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τη χάραξη στρατηγικής διεθνούς εμπορίου, την ανάπτυξη των διεθνών εμπορικών και οικονομικών σχέσεων και της διεθνούς συνεργασίας για την προώθηση των ελληνικών προϊόντων και υπηρεσ</w:t>
      </w:r>
      <w:r w:rsidRPr="00253D8E">
        <w:rPr>
          <w:color w:val="000000"/>
          <w:sz w:val="22"/>
          <w:szCs w:val="22"/>
        </w:rPr>
        <w:t>ι</w:t>
      </w:r>
      <w:r w:rsidRPr="00253D8E">
        <w:rPr>
          <w:color w:val="000000"/>
          <w:sz w:val="22"/>
          <w:szCs w:val="22"/>
        </w:rPr>
        <w:t>ών στη διεθνή αγορά,</w:t>
      </w:r>
    </w:p>
    <w:p w:rsidR="00DA54B4" w:rsidRPr="00253D8E"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 xml:space="preserve">την προσέλκυση, υποστήριξη και διατήρηση επενδύσεων στην Ελλάδα, </w:t>
      </w:r>
    </w:p>
    <w:p w:rsidR="00DA54B4" w:rsidRPr="00253D8E"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 xml:space="preserve">την ανάπτυξη και προώθηση των εξαγωγών, </w:t>
      </w:r>
    </w:p>
    <w:p w:rsidR="00DA54B4" w:rsidRPr="00253D8E"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τη διασφάλιση της εύρυθμης λειτουργίας της αγοράς προς όφελος των καταναλωτών και του υγι</w:t>
      </w:r>
      <w:r w:rsidRPr="00253D8E">
        <w:rPr>
          <w:color w:val="000000"/>
          <w:sz w:val="22"/>
          <w:szCs w:val="22"/>
        </w:rPr>
        <w:t>ο</w:t>
      </w:r>
      <w:r w:rsidRPr="00253D8E">
        <w:rPr>
          <w:color w:val="000000"/>
          <w:sz w:val="22"/>
          <w:szCs w:val="22"/>
        </w:rPr>
        <w:t>ύς ανταγωνισμού των επιχειρήσεων, καθώς και την προάσπιση των δικαιωμάτων των καταναλ</w:t>
      </w:r>
      <w:r w:rsidRPr="00253D8E">
        <w:rPr>
          <w:color w:val="000000"/>
          <w:sz w:val="22"/>
          <w:szCs w:val="22"/>
        </w:rPr>
        <w:t>ω</w:t>
      </w:r>
      <w:r w:rsidRPr="00253D8E">
        <w:rPr>
          <w:color w:val="000000"/>
          <w:sz w:val="22"/>
          <w:szCs w:val="22"/>
        </w:rPr>
        <w:t xml:space="preserve">τών, την πληροφόρηση και ενημέρωσή τους, </w:t>
      </w:r>
    </w:p>
    <w:p w:rsidR="00DA54B4" w:rsidRPr="00253D8E"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τη λειτουργία της Ειδικής Γραμματείας Διαχείρισης Ιδιωτικού Χρέους και</w:t>
      </w:r>
    </w:p>
    <w:p w:rsidR="00DA54B4" w:rsidRDefault="00DA54B4" w:rsidP="006556BD">
      <w:pPr>
        <w:numPr>
          <w:ilvl w:val="0"/>
          <w:numId w:val="4"/>
        </w:numPr>
        <w:autoSpaceDE w:val="0"/>
        <w:autoSpaceDN w:val="0"/>
        <w:adjustRightInd w:val="0"/>
        <w:ind w:left="284" w:hanging="284"/>
        <w:jc w:val="both"/>
        <w:rPr>
          <w:color w:val="000000"/>
          <w:sz w:val="22"/>
          <w:szCs w:val="22"/>
        </w:rPr>
      </w:pPr>
      <w:r w:rsidRPr="00253D8E">
        <w:rPr>
          <w:color w:val="000000"/>
          <w:sz w:val="22"/>
          <w:szCs w:val="22"/>
        </w:rPr>
        <w:t>τη λειτουργία της Ανεξάρτητης Αρχής του Συνηγόρου του Καταναλωτή.</w:t>
      </w:r>
    </w:p>
    <w:p w:rsidR="00BB0E16" w:rsidRDefault="00BB0E16" w:rsidP="00BB0E16">
      <w:pPr>
        <w:autoSpaceDE w:val="0"/>
        <w:autoSpaceDN w:val="0"/>
        <w:adjustRightInd w:val="0"/>
        <w:jc w:val="both"/>
        <w:rPr>
          <w:color w:val="000000"/>
          <w:sz w:val="22"/>
          <w:szCs w:val="22"/>
        </w:rPr>
      </w:pPr>
    </w:p>
    <w:p w:rsidR="00BB0E16" w:rsidRDefault="00BB0E16" w:rsidP="00BB0E16">
      <w:pPr>
        <w:autoSpaceDE w:val="0"/>
        <w:autoSpaceDN w:val="0"/>
        <w:adjustRightInd w:val="0"/>
        <w:jc w:val="both"/>
        <w:rPr>
          <w:bCs/>
          <w:color w:val="000000"/>
          <w:sz w:val="22"/>
          <w:szCs w:val="22"/>
        </w:rPr>
      </w:pPr>
      <w:r w:rsidRPr="00BB0E16">
        <w:rPr>
          <w:bCs/>
          <w:color w:val="000000"/>
          <w:sz w:val="22"/>
          <w:szCs w:val="22"/>
        </w:rPr>
        <w:t>Οι πιστώσεις του προϋπολογισμού δημοσίων επενδύσεων του φορέα χρηματοδοτούν πολιτικές ενί</w:t>
      </w:r>
      <w:r w:rsidRPr="00BB0E16">
        <w:rPr>
          <w:bCs/>
          <w:color w:val="000000"/>
          <w:sz w:val="22"/>
          <w:szCs w:val="22"/>
        </w:rPr>
        <w:t>σ</w:t>
      </w:r>
      <w:r w:rsidRPr="00BB0E16">
        <w:rPr>
          <w:bCs/>
          <w:color w:val="000000"/>
          <w:sz w:val="22"/>
          <w:szCs w:val="22"/>
        </w:rPr>
        <w:t>χυσης των ιδιωτικών επενδύσεων μέσω της χρηματοδότησης δράσεων στους τομείς βιομηχανίας</w:t>
      </w:r>
      <w:r>
        <w:rPr>
          <w:bCs/>
          <w:color w:val="000000"/>
          <w:sz w:val="22"/>
          <w:szCs w:val="22"/>
        </w:rPr>
        <w:t>-</w:t>
      </w:r>
      <w:r w:rsidRPr="00BB0E16">
        <w:rPr>
          <w:bCs/>
          <w:color w:val="000000"/>
          <w:sz w:val="22"/>
          <w:szCs w:val="22"/>
        </w:rPr>
        <w:t>βιοτεχνίας, τουρισμού, προστασίας του περιβάλλοντος και στον πρωτογενή τομέα. Βασικό πλαίσιο για την υλοποίηση των πολιτικών ενίσχυσης των ιδιωτικών επενδύσεων αποτελούν οι αναπτυξιακοί νόμοι.</w:t>
      </w:r>
    </w:p>
    <w:p w:rsidR="00BB0E16" w:rsidRPr="00BB0E16" w:rsidRDefault="00BB0E16" w:rsidP="00BB0E16">
      <w:pPr>
        <w:autoSpaceDE w:val="0"/>
        <w:autoSpaceDN w:val="0"/>
        <w:adjustRightInd w:val="0"/>
        <w:jc w:val="both"/>
        <w:rPr>
          <w:bCs/>
          <w:color w:val="000000"/>
          <w:sz w:val="22"/>
          <w:szCs w:val="22"/>
        </w:rPr>
      </w:pPr>
    </w:p>
    <w:p w:rsidR="00BB0E16" w:rsidRDefault="00BB0E16" w:rsidP="00BB0E16">
      <w:pPr>
        <w:autoSpaceDE w:val="0"/>
        <w:autoSpaceDN w:val="0"/>
        <w:adjustRightInd w:val="0"/>
        <w:jc w:val="both"/>
        <w:rPr>
          <w:bCs/>
          <w:color w:val="000000"/>
          <w:sz w:val="22"/>
          <w:szCs w:val="22"/>
        </w:rPr>
      </w:pPr>
      <w:r w:rsidRPr="00BB0E16">
        <w:rPr>
          <w:bCs/>
          <w:color w:val="000000"/>
          <w:sz w:val="22"/>
          <w:szCs w:val="22"/>
        </w:rPr>
        <w:t>Επίσης, για την ανάπτυξη και ενίσχυση των υπηρεσιών εμπορίου ενισχύονται από το ΠΔΕ δράσεις που αφορούν τον εκσυγχρονισμό χερσαίων εμπορευματικών και οδικών μεταφορών.</w:t>
      </w:r>
    </w:p>
    <w:p w:rsidR="00BB0E16" w:rsidRPr="00BB0E16" w:rsidRDefault="00BB0E16" w:rsidP="00BB0E16">
      <w:pPr>
        <w:autoSpaceDE w:val="0"/>
        <w:autoSpaceDN w:val="0"/>
        <w:adjustRightInd w:val="0"/>
        <w:jc w:val="both"/>
        <w:rPr>
          <w:bCs/>
          <w:color w:val="000000"/>
          <w:sz w:val="22"/>
          <w:szCs w:val="22"/>
        </w:rPr>
      </w:pPr>
    </w:p>
    <w:p w:rsidR="00BB0E16" w:rsidRDefault="00BB0E16" w:rsidP="00BB0E16">
      <w:pPr>
        <w:autoSpaceDE w:val="0"/>
        <w:autoSpaceDN w:val="0"/>
        <w:adjustRightInd w:val="0"/>
        <w:jc w:val="both"/>
        <w:rPr>
          <w:bCs/>
          <w:color w:val="000000"/>
          <w:sz w:val="22"/>
          <w:szCs w:val="22"/>
        </w:rPr>
      </w:pPr>
      <w:r w:rsidRPr="00BB0E16">
        <w:rPr>
          <w:bCs/>
          <w:color w:val="000000"/>
          <w:sz w:val="22"/>
          <w:szCs w:val="22"/>
        </w:rPr>
        <w:t>Επιπλέον, μέσα από την υλοποίηση του ΠΔΕ</w:t>
      </w:r>
      <w:r w:rsidR="008868AF">
        <w:rPr>
          <w:bCs/>
          <w:color w:val="000000"/>
          <w:sz w:val="22"/>
          <w:szCs w:val="22"/>
        </w:rPr>
        <w:t>,</w:t>
      </w:r>
      <w:r w:rsidRPr="00BB0E16">
        <w:rPr>
          <w:bCs/>
          <w:color w:val="000000"/>
          <w:sz w:val="22"/>
          <w:szCs w:val="22"/>
        </w:rPr>
        <w:t xml:space="preserve"> το Υπουργείο Οικονομίας και Ανάπτυξης παρεμβαίνει για να χρηματοδοτήσει δράσεις στήριξης της ανταγωνιστικότητας και της εξωστρέφειας των επιχε</w:t>
      </w:r>
      <w:r w:rsidRPr="00BB0E16">
        <w:rPr>
          <w:bCs/>
          <w:color w:val="000000"/>
          <w:sz w:val="22"/>
          <w:szCs w:val="22"/>
        </w:rPr>
        <w:t>ι</w:t>
      </w:r>
      <w:r w:rsidRPr="00BB0E16">
        <w:rPr>
          <w:bCs/>
          <w:color w:val="000000"/>
          <w:sz w:val="22"/>
          <w:szCs w:val="22"/>
        </w:rPr>
        <w:t>ρήσεων, με υλοποίηση προγραμμάτων ενίσχυσης μικρομεσαίων επιχειρήσεων που δραστηριοποιού</w:t>
      </w:r>
      <w:r w:rsidRPr="00BB0E16">
        <w:rPr>
          <w:bCs/>
          <w:color w:val="000000"/>
          <w:sz w:val="22"/>
          <w:szCs w:val="22"/>
        </w:rPr>
        <w:t>ν</w:t>
      </w:r>
      <w:r w:rsidRPr="00BB0E16">
        <w:rPr>
          <w:bCs/>
          <w:color w:val="000000"/>
          <w:sz w:val="22"/>
          <w:szCs w:val="22"/>
        </w:rPr>
        <w:t xml:space="preserve">ται στους τομείς της μεταποίησης, </w:t>
      </w:r>
      <w:r w:rsidR="00B223CC">
        <w:rPr>
          <w:bCs/>
          <w:color w:val="000000"/>
          <w:sz w:val="22"/>
          <w:szCs w:val="22"/>
        </w:rPr>
        <w:t xml:space="preserve">του </w:t>
      </w:r>
      <w:r w:rsidRPr="00BB0E16">
        <w:rPr>
          <w:bCs/>
          <w:color w:val="000000"/>
          <w:sz w:val="22"/>
          <w:szCs w:val="22"/>
        </w:rPr>
        <w:t xml:space="preserve">τουρισμού, </w:t>
      </w:r>
      <w:r w:rsidR="00B223CC">
        <w:rPr>
          <w:bCs/>
          <w:color w:val="000000"/>
          <w:sz w:val="22"/>
          <w:szCs w:val="22"/>
        </w:rPr>
        <w:t xml:space="preserve">του </w:t>
      </w:r>
      <w:r w:rsidRPr="00BB0E16">
        <w:rPr>
          <w:bCs/>
          <w:color w:val="000000"/>
          <w:sz w:val="22"/>
          <w:szCs w:val="22"/>
        </w:rPr>
        <w:t xml:space="preserve">εμπορίου και </w:t>
      </w:r>
      <w:r w:rsidR="00B223CC">
        <w:rPr>
          <w:bCs/>
          <w:color w:val="000000"/>
          <w:sz w:val="22"/>
          <w:szCs w:val="22"/>
        </w:rPr>
        <w:t xml:space="preserve">των </w:t>
      </w:r>
      <w:r w:rsidRPr="00BB0E16">
        <w:rPr>
          <w:bCs/>
          <w:color w:val="000000"/>
          <w:sz w:val="22"/>
          <w:szCs w:val="22"/>
        </w:rPr>
        <w:t>υπηρεσιών. Τέλος, το Υπ</w:t>
      </w:r>
      <w:r w:rsidRPr="00BB0E16">
        <w:rPr>
          <w:bCs/>
          <w:color w:val="000000"/>
          <w:sz w:val="22"/>
          <w:szCs w:val="22"/>
        </w:rPr>
        <w:t>ο</w:t>
      </w:r>
      <w:r w:rsidRPr="00BB0E16">
        <w:rPr>
          <w:bCs/>
          <w:color w:val="000000"/>
          <w:sz w:val="22"/>
          <w:szCs w:val="22"/>
        </w:rPr>
        <w:t>υργείο αναπτύσσει παρεμβάσεις γεν</w:t>
      </w:r>
      <w:r w:rsidR="008868AF">
        <w:rPr>
          <w:bCs/>
          <w:color w:val="000000"/>
          <w:sz w:val="22"/>
          <w:szCs w:val="22"/>
        </w:rPr>
        <w:t>ικότερου οικονομικού σχεδιασμού</w:t>
      </w:r>
      <w:r w:rsidRPr="00BB0E16">
        <w:rPr>
          <w:bCs/>
          <w:color w:val="000000"/>
          <w:sz w:val="22"/>
          <w:szCs w:val="22"/>
        </w:rPr>
        <w:t xml:space="preserve"> και δράσεις για την τεχνική υποστήριξη εφαρμογής του π</w:t>
      </w:r>
      <w:r w:rsidR="00B223CC">
        <w:rPr>
          <w:bCs/>
          <w:color w:val="000000"/>
          <w:sz w:val="22"/>
          <w:szCs w:val="22"/>
        </w:rPr>
        <w:t>ρογράμματος. Επιπλέον, α</w:t>
      </w:r>
      <w:r w:rsidRPr="00BB0E16">
        <w:rPr>
          <w:bCs/>
          <w:color w:val="000000"/>
          <w:sz w:val="22"/>
          <w:szCs w:val="22"/>
        </w:rPr>
        <w:t xml:space="preserve">πό το ΠΔΕ του Υπουργείου καλύπτονται </w:t>
      </w:r>
      <w:r w:rsidR="00B223CC">
        <w:rPr>
          <w:bCs/>
          <w:color w:val="000000"/>
          <w:sz w:val="22"/>
          <w:szCs w:val="22"/>
        </w:rPr>
        <w:t xml:space="preserve">και </w:t>
      </w:r>
      <w:r w:rsidRPr="00BB0E16">
        <w:rPr>
          <w:bCs/>
          <w:color w:val="000000"/>
          <w:sz w:val="22"/>
          <w:szCs w:val="22"/>
        </w:rPr>
        <w:t>δαπάνες στον μεταναστευτικό τομέα στο μέτρο της αρμοδιότητάς του.</w:t>
      </w:r>
    </w:p>
    <w:p w:rsidR="00BB0E16" w:rsidRPr="00BB0E16" w:rsidRDefault="00BB0E16" w:rsidP="00BB0E16">
      <w:pPr>
        <w:autoSpaceDE w:val="0"/>
        <w:autoSpaceDN w:val="0"/>
        <w:adjustRightInd w:val="0"/>
        <w:jc w:val="both"/>
        <w:rPr>
          <w:bCs/>
          <w:color w:val="000000"/>
          <w:sz w:val="22"/>
          <w:szCs w:val="22"/>
        </w:rPr>
      </w:pPr>
    </w:p>
    <w:p w:rsidR="00BB0E16" w:rsidRPr="00BB0E16" w:rsidRDefault="00BB0E16" w:rsidP="00BB0E16">
      <w:pPr>
        <w:autoSpaceDE w:val="0"/>
        <w:autoSpaceDN w:val="0"/>
        <w:adjustRightInd w:val="0"/>
        <w:jc w:val="both"/>
        <w:rPr>
          <w:bCs/>
          <w:color w:val="000000"/>
          <w:sz w:val="22"/>
          <w:szCs w:val="22"/>
        </w:rPr>
      </w:pPr>
      <w:r w:rsidRPr="00BB0E16">
        <w:rPr>
          <w:bCs/>
          <w:color w:val="000000"/>
          <w:sz w:val="22"/>
          <w:szCs w:val="22"/>
        </w:rPr>
        <w:t>Θα πρέπει να επισημανθεί ότι, μέσω του προϋπολογισμού δημοσίων επενδύσεων του Υπουργείου δι</w:t>
      </w:r>
      <w:r w:rsidRPr="00BB0E16">
        <w:rPr>
          <w:bCs/>
          <w:color w:val="000000"/>
          <w:sz w:val="22"/>
          <w:szCs w:val="22"/>
        </w:rPr>
        <w:t>α</w:t>
      </w:r>
      <w:r w:rsidRPr="00BB0E16">
        <w:rPr>
          <w:bCs/>
          <w:color w:val="000000"/>
          <w:sz w:val="22"/>
          <w:szCs w:val="22"/>
        </w:rPr>
        <w:t>τίθενται πόροι για τη χρηματοδότηση των έργων των 13 αιρετών Περιφερειών της χώρας. Για το λόγο αυτό έχουν προϋπολογισθεί το 2019 πιστώσεις ύψους 1.350 εκατ. ευρώ (1.150 εκατ. ευρώ για έργα συγχρηματοδοτούμενα από την ΕΕ και 200 εκατ. ευρώ για έργα χρηματοδοτούμενα αμιγώς από εθν</w:t>
      </w:r>
      <w:r w:rsidRPr="00BB0E16">
        <w:rPr>
          <w:bCs/>
          <w:color w:val="000000"/>
          <w:sz w:val="22"/>
          <w:szCs w:val="22"/>
        </w:rPr>
        <w:t>ι</w:t>
      </w:r>
      <w:r w:rsidRPr="00BB0E16">
        <w:rPr>
          <w:bCs/>
          <w:color w:val="000000"/>
          <w:sz w:val="22"/>
          <w:szCs w:val="22"/>
        </w:rPr>
        <w:t>κούς πόρους), ποσό το οποίο αποτελεί το 20% του συνόλου των πιστώσεων του ΠΔΕ 2019.</w:t>
      </w:r>
    </w:p>
    <w:p w:rsidR="00DA54B4" w:rsidRDefault="00DA54B4" w:rsidP="00DA54B4">
      <w:pPr>
        <w:jc w:val="both"/>
        <w:rPr>
          <w:rFonts w:ascii="Arial Narrow" w:hAnsi="Arial Narrow"/>
          <w:b/>
          <w:i/>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Υποδομών και Μεταφορών</w:t>
      </w:r>
    </w:p>
    <w:p w:rsidR="00DA54B4" w:rsidRPr="00253D8E" w:rsidRDefault="00DA54B4" w:rsidP="00DA54B4">
      <w:pPr>
        <w:autoSpaceDE w:val="0"/>
        <w:autoSpaceDN w:val="0"/>
        <w:adjustRightInd w:val="0"/>
        <w:jc w:val="both"/>
        <w:rPr>
          <w:color w:val="000000"/>
          <w:sz w:val="22"/>
          <w:szCs w:val="22"/>
        </w:rPr>
      </w:pPr>
    </w:p>
    <w:p w:rsidR="00DA54B4" w:rsidRPr="00253D8E" w:rsidRDefault="00DA54B4" w:rsidP="00DA54B4">
      <w:pPr>
        <w:autoSpaceDE w:val="0"/>
        <w:autoSpaceDN w:val="0"/>
        <w:adjustRightInd w:val="0"/>
        <w:jc w:val="both"/>
        <w:rPr>
          <w:color w:val="000000"/>
          <w:sz w:val="22"/>
          <w:szCs w:val="22"/>
        </w:rPr>
      </w:pPr>
      <w:r w:rsidRPr="00253D8E">
        <w:rPr>
          <w:color w:val="000000"/>
          <w:sz w:val="22"/>
          <w:szCs w:val="22"/>
        </w:rPr>
        <w:t xml:space="preserve">Οι πιστώσεις του </w:t>
      </w:r>
      <w:r w:rsidR="00BB0E16">
        <w:rPr>
          <w:color w:val="000000"/>
          <w:sz w:val="22"/>
          <w:szCs w:val="22"/>
        </w:rPr>
        <w:t xml:space="preserve">τακτικού </w:t>
      </w:r>
      <w:r w:rsidRPr="00253D8E">
        <w:rPr>
          <w:color w:val="000000"/>
          <w:sz w:val="22"/>
          <w:szCs w:val="22"/>
        </w:rPr>
        <w:t>προϋπολογισμού του Υπουργείου προβλέπεται να καλύψουν κυρίως δαπ</w:t>
      </w:r>
      <w:r w:rsidRPr="00253D8E">
        <w:rPr>
          <w:color w:val="000000"/>
          <w:sz w:val="22"/>
          <w:szCs w:val="22"/>
        </w:rPr>
        <w:t>ά</w:t>
      </w:r>
      <w:r w:rsidRPr="00253D8E">
        <w:rPr>
          <w:color w:val="000000"/>
          <w:sz w:val="22"/>
          <w:szCs w:val="22"/>
        </w:rPr>
        <w:t>νες για:</w:t>
      </w:r>
    </w:p>
    <w:p w:rsidR="00DA54B4" w:rsidRPr="00253D8E" w:rsidRDefault="00DA54B4" w:rsidP="00DA54B4">
      <w:pPr>
        <w:autoSpaceDE w:val="0"/>
        <w:autoSpaceDN w:val="0"/>
        <w:adjustRightInd w:val="0"/>
        <w:jc w:val="both"/>
        <w:rPr>
          <w:color w:val="000000"/>
          <w:sz w:val="22"/>
          <w:szCs w:val="22"/>
        </w:rPr>
      </w:pPr>
    </w:p>
    <w:p w:rsidR="00DA54B4" w:rsidRPr="00253D8E" w:rsidRDefault="00DA54B4" w:rsidP="006556BD">
      <w:pPr>
        <w:numPr>
          <w:ilvl w:val="0"/>
          <w:numId w:val="6"/>
        </w:numPr>
        <w:autoSpaceDE w:val="0"/>
        <w:autoSpaceDN w:val="0"/>
        <w:adjustRightInd w:val="0"/>
        <w:ind w:left="284" w:hanging="284"/>
        <w:jc w:val="both"/>
        <w:rPr>
          <w:color w:val="000000"/>
          <w:sz w:val="22"/>
          <w:szCs w:val="22"/>
        </w:rPr>
      </w:pPr>
      <w:r w:rsidRPr="00253D8E">
        <w:rPr>
          <w:color w:val="000000"/>
          <w:sz w:val="22"/>
          <w:szCs w:val="22"/>
        </w:rPr>
        <w:t>την επιχορήγηση των συγκοινωνιακών φορέων,</w:t>
      </w:r>
    </w:p>
    <w:p w:rsidR="00DA54B4" w:rsidRPr="00253D8E" w:rsidRDefault="00DA54B4" w:rsidP="006556BD">
      <w:pPr>
        <w:numPr>
          <w:ilvl w:val="0"/>
          <w:numId w:val="6"/>
        </w:numPr>
        <w:autoSpaceDE w:val="0"/>
        <w:autoSpaceDN w:val="0"/>
        <w:adjustRightInd w:val="0"/>
        <w:ind w:left="284" w:hanging="284"/>
        <w:jc w:val="both"/>
        <w:rPr>
          <w:color w:val="000000"/>
          <w:sz w:val="22"/>
          <w:szCs w:val="22"/>
        </w:rPr>
      </w:pPr>
      <w:r w:rsidRPr="00253D8E">
        <w:rPr>
          <w:color w:val="000000"/>
          <w:sz w:val="22"/>
          <w:szCs w:val="22"/>
        </w:rPr>
        <w:t>την επιδότηση της ΤΡΑΙΝΟΣΕ ΑΕ,</w:t>
      </w:r>
    </w:p>
    <w:p w:rsidR="00DA54B4" w:rsidRPr="00253D8E" w:rsidRDefault="00DA54B4" w:rsidP="006556BD">
      <w:pPr>
        <w:numPr>
          <w:ilvl w:val="0"/>
          <w:numId w:val="6"/>
        </w:numPr>
        <w:autoSpaceDE w:val="0"/>
        <w:autoSpaceDN w:val="0"/>
        <w:adjustRightInd w:val="0"/>
        <w:ind w:left="284" w:hanging="284"/>
        <w:jc w:val="both"/>
        <w:rPr>
          <w:color w:val="000000"/>
          <w:sz w:val="22"/>
          <w:szCs w:val="22"/>
        </w:rPr>
      </w:pPr>
      <w:r w:rsidRPr="00253D8E">
        <w:rPr>
          <w:color w:val="000000"/>
          <w:sz w:val="22"/>
          <w:szCs w:val="22"/>
        </w:rPr>
        <w:t>την επιχορήγηση των λοιπών φορέων εποπτείας του (Κτιριακές Υποδομές ΑΕ, Οργανισμός Αντ</w:t>
      </w:r>
      <w:r w:rsidRPr="00253D8E">
        <w:rPr>
          <w:color w:val="000000"/>
          <w:sz w:val="22"/>
          <w:szCs w:val="22"/>
        </w:rPr>
        <w:t>ι</w:t>
      </w:r>
      <w:r w:rsidRPr="00253D8E">
        <w:rPr>
          <w:color w:val="000000"/>
          <w:sz w:val="22"/>
          <w:szCs w:val="22"/>
        </w:rPr>
        <w:t>σεισμικού Σχεδιασμού και Προστασίας),</w:t>
      </w:r>
    </w:p>
    <w:p w:rsidR="00DA54B4" w:rsidRPr="00253D8E" w:rsidRDefault="00DA54B4" w:rsidP="006556BD">
      <w:pPr>
        <w:numPr>
          <w:ilvl w:val="0"/>
          <w:numId w:val="6"/>
        </w:numPr>
        <w:autoSpaceDE w:val="0"/>
        <w:autoSpaceDN w:val="0"/>
        <w:adjustRightInd w:val="0"/>
        <w:ind w:left="284" w:hanging="284"/>
        <w:jc w:val="both"/>
        <w:rPr>
          <w:b/>
          <w:color w:val="000000"/>
          <w:sz w:val="22"/>
          <w:szCs w:val="22"/>
        </w:rPr>
      </w:pPr>
      <w:r w:rsidRPr="00253D8E">
        <w:rPr>
          <w:color w:val="000000"/>
          <w:sz w:val="22"/>
          <w:szCs w:val="22"/>
        </w:rPr>
        <w:t>τη λειτουργία της Ρυθμιστικής Αρχής Σιδηροδρόμων,</w:t>
      </w:r>
    </w:p>
    <w:p w:rsidR="00DA54B4" w:rsidRPr="00BD3EA7" w:rsidRDefault="00DA54B4" w:rsidP="006556BD">
      <w:pPr>
        <w:numPr>
          <w:ilvl w:val="0"/>
          <w:numId w:val="6"/>
        </w:numPr>
        <w:autoSpaceDE w:val="0"/>
        <w:autoSpaceDN w:val="0"/>
        <w:adjustRightInd w:val="0"/>
        <w:ind w:left="284" w:hanging="284"/>
        <w:jc w:val="both"/>
        <w:rPr>
          <w:b/>
          <w:color w:val="000000"/>
          <w:sz w:val="22"/>
          <w:szCs w:val="22"/>
        </w:rPr>
      </w:pPr>
      <w:r w:rsidRPr="00BD3EA7">
        <w:rPr>
          <w:color w:val="000000"/>
          <w:sz w:val="22"/>
          <w:szCs w:val="22"/>
        </w:rPr>
        <w:t xml:space="preserve">τη λειτουργία της Επιτροπής Διερεύνησης Ατυχημάτων και Ασφάλειας Πτήσεων και </w:t>
      </w:r>
    </w:p>
    <w:p w:rsidR="00DA54B4" w:rsidRDefault="00DA54B4" w:rsidP="00BB0E16">
      <w:pPr>
        <w:numPr>
          <w:ilvl w:val="0"/>
          <w:numId w:val="6"/>
        </w:numPr>
        <w:autoSpaceDE w:val="0"/>
        <w:autoSpaceDN w:val="0"/>
        <w:adjustRightInd w:val="0"/>
        <w:ind w:left="284" w:hanging="284"/>
        <w:jc w:val="both"/>
        <w:rPr>
          <w:b/>
          <w:color w:val="000000"/>
          <w:sz w:val="22"/>
          <w:szCs w:val="22"/>
        </w:rPr>
      </w:pPr>
      <w:r w:rsidRPr="00253D8E">
        <w:rPr>
          <w:color w:val="000000"/>
          <w:sz w:val="22"/>
          <w:szCs w:val="22"/>
        </w:rPr>
        <w:t>τον εξοπλισμό, εκτέλεση εργασιών, κατασκευή έργων, συντήρηση, βελτίωση και επέκταση των εγκαταστάσεων των αερολιμένων.</w:t>
      </w:r>
    </w:p>
    <w:p w:rsidR="00BB0E16" w:rsidRDefault="00BB0E16" w:rsidP="00BB0E16">
      <w:pPr>
        <w:autoSpaceDE w:val="0"/>
        <w:autoSpaceDN w:val="0"/>
        <w:adjustRightInd w:val="0"/>
        <w:jc w:val="both"/>
        <w:rPr>
          <w:b/>
          <w:color w:val="000000"/>
          <w:sz w:val="22"/>
          <w:szCs w:val="22"/>
        </w:rPr>
      </w:pPr>
    </w:p>
    <w:p w:rsidR="00BB0E16" w:rsidRPr="00571AF0" w:rsidRDefault="00BB0E16" w:rsidP="00BB0E16">
      <w:pPr>
        <w:contextualSpacing/>
        <w:jc w:val="both"/>
        <w:rPr>
          <w:bCs/>
          <w:sz w:val="22"/>
          <w:szCs w:val="22"/>
        </w:rPr>
      </w:pPr>
      <w:r w:rsidRPr="00571AF0">
        <w:rPr>
          <w:bCs/>
          <w:sz w:val="22"/>
          <w:szCs w:val="22"/>
        </w:rPr>
        <w:t>Το πρόγραμμα δημοσίων επενδύσεων του Υπουργείου περιλαμβάνει δράσεις που αφορούν στην κ</w:t>
      </w:r>
      <w:r w:rsidRPr="00571AF0">
        <w:rPr>
          <w:bCs/>
          <w:sz w:val="22"/>
          <w:szCs w:val="22"/>
        </w:rPr>
        <w:t>α</w:t>
      </w:r>
      <w:r w:rsidRPr="00571AF0">
        <w:rPr>
          <w:bCs/>
          <w:sz w:val="22"/>
          <w:szCs w:val="22"/>
        </w:rPr>
        <w:t>τασκευή των εθνικών οδικών αξ</w:t>
      </w:r>
      <w:r>
        <w:rPr>
          <w:bCs/>
          <w:sz w:val="22"/>
          <w:szCs w:val="22"/>
        </w:rPr>
        <w:t>όνων, στην κατασκευή των έργων μ</w:t>
      </w:r>
      <w:r w:rsidRPr="00571AF0">
        <w:rPr>
          <w:bCs/>
          <w:sz w:val="22"/>
          <w:szCs w:val="22"/>
        </w:rPr>
        <w:t>ετρό, στην κατασκευή νέου σιδ</w:t>
      </w:r>
      <w:r w:rsidRPr="00571AF0">
        <w:rPr>
          <w:bCs/>
          <w:sz w:val="22"/>
          <w:szCs w:val="22"/>
        </w:rPr>
        <w:t>η</w:t>
      </w:r>
      <w:r w:rsidRPr="00571AF0">
        <w:rPr>
          <w:bCs/>
          <w:sz w:val="22"/>
          <w:szCs w:val="22"/>
        </w:rPr>
        <w:t>ροδρομικού δικτύου και στην επέκταση/βελτίωση του ήδη υπάρχοντος, στην κατασκευή της επέκτ</w:t>
      </w:r>
      <w:r w:rsidRPr="00571AF0">
        <w:rPr>
          <w:bCs/>
          <w:sz w:val="22"/>
          <w:szCs w:val="22"/>
        </w:rPr>
        <w:t>α</w:t>
      </w:r>
      <w:r>
        <w:rPr>
          <w:bCs/>
          <w:sz w:val="22"/>
          <w:szCs w:val="22"/>
        </w:rPr>
        <w:t>σης του προαστιακού σ</w:t>
      </w:r>
      <w:r w:rsidRPr="00571AF0">
        <w:rPr>
          <w:bCs/>
          <w:sz w:val="22"/>
          <w:szCs w:val="22"/>
        </w:rPr>
        <w:t>ιδηροδρόμου Αθηνών, στα λιμενικά έργα και στα έργα για τα αεροδρόμια, στα εγγειοβελτιωτικά έργα, καθώς και στα έργα του συνολικού εθνικού και επαρχιακού οδικού δικτύου της χώρας. Επίσης, περιλαμβάνονται έργα κτιριακών υποδομών που συμβάλλουν σημαντικά στη βε</w:t>
      </w:r>
      <w:r w:rsidRPr="00571AF0">
        <w:rPr>
          <w:bCs/>
          <w:sz w:val="22"/>
          <w:szCs w:val="22"/>
        </w:rPr>
        <w:t>λ</w:t>
      </w:r>
      <w:r w:rsidRPr="00571AF0">
        <w:rPr>
          <w:bCs/>
          <w:sz w:val="22"/>
          <w:szCs w:val="22"/>
        </w:rPr>
        <w:t>τίωση των τομέων της υγείας, παιδείας και δικαιοσύνης (νοσοκομεία, σχολεία, δικαστικά μέγαρα, φ</w:t>
      </w:r>
      <w:r w:rsidRPr="00571AF0">
        <w:rPr>
          <w:bCs/>
          <w:sz w:val="22"/>
          <w:szCs w:val="22"/>
        </w:rPr>
        <w:t>υ</w:t>
      </w:r>
      <w:r w:rsidRPr="00571AF0">
        <w:rPr>
          <w:bCs/>
          <w:sz w:val="22"/>
          <w:szCs w:val="22"/>
        </w:rPr>
        <w:t>λακές), καθώς και έργα για τη βελτίωση των υποδομών ύδρευσης και αποχέτευσης.</w:t>
      </w:r>
    </w:p>
    <w:p w:rsidR="00BB0E16" w:rsidRPr="00BB0E16" w:rsidRDefault="00BB0E16" w:rsidP="00BB0E16">
      <w:pPr>
        <w:autoSpaceDE w:val="0"/>
        <w:autoSpaceDN w:val="0"/>
        <w:adjustRightInd w:val="0"/>
        <w:jc w:val="both"/>
        <w:rPr>
          <w:b/>
          <w:color w:val="000000"/>
          <w:sz w:val="22"/>
          <w:szCs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Ναυτιλίας και Νησιωτικής Πολιτικής</w:t>
      </w:r>
    </w:p>
    <w:p w:rsidR="00DA54B4" w:rsidRPr="00253D8E" w:rsidRDefault="00DA54B4" w:rsidP="00DA54B4">
      <w:pPr>
        <w:autoSpaceDE w:val="0"/>
        <w:autoSpaceDN w:val="0"/>
        <w:adjustRightInd w:val="0"/>
        <w:jc w:val="both"/>
        <w:rPr>
          <w:b/>
          <w:color w:val="000000"/>
          <w:szCs w:val="22"/>
        </w:rPr>
      </w:pPr>
    </w:p>
    <w:p w:rsidR="00DA54B4" w:rsidRPr="00253D8E" w:rsidRDefault="00DA54B4" w:rsidP="00DA54B4">
      <w:pPr>
        <w:autoSpaceDE w:val="0"/>
        <w:autoSpaceDN w:val="0"/>
        <w:adjustRightInd w:val="0"/>
        <w:jc w:val="both"/>
        <w:rPr>
          <w:color w:val="000000"/>
          <w:sz w:val="22"/>
          <w:szCs w:val="22"/>
        </w:rPr>
      </w:pPr>
      <w:r w:rsidRPr="00253D8E">
        <w:rPr>
          <w:color w:val="000000"/>
          <w:sz w:val="22"/>
          <w:szCs w:val="22"/>
        </w:rPr>
        <w:t>Οι πιστώσεις του προϋπολογισμού του Υπουργείου Ναυτιλίας και Νησιωτικής Πολιτικής θα καλύψ</w:t>
      </w:r>
      <w:r w:rsidRPr="00253D8E">
        <w:rPr>
          <w:color w:val="000000"/>
          <w:sz w:val="22"/>
          <w:szCs w:val="22"/>
        </w:rPr>
        <w:t>ο</w:t>
      </w:r>
      <w:r w:rsidRPr="00253D8E">
        <w:rPr>
          <w:color w:val="000000"/>
          <w:sz w:val="22"/>
          <w:szCs w:val="22"/>
        </w:rPr>
        <w:t>υν κυρίως δαπάνες για:</w:t>
      </w:r>
    </w:p>
    <w:p w:rsidR="00DA54B4" w:rsidRPr="00253D8E" w:rsidRDefault="00DA54B4" w:rsidP="00DA54B4">
      <w:pPr>
        <w:autoSpaceDE w:val="0"/>
        <w:autoSpaceDN w:val="0"/>
        <w:adjustRightInd w:val="0"/>
        <w:jc w:val="both"/>
        <w:rPr>
          <w:color w:val="000000"/>
          <w:sz w:val="22"/>
          <w:szCs w:val="22"/>
        </w:rPr>
      </w:pPr>
    </w:p>
    <w:p w:rsidR="00DA54B4" w:rsidRPr="00253D8E" w:rsidRDefault="00DA54B4" w:rsidP="006556BD">
      <w:pPr>
        <w:numPr>
          <w:ilvl w:val="0"/>
          <w:numId w:val="2"/>
        </w:numPr>
        <w:tabs>
          <w:tab w:val="num" w:pos="426"/>
        </w:tabs>
        <w:autoSpaceDE w:val="0"/>
        <w:autoSpaceDN w:val="0"/>
        <w:adjustRightInd w:val="0"/>
        <w:ind w:left="284" w:hanging="284"/>
        <w:jc w:val="both"/>
        <w:rPr>
          <w:color w:val="000000"/>
          <w:sz w:val="22"/>
          <w:szCs w:val="22"/>
        </w:rPr>
      </w:pPr>
      <w:r w:rsidRPr="00253D8E">
        <w:rPr>
          <w:color w:val="000000"/>
          <w:sz w:val="22"/>
          <w:szCs w:val="22"/>
        </w:rPr>
        <w:t>την επιδότηση των άγονων γραμμών για την απρόσκοπτη μετακίνηση του επιβατικού κοινού στη νησιωτική επικράτεια,</w:t>
      </w: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color w:val="000000"/>
          <w:sz w:val="22"/>
          <w:szCs w:val="22"/>
        </w:rPr>
        <w:lastRenderedPageBreak/>
        <w:t xml:space="preserve">τη φύλαξη των θαλασσίων οδών εισόδου στη χώρα και </w:t>
      </w:r>
      <w:r w:rsidRPr="00253D8E">
        <w:rPr>
          <w:sz w:val="22"/>
          <w:szCs w:val="22"/>
        </w:rPr>
        <w:t>την κάλυψη των αναγκών που σχετίζονται με τις μεταναστευτικές και προσφυγικές ροές,</w:t>
      </w:r>
    </w:p>
    <w:p w:rsidR="00DA54B4" w:rsidRPr="00253D8E" w:rsidRDefault="00DA54B4" w:rsidP="006556BD">
      <w:pPr>
        <w:numPr>
          <w:ilvl w:val="0"/>
          <w:numId w:val="2"/>
        </w:numPr>
        <w:tabs>
          <w:tab w:val="num" w:pos="426"/>
        </w:tabs>
        <w:autoSpaceDE w:val="0"/>
        <w:autoSpaceDN w:val="0"/>
        <w:adjustRightInd w:val="0"/>
        <w:ind w:left="284" w:hanging="284"/>
        <w:jc w:val="both"/>
        <w:rPr>
          <w:color w:val="000000"/>
          <w:sz w:val="22"/>
          <w:szCs w:val="22"/>
        </w:rPr>
      </w:pPr>
      <w:r w:rsidRPr="00253D8E">
        <w:rPr>
          <w:color w:val="000000"/>
          <w:sz w:val="22"/>
          <w:szCs w:val="22"/>
        </w:rPr>
        <w:t xml:space="preserve">τις δράσεις που συνδέονται με τη βελτίωση της ανταγωνιστικότητας στον τομέα της ναυτιλίας, </w:t>
      </w:r>
    </w:p>
    <w:p w:rsidR="00DA54B4" w:rsidRPr="00253D8E" w:rsidRDefault="00DA54B4" w:rsidP="006556BD">
      <w:pPr>
        <w:numPr>
          <w:ilvl w:val="0"/>
          <w:numId w:val="2"/>
        </w:numPr>
        <w:tabs>
          <w:tab w:val="num" w:pos="426"/>
        </w:tabs>
        <w:autoSpaceDE w:val="0"/>
        <w:autoSpaceDN w:val="0"/>
        <w:adjustRightInd w:val="0"/>
        <w:ind w:left="284" w:hanging="284"/>
        <w:jc w:val="both"/>
        <w:rPr>
          <w:color w:val="000000"/>
          <w:sz w:val="22"/>
          <w:szCs w:val="22"/>
        </w:rPr>
      </w:pPr>
      <w:r w:rsidRPr="00253D8E">
        <w:rPr>
          <w:color w:val="000000"/>
          <w:sz w:val="22"/>
          <w:szCs w:val="22"/>
        </w:rPr>
        <w:t>την τριτοβάθμια εκπαίδευση των στελεχών του Λιμενικού Σώματος - Ελληνικής Ακτοφυλακής και τη ναυτική εκπαίδευση,</w:t>
      </w: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τη</w:t>
      </w:r>
      <w:r w:rsidR="0068124D">
        <w:rPr>
          <w:sz w:val="22"/>
          <w:szCs w:val="22"/>
        </w:rPr>
        <w:t xml:space="preserve"> </w:t>
      </w:r>
      <w:r w:rsidRPr="00253D8E">
        <w:rPr>
          <w:sz w:val="22"/>
          <w:szCs w:val="22"/>
        </w:rPr>
        <w:t>χορήγηση στεγαστικού επιδόματος σε σπουδαστές των Ακαδημιών Εμπορικού Ναυτικού που σπουδάζουν μακριά από τον τόπο κατοικίας τους,</w:t>
      </w: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 xml:space="preserve">την ασφάλεια της ναυσιπλοΐας και την ασφάλεια της ανθρώπινης ζωής στη θάλασσα, </w:t>
      </w:r>
    </w:p>
    <w:p w:rsidR="00DA54B4" w:rsidRPr="00253D8E" w:rsidRDefault="00DA54B4" w:rsidP="006556BD">
      <w:pPr>
        <w:numPr>
          <w:ilvl w:val="0"/>
          <w:numId w:val="2"/>
        </w:numPr>
        <w:tabs>
          <w:tab w:val="num" w:pos="426"/>
        </w:tabs>
        <w:autoSpaceDE w:val="0"/>
        <w:autoSpaceDN w:val="0"/>
        <w:adjustRightInd w:val="0"/>
        <w:ind w:left="284" w:hanging="284"/>
        <w:jc w:val="both"/>
        <w:rPr>
          <w:color w:val="000000"/>
          <w:sz w:val="22"/>
          <w:szCs w:val="22"/>
        </w:rPr>
      </w:pPr>
      <w:r w:rsidRPr="00253D8E">
        <w:rPr>
          <w:color w:val="000000"/>
          <w:sz w:val="22"/>
          <w:szCs w:val="22"/>
        </w:rPr>
        <w:t>τις δράσεις που συνδέονται με τον πολιτισμό, τον αθλητισμό, την προστασία της εθνικής κληρον</w:t>
      </w:r>
      <w:r w:rsidRPr="00253D8E">
        <w:rPr>
          <w:color w:val="000000"/>
          <w:sz w:val="22"/>
          <w:szCs w:val="22"/>
        </w:rPr>
        <w:t>ο</w:t>
      </w:r>
      <w:r w:rsidRPr="00253D8E">
        <w:rPr>
          <w:color w:val="000000"/>
          <w:sz w:val="22"/>
          <w:szCs w:val="22"/>
        </w:rPr>
        <w:t xml:space="preserve">μιάς και της αρχιτεκτονικής των </w:t>
      </w:r>
      <w:r w:rsidR="00881742">
        <w:rPr>
          <w:color w:val="000000"/>
          <w:sz w:val="22"/>
          <w:szCs w:val="22"/>
        </w:rPr>
        <w:t xml:space="preserve">νησιωτικών περιοχών του Αιγαίου </w:t>
      </w:r>
      <w:r w:rsidR="00881742" w:rsidRPr="00253D8E">
        <w:rPr>
          <w:sz w:val="22"/>
          <w:szCs w:val="22"/>
        </w:rPr>
        <w:t>και</w:t>
      </w:r>
    </w:p>
    <w:p w:rsidR="00DA54B4" w:rsidRDefault="00DA54B4" w:rsidP="006556BD">
      <w:pPr>
        <w:numPr>
          <w:ilvl w:val="0"/>
          <w:numId w:val="2"/>
        </w:numPr>
        <w:tabs>
          <w:tab w:val="num" w:pos="426"/>
        </w:tabs>
        <w:autoSpaceDE w:val="0"/>
        <w:autoSpaceDN w:val="0"/>
        <w:adjustRightInd w:val="0"/>
        <w:ind w:left="284" w:hanging="284"/>
        <w:jc w:val="both"/>
        <w:rPr>
          <w:color w:val="000000"/>
          <w:sz w:val="22"/>
          <w:szCs w:val="22"/>
        </w:rPr>
      </w:pPr>
      <w:r w:rsidRPr="00253D8E">
        <w:rPr>
          <w:color w:val="000000"/>
          <w:sz w:val="22"/>
          <w:szCs w:val="22"/>
        </w:rPr>
        <w:t xml:space="preserve">την απόδοση εσόδων στη </w:t>
      </w:r>
      <w:r w:rsidRPr="00BD3EA7">
        <w:rPr>
          <w:color w:val="000000"/>
          <w:sz w:val="22"/>
          <w:szCs w:val="22"/>
        </w:rPr>
        <w:t>Δημόσια</w:t>
      </w:r>
      <w:r w:rsidRPr="00253D8E">
        <w:rPr>
          <w:color w:val="000000"/>
          <w:sz w:val="22"/>
          <w:szCs w:val="22"/>
        </w:rPr>
        <w:t xml:space="preserve"> Αρχή Λιμένων.</w:t>
      </w:r>
    </w:p>
    <w:p w:rsidR="00DF2C9F" w:rsidRDefault="00DF2C9F" w:rsidP="00DF2C9F">
      <w:pPr>
        <w:autoSpaceDE w:val="0"/>
        <w:autoSpaceDN w:val="0"/>
        <w:adjustRightInd w:val="0"/>
        <w:jc w:val="both"/>
        <w:rPr>
          <w:color w:val="000000"/>
          <w:sz w:val="22"/>
          <w:szCs w:val="22"/>
        </w:rPr>
      </w:pPr>
    </w:p>
    <w:p w:rsidR="00DF2C9F" w:rsidRPr="00DF2C9F" w:rsidRDefault="00DF2C9F" w:rsidP="00DF2C9F">
      <w:pPr>
        <w:autoSpaceDE w:val="0"/>
        <w:autoSpaceDN w:val="0"/>
        <w:adjustRightInd w:val="0"/>
        <w:jc w:val="both"/>
        <w:rPr>
          <w:bCs/>
          <w:color w:val="000000"/>
          <w:sz w:val="22"/>
          <w:szCs w:val="22"/>
        </w:rPr>
      </w:pPr>
      <w:r w:rsidRPr="00DF2C9F">
        <w:rPr>
          <w:bCs/>
          <w:color w:val="000000"/>
          <w:sz w:val="22"/>
          <w:szCs w:val="22"/>
        </w:rPr>
        <w:t xml:space="preserve">Το πρόγραμμα δημοσίων επενδύσεων </w:t>
      </w:r>
      <w:r w:rsidR="00E66654">
        <w:rPr>
          <w:bCs/>
          <w:color w:val="000000"/>
          <w:sz w:val="22"/>
          <w:szCs w:val="22"/>
        </w:rPr>
        <w:t xml:space="preserve">χρηματοδοτεί </w:t>
      </w:r>
      <w:r w:rsidRPr="00DF2C9F">
        <w:rPr>
          <w:bCs/>
          <w:color w:val="000000"/>
          <w:sz w:val="22"/>
          <w:szCs w:val="22"/>
        </w:rPr>
        <w:t>δράσε</w:t>
      </w:r>
      <w:r w:rsidR="00E66654">
        <w:rPr>
          <w:bCs/>
          <w:color w:val="000000"/>
          <w:sz w:val="22"/>
          <w:szCs w:val="22"/>
        </w:rPr>
        <w:t>ις</w:t>
      </w:r>
      <w:r w:rsidRPr="00DF2C9F">
        <w:rPr>
          <w:bCs/>
          <w:color w:val="000000"/>
          <w:sz w:val="22"/>
          <w:szCs w:val="22"/>
        </w:rPr>
        <w:t xml:space="preserve"> του Υπουργείου </w:t>
      </w:r>
      <w:r w:rsidR="00E66654">
        <w:rPr>
          <w:bCs/>
          <w:color w:val="000000"/>
          <w:sz w:val="22"/>
          <w:szCs w:val="22"/>
        </w:rPr>
        <w:t xml:space="preserve">με αντικείμενο την </w:t>
      </w:r>
      <w:r w:rsidR="00E66654">
        <w:rPr>
          <w:bCs/>
          <w:color w:val="000000"/>
          <w:sz w:val="22"/>
          <w:szCs w:val="22"/>
        </w:rPr>
        <w:t>α</w:t>
      </w:r>
      <w:r w:rsidR="00E66654">
        <w:rPr>
          <w:bCs/>
          <w:color w:val="000000"/>
          <w:sz w:val="22"/>
          <w:szCs w:val="22"/>
        </w:rPr>
        <w:t>νάπτυξη των νησιωτικών περιοχών και την κάλυψη των τοπικών κοινωνικών αναγκών, καθώς και δράσεις στον μεταναστευτικό τομέα, στο πλαίσιο της αρμοδιότητάς του.</w:t>
      </w:r>
    </w:p>
    <w:p w:rsidR="00DA54B4" w:rsidRDefault="00DA54B4" w:rsidP="00DA54B4">
      <w:pPr>
        <w:autoSpaceDE w:val="0"/>
        <w:autoSpaceDN w:val="0"/>
        <w:adjustRightInd w:val="0"/>
        <w:jc w:val="both"/>
        <w:rPr>
          <w:rFonts w:ascii="Arial Narrow" w:hAnsi="Arial Narrow"/>
          <w:b/>
          <w:i/>
          <w:sz w:val="22"/>
        </w:rPr>
      </w:pPr>
    </w:p>
    <w:p w:rsidR="00DA54B4" w:rsidRPr="00253D8E" w:rsidRDefault="00DA54B4" w:rsidP="00DA54B4">
      <w:pPr>
        <w:jc w:val="both"/>
        <w:rPr>
          <w:rFonts w:ascii="Arial Narrow" w:hAnsi="Arial Narrow"/>
          <w:b/>
          <w:i/>
          <w:sz w:val="22"/>
          <w:szCs w:val="22"/>
        </w:rPr>
      </w:pPr>
      <w:r w:rsidRPr="00253D8E">
        <w:rPr>
          <w:rFonts w:ascii="Arial Narrow" w:hAnsi="Arial Narrow"/>
          <w:b/>
          <w:i/>
          <w:sz w:val="22"/>
          <w:szCs w:val="22"/>
        </w:rPr>
        <w:t>Υπουργείο Προστασίας του Πολίτη</w:t>
      </w:r>
    </w:p>
    <w:p w:rsidR="00DA54B4" w:rsidRPr="00253D8E" w:rsidRDefault="00DA54B4" w:rsidP="00DA54B4">
      <w:pPr>
        <w:jc w:val="both"/>
        <w:rPr>
          <w:sz w:val="22"/>
          <w:szCs w:val="22"/>
        </w:rPr>
      </w:pPr>
    </w:p>
    <w:p w:rsidR="00DA54B4" w:rsidRPr="00253D8E" w:rsidRDefault="00DA54B4" w:rsidP="00DA54B4">
      <w:pPr>
        <w:jc w:val="both"/>
        <w:rPr>
          <w:sz w:val="22"/>
          <w:szCs w:val="22"/>
        </w:rPr>
      </w:pPr>
      <w:r w:rsidRPr="00253D8E">
        <w:rPr>
          <w:sz w:val="22"/>
          <w:szCs w:val="22"/>
        </w:rPr>
        <w:t>Έχουν προβλεφθεί πιστώσεις που θα καλύψουν δαπάνες για:</w:t>
      </w:r>
    </w:p>
    <w:p w:rsidR="00DA54B4" w:rsidRPr="00253D8E" w:rsidRDefault="00DA54B4" w:rsidP="00DA54B4">
      <w:pPr>
        <w:jc w:val="both"/>
        <w:rPr>
          <w:sz w:val="22"/>
          <w:szCs w:val="22"/>
        </w:rPr>
      </w:pPr>
      <w:r w:rsidRPr="00253D8E">
        <w:rPr>
          <w:sz w:val="22"/>
          <w:szCs w:val="22"/>
        </w:rPr>
        <w:t xml:space="preserve"> </w:t>
      </w:r>
    </w:p>
    <w:p w:rsidR="00DA54B4" w:rsidRPr="00253D8E" w:rsidRDefault="00DA54B4" w:rsidP="006556BD">
      <w:pPr>
        <w:numPr>
          <w:ilvl w:val="0"/>
          <w:numId w:val="5"/>
        </w:numPr>
        <w:ind w:left="284" w:hanging="284"/>
        <w:jc w:val="both"/>
        <w:rPr>
          <w:sz w:val="22"/>
          <w:szCs w:val="22"/>
        </w:rPr>
      </w:pPr>
      <w:r w:rsidRPr="00253D8E">
        <w:rPr>
          <w:sz w:val="22"/>
          <w:szCs w:val="22"/>
        </w:rPr>
        <w:t>τη λειτουργία των αστυνομικών επιχειρησιακών μονάδων, την αστυνόμευση και προστασία των πολιτών, την προμήθεια σύγχρονων και αποτελεσματικών μέσων προστασίας του προσωπικού, τη συντήρηση, προμήθεια ανταλλακτικών και τεχνική υποστήριξη των υπηρεσιακών οχημάτων και εξοπλισμού,</w:t>
      </w:r>
    </w:p>
    <w:p w:rsidR="00DA54B4" w:rsidRPr="00253D8E" w:rsidRDefault="00DA54B4" w:rsidP="006556BD">
      <w:pPr>
        <w:numPr>
          <w:ilvl w:val="0"/>
          <w:numId w:val="5"/>
        </w:numPr>
        <w:ind w:left="284" w:hanging="284"/>
        <w:jc w:val="both"/>
        <w:rPr>
          <w:sz w:val="22"/>
          <w:szCs w:val="22"/>
        </w:rPr>
      </w:pPr>
      <w:r w:rsidRPr="00253D8E">
        <w:rPr>
          <w:sz w:val="22"/>
          <w:szCs w:val="22"/>
        </w:rPr>
        <w:t xml:space="preserve">την προστασία των δασών από πυρκαγιές με τη χρήση επίγειων μονάδων και εναερίων μέσων του Πυροσβεστικού Σώματος, </w:t>
      </w:r>
    </w:p>
    <w:p w:rsidR="00DA54B4" w:rsidRPr="00253D8E" w:rsidRDefault="00DA54B4" w:rsidP="006556BD">
      <w:pPr>
        <w:numPr>
          <w:ilvl w:val="0"/>
          <w:numId w:val="5"/>
        </w:numPr>
        <w:ind w:left="284" w:hanging="284"/>
        <w:jc w:val="both"/>
        <w:rPr>
          <w:sz w:val="22"/>
          <w:szCs w:val="22"/>
        </w:rPr>
      </w:pPr>
      <w:r w:rsidRPr="00253D8E">
        <w:rPr>
          <w:sz w:val="22"/>
          <w:szCs w:val="22"/>
        </w:rPr>
        <w:t>τη σίτιση, περίθαλψη και διαμονή των αλλοδαπών στα προαναχωρησιακά κέντρα, σε εναρμόνιση με τις διεθνώς επικρατούσες συνθήκες,</w:t>
      </w:r>
    </w:p>
    <w:p w:rsidR="00DA54B4" w:rsidRDefault="00DA54B4" w:rsidP="006556BD">
      <w:pPr>
        <w:numPr>
          <w:ilvl w:val="0"/>
          <w:numId w:val="5"/>
        </w:numPr>
        <w:ind w:left="284" w:hanging="284"/>
        <w:jc w:val="both"/>
        <w:rPr>
          <w:sz w:val="22"/>
          <w:szCs w:val="22"/>
        </w:rPr>
      </w:pPr>
      <w:r w:rsidRPr="00253D8E">
        <w:rPr>
          <w:sz w:val="22"/>
          <w:szCs w:val="22"/>
        </w:rPr>
        <w:t>την αντιμετώπιση δαπανών πολιτικής προστασίας.</w:t>
      </w:r>
    </w:p>
    <w:p w:rsidR="00DF2C9F" w:rsidRDefault="00DF2C9F" w:rsidP="00DF2C9F">
      <w:pPr>
        <w:jc w:val="both"/>
        <w:rPr>
          <w:sz w:val="22"/>
          <w:szCs w:val="22"/>
        </w:rPr>
      </w:pPr>
    </w:p>
    <w:p w:rsidR="00DF2C9F" w:rsidRPr="00DF2C9F" w:rsidRDefault="00DF2C9F" w:rsidP="00DF2C9F">
      <w:pPr>
        <w:jc w:val="both"/>
        <w:rPr>
          <w:bCs/>
          <w:sz w:val="22"/>
          <w:szCs w:val="22"/>
        </w:rPr>
      </w:pPr>
      <w:r w:rsidRPr="00DF2C9F">
        <w:rPr>
          <w:bCs/>
          <w:sz w:val="22"/>
          <w:szCs w:val="22"/>
        </w:rPr>
        <w:t xml:space="preserve">Το πρόγραμμα δημοσίων επενδύσεων παρέχει σημαντική χρηματοδότηση δράσεων του Υπουργείου στον μεταναστευτικό τομέα, στο </w:t>
      </w:r>
      <w:r w:rsidR="00E66654">
        <w:rPr>
          <w:bCs/>
          <w:sz w:val="22"/>
          <w:szCs w:val="22"/>
        </w:rPr>
        <w:t>πλαίσιο</w:t>
      </w:r>
      <w:r w:rsidRPr="00DF2C9F">
        <w:rPr>
          <w:bCs/>
          <w:sz w:val="22"/>
          <w:szCs w:val="22"/>
        </w:rPr>
        <w:t xml:space="preserve"> της αρμοδιότητάς του.</w:t>
      </w:r>
    </w:p>
    <w:p w:rsidR="00DA54B4" w:rsidRDefault="00DA54B4" w:rsidP="00DA54B4">
      <w:pPr>
        <w:autoSpaceDE w:val="0"/>
        <w:autoSpaceDN w:val="0"/>
        <w:adjustRightInd w:val="0"/>
        <w:jc w:val="both"/>
        <w:rPr>
          <w:rFonts w:ascii="Arial Narrow" w:hAnsi="Arial Narrow"/>
          <w:b/>
          <w:i/>
          <w:sz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Τουρισμού</w:t>
      </w:r>
    </w:p>
    <w:p w:rsidR="00DA54B4" w:rsidRPr="00253D8E" w:rsidRDefault="00DA54B4" w:rsidP="00DA54B4">
      <w:pPr>
        <w:autoSpaceDE w:val="0"/>
        <w:autoSpaceDN w:val="0"/>
        <w:adjustRightInd w:val="0"/>
        <w:jc w:val="both"/>
        <w:rPr>
          <w:b/>
          <w:bCs/>
          <w:i/>
          <w:iCs/>
          <w:color w:val="000000"/>
          <w:sz w:val="22"/>
          <w:szCs w:val="22"/>
        </w:rPr>
      </w:pPr>
    </w:p>
    <w:p w:rsidR="00DA54B4" w:rsidRPr="00253D8E" w:rsidRDefault="00DA54B4" w:rsidP="00DA54B4">
      <w:pPr>
        <w:autoSpaceDE w:val="0"/>
        <w:autoSpaceDN w:val="0"/>
        <w:adjustRightInd w:val="0"/>
        <w:jc w:val="both"/>
        <w:rPr>
          <w:color w:val="000000"/>
          <w:sz w:val="22"/>
          <w:szCs w:val="22"/>
        </w:rPr>
      </w:pPr>
      <w:r w:rsidRPr="00253D8E">
        <w:rPr>
          <w:color w:val="000000"/>
          <w:sz w:val="22"/>
          <w:szCs w:val="22"/>
        </w:rPr>
        <w:t>Οι πιστώσεις για τον τουρισμό θα καλύψουν κυρίως δαπάνες για:</w:t>
      </w:r>
    </w:p>
    <w:p w:rsidR="00DA54B4" w:rsidRPr="00253D8E" w:rsidRDefault="00DA54B4" w:rsidP="00DA54B4">
      <w:pPr>
        <w:autoSpaceDE w:val="0"/>
        <w:autoSpaceDN w:val="0"/>
        <w:adjustRightInd w:val="0"/>
        <w:jc w:val="both"/>
        <w:rPr>
          <w:color w:val="000000"/>
          <w:sz w:val="22"/>
          <w:szCs w:val="22"/>
        </w:rPr>
      </w:pPr>
    </w:p>
    <w:p w:rsidR="00DA54B4" w:rsidRPr="00253D8E" w:rsidRDefault="00DA54B4" w:rsidP="006556BD">
      <w:pPr>
        <w:numPr>
          <w:ilvl w:val="0"/>
          <w:numId w:val="2"/>
        </w:numPr>
        <w:tabs>
          <w:tab w:val="num" w:pos="284"/>
        </w:tabs>
        <w:autoSpaceDE w:val="0"/>
        <w:autoSpaceDN w:val="0"/>
        <w:adjustRightInd w:val="0"/>
        <w:ind w:left="284" w:hanging="284"/>
        <w:jc w:val="both"/>
        <w:rPr>
          <w:color w:val="000000"/>
          <w:sz w:val="22"/>
          <w:szCs w:val="22"/>
        </w:rPr>
      </w:pPr>
      <w:r w:rsidRPr="00253D8E">
        <w:rPr>
          <w:color w:val="000000"/>
          <w:sz w:val="22"/>
          <w:szCs w:val="22"/>
        </w:rPr>
        <w:t>την προβολή της χώρας στο εξωτερικό ως σημαντικού</w:t>
      </w:r>
      <w:r w:rsidR="0068124D">
        <w:rPr>
          <w:color w:val="000000"/>
          <w:sz w:val="22"/>
          <w:szCs w:val="22"/>
        </w:rPr>
        <w:t xml:space="preserve"> </w:t>
      </w:r>
      <w:r w:rsidRPr="00253D8E">
        <w:rPr>
          <w:color w:val="000000"/>
          <w:sz w:val="22"/>
          <w:szCs w:val="22"/>
        </w:rPr>
        <w:t>και ελκυστικού τουριστικού προορισμού,</w:t>
      </w:r>
    </w:p>
    <w:p w:rsidR="00DA54B4" w:rsidRPr="00253D8E" w:rsidRDefault="00DA54B4" w:rsidP="006556BD">
      <w:pPr>
        <w:numPr>
          <w:ilvl w:val="0"/>
          <w:numId w:val="2"/>
        </w:numPr>
        <w:tabs>
          <w:tab w:val="num" w:pos="284"/>
        </w:tabs>
        <w:autoSpaceDE w:val="0"/>
        <w:autoSpaceDN w:val="0"/>
        <w:adjustRightInd w:val="0"/>
        <w:ind w:left="284" w:hanging="284"/>
        <w:jc w:val="both"/>
        <w:rPr>
          <w:sz w:val="22"/>
          <w:szCs w:val="22"/>
        </w:rPr>
      </w:pPr>
      <w:r w:rsidRPr="00253D8E">
        <w:rPr>
          <w:sz w:val="22"/>
          <w:szCs w:val="22"/>
        </w:rPr>
        <w:t xml:space="preserve">την τουριστική εκπαίδευση και κατάρτιση, </w:t>
      </w:r>
    </w:p>
    <w:p w:rsidR="00DA54B4" w:rsidRPr="00253D8E" w:rsidRDefault="00DA54B4" w:rsidP="006556BD">
      <w:pPr>
        <w:numPr>
          <w:ilvl w:val="0"/>
          <w:numId w:val="2"/>
        </w:numPr>
        <w:tabs>
          <w:tab w:val="num" w:pos="284"/>
        </w:tabs>
        <w:autoSpaceDE w:val="0"/>
        <w:autoSpaceDN w:val="0"/>
        <w:adjustRightInd w:val="0"/>
        <w:ind w:left="284" w:hanging="284"/>
        <w:jc w:val="both"/>
        <w:rPr>
          <w:sz w:val="22"/>
          <w:szCs w:val="22"/>
        </w:rPr>
      </w:pPr>
      <w:r w:rsidRPr="00253D8E">
        <w:rPr>
          <w:sz w:val="22"/>
          <w:szCs w:val="22"/>
        </w:rPr>
        <w:t>τη λειτουργία των Σχολών Ξεναγών,</w:t>
      </w:r>
    </w:p>
    <w:p w:rsidR="00DA54B4" w:rsidRPr="00253D8E" w:rsidRDefault="00DA54B4" w:rsidP="006556BD">
      <w:pPr>
        <w:numPr>
          <w:ilvl w:val="0"/>
          <w:numId w:val="2"/>
        </w:numPr>
        <w:tabs>
          <w:tab w:val="num" w:pos="284"/>
        </w:tabs>
        <w:autoSpaceDE w:val="0"/>
        <w:autoSpaceDN w:val="0"/>
        <w:adjustRightInd w:val="0"/>
        <w:ind w:left="284" w:hanging="284"/>
        <w:jc w:val="both"/>
        <w:rPr>
          <w:sz w:val="22"/>
          <w:szCs w:val="22"/>
        </w:rPr>
      </w:pPr>
      <w:r w:rsidRPr="00253D8E">
        <w:rPr>
          <w:sz w:val="22"/>
          <w:szCs w:val="22"/>
        </w:rPr>
        <w:t xml:space="preserve">τη χορήγηση στεγαστικού επιδόματος των φοιτητών </w:t>
      </w:r>
      <w:r>
        <w:rPr>
          <w:sz w:val="22"/>
          <w:szCs w:val="22"/>
        </w:rPr>
        <w:t>τριτοβάθμιας εκπαίδευσης</w:t>
      </w:r>
      <w:r w:rsidRPr="00253D8E">
        <w:rPr>
          <w:sz w:val="22"/>
          <w:szCs w:val="22"/>
        </w:rPr>
        <w:t xml:space="preserve"> Σχολών Τουριστ</w:t>
      </w:r>
      <w:r w:rsidRPr="00253D8E">
        <w:rPr>
          <w:sz w:val="22"/>
          <w:szCs w:val="22"/>
        </w:rPr>
        <w:t>ι</w:t>
      </w:r>
      <w:r w:rsidRPr="00253D8E">
        <w:rPr>
          <w:sz w:val="22"/>
          <w:szCs w:val="22"/>
        </w:rPr>
        <w:t xml:space="preserve">κών Επαγγελμάτων που σπουδάζουν μακριά από τον τόπο κατοικίας </w:t>
      </w:r>
      <w:r>
        <w:rPr>
          <w:sz w:val="22"/>
          <w:szCs w:val="22"/>
        </w:rPr>
        <w:t>τους,</w:t>
      </w:r>
    </w:p>
    <w:p w:rsidR="00DA54B4" w:rsidRPr="00253D8E" w:rsidRDefault="00DA54B4" w:rsidP="006556BD">
      <w:pPr>
        <w:numPr>
          <w:ilvl w:val="0"/>
          <w:numId w:val="2"/>
        </w:numPr>
        <w:tabs>
          <w:tab w:val="num" w:pos="284"/>
        </w:tabs>
        <w:autoSpaceDE w:val="0"/>
        <w:autoSpaceDN w:val="0"/>
        <w:adjustRightInd w:val="0"/>
        <w:ind w:left="284" w:hanging="284"/>
        <w:jc w:val="both"/>
        <w:rPr>
          <w:color w:val="000000"/>
          <w:sz w:val="22"/>
          <w:szCs w:val="22"/>
        </w:rPr>
      </w:pPr>
      <w:r w:rsidRPr="00253D8E">
        <w:rPr>
          <w:color w:val="000000"/>
          <w:sz w:val="22"/>
          <w:szCs w:val="22"/>
        </w:rPr>
        <w:t>την αδειοδότηση και έλεγχο των τουριστικών επιχειρήσεων, καθώς και τη διασφάλιση ποιότητας του παρεχόμενου τουριστικού προϊόντος,</w:t>
      </w:r>
    </w:p>
    <w:p w:rsidR="00DA54B4" w:rsidRPr="00253D8E" w:rsidRDefault="00DA54B4" w:rsidP="006556BD">
      <w:pPr>
        <w:numPr>
          <w:ilvl w:val="0"/>
          <w:numId w:val="2"/>
        </w:numPr>
        <w:tabs>
          <w:tab w:val="num" w:pos="284"/>
        </w:tabs>
        <w:autoSpaceDE w:val="0"/>
        <w:autoSpaceDN w:val="0"/>
        <w:adjustRightInd w:val="0"/>
        <w:ind w:left="284" w:hanging="284"/>
        <w:jc w:val="both"/>
        <w:rPr>
          <w:sz w:val="22"/>
          <w:szCs w:val="22"/>
        </w:rPr>
      </w:pPr>
      <w:r w:rsidRPr="00253D8E">
        <w:rPr>
          <w:sz w:val="22"/>
          <w:szCs w:val="22"/>
        </w:rPr>
        <w:t>την προώθηση αναπτυξιακών πρωτοβουλιών στον τομέα του τουρισμού,</w:t>
      </w:r>
      <w:r>
        <w:rPr>
          <w:sz w:val="22"/>
          <w:szCs w:val="22"/>
        </w:rPr>
        <w:t xml:space="preserve"> και</w:t>
      </w:r>
    </w:p>
    <w:p w:rsidR="00DA54B4" w:rsidRDefault="00DA54B4" w:rsidP="006556BD">
      <w:pPr>
        <w:numPr>
          <w:ilvl w:val="0"/>
          <w:numId w:val="2"/>
        </w:numPr>
        <w:tabs>
          <w:tab w:val="num" w:pos="284"/>
        </w:tabs>
        <w:autoSpaceDE w:val="0"/>
        <w:autoSpaceDN w:val="0"/>
        <w:adjustRightInd w:val="0"/>
        <w:ind w:left="284" w:hanging="284"/>
        <w:jc w:val="both"/>
        <w:rPr>
          <w:sz w:val="22"/>
          <w:szCs w:val="22"/>
        </w:rPr>
      </w:pPr>
      <w:r w:rsidRPr="00253D8E">
        <w:rPr>
          <w:sz w:val="22"/>
          <w:szCs w:val="22"/>
        </w:rPr>
        <w:t>την επιχορήγηση και απόδοση εσόδων στον Ελληνικό Οργανισμό Τουρισμού.</w:t>
      </w:r>
    </w:p>
    <w:p w:rsidR="00DF2C9F" w:rsidRDefault="00DF2C9F" w:rsidP="00DF2C9F">
      <w:pPr>
        <w:autoSpaceDE w:val="0"/>
        <w:autoSpaceDN w:val="0"/>
        <w:adjustRightInd w:val="0"/>
        <w:jc w:val="both"/>
        <w:rPr>
          <w:sz w:val="22"/>
          <w:szCs w:val="22"/>
        </w:rPr>
      </w:pPr>
    </w:p>
    <w:p w:rsidR="00DF2C9F" w:rsidRPr="00253D8E" w:rsidRDefault="00DF2C9F" w:rsidP="00DF2C9F">
      <w:pPr>
        <w:autoSpaceDE w:val="0"/>
        <w:autoSpaceDN w:val="0"/>
        <w:adjustRightInd w:val="0"/>
        <w:jc w:val="both"/>
        <w:rPr>
          <w:sz w:val="22"/>
          <w:szCs w:val="22"/>
        </w:rPr>
      </w:pPr>
      <w:r>
        <w:rPr>
          <w:sz w:val="22"/>
          <w:szCs w:val="22"/>
        </w:rPr>
        <w:t>Σημαντικό μέρος της χρηματοδότησης τ</w:t>
      </w:r>
      <w:r w:rsidR="00E66654">
        <w:rPr>
          <w:sz w:val="22"/>
          <w:szCs w:val="22"/>
        </w:rPr>
        <w:t>ης</w:t>
      </w:r>
      <w:r>
        <w:rPr>
          <w:sz w:val="22"/>
          <w:szCs w:val="22"/>
        </w:rPr>
        <w:t xml:space="preserve"> δράσ</w:t>
      </w:r>
      <w:r w:rsidR="00E66654">
        <w:rPr>
          <w:sz w:val="22"/>
          <w:szCs w:val="22"/>
        </w:rPr>
        <w:t>ης</w:t>
      </w:r>
      <w:r>
        <w:rPr>
          <w:sz w:val="22"/>
          <w:szCs w:val="22"/>
        </w:rPr>
        <w:t xml:space="preserve"> του Υπουργείου προέρχεται από το πρόγραμμα δημοσίων επενδύσεων.</w:t>
      </w:r>
    </w:p>
    <w:p w:rsidR="00DA54B4" w:rsidRPr="00253D8E" w:rsidRDefault="00DA54B4" w:rsidP="00DA54B4">
      <w:pPr>
        <w:autoSpaceDE w:val="0"/>
        <w:autoSpaceDN w:val="0"/>
        <w:adjustRightInd w:val="0"/>
        <w:jc w:val="both"/>
        <w:rPr>
          <w:b/>
          <w:i/>
          <w:color w:val="000000"/>
          <w:sz w:val="22"/>
          <w:szCs w:val="22"/>
        </w:rPr>
      </w:pPr>
    </w:p>
    <w:p w:rsidR="00DA54B4" w:rsidRPr="00253D8E" w:rsidRDefault="00DA54B4" w:rsidP="00DA54B4">
      <w:pPr>
        <w:jc w:val="both"/>
        <w:rPr>
          <w:rFonts w:ascii="Arial Narrow" w:hAnsi="Arial Narrow"/>
          <w:b/>
          <w:i/>
          <w:sz w:val="22"/>
          <w:szCs w:val="22"/>
        </w:rPr>
      </w:pPr>
      <w:r w:rsidRPr="00253D8E">
        <w:rPr>
          <w:rFonts w:ascii="Arial Narrow" w:hAnsi="Arial Narrow"/>
          <w:b/>
          <w:i/>
          <w:sz w:val="22"/>
          <w:szCs w:val="22"/>
        </w:rPr>
        <w:t xml:space="preserve">Υπουργείο Μεταναστευτικής Πολιτικής </w:t>
      </w:r>
    </w:p>
    <w:p w:rsidR="00DA54B4" w:rsidRPr="00253D8E" w:rsidRDefault="00DA54B4" w:rsidP="00DA54B4">
      <w:pPr>
        <w:jc w:val="both"/>
        <w:rPr>
          <w:sz w:val="22"/>
          <w:szCs w:val="22"/>
        </w:rPr>
      </w:pPr>
    </w:p>
    <w:p w:rsidR="00DA54B4" w:rsidRPr="00253D8E" w:rsidRDefault="00DA54B4" w:rsidP="00DA54B4">
      <w:pPr>
        <w:jc w:val="both"/>
        <w:rPr>
          <w:sz w:val="22"/>
          <w:szCs w:val="22"/>
        </w:rPr>
      </w:pPr>
      <w:r w:rsidRPr="00253D8E">
        <w:rPr>
          <w:sz w:val="22"/>
          <w:szCs w:val="22"/>
        </w:rPr>
        <w:t>Έχουν προβλεφθεί πιστώσεις που θα καλύψουν δαπάνες για:</w:t>
      </w:r>
    </w:p>
    <w:p w:rsidR="00DA54B4" w:rsidRPr="00253D8E" w:rsidRDefault="00DA54B4" w:rsidP="00DA54B4">
      <w:pPr>
        <w:jc w:val="both"/>
        <w:rPr>
          <w:sz w:val="22"/>
          <w:szCs w:val="22"/>
        </w:rPr>
      </w:pPr>
    </w:p>
    <w:p w:rsidR="00DA54B4" w:rsidRPr="00253D8E"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lastRenderedPageBreak/>
        <w:t>το</w:t>
      </w:r>
      <w:r w:rsidR="00881742">
        <w:rPr>
          <w:sz w:val="22"/>
          <w:szCs w:val="22"/>
        </w:rPr>
        <w:t>ν</w:t>
      </w:r>
      <w:r w:rsidRPr="00253D8E">
        <w:rPr>
          <w:sz w:val="22"/>
          <w:szCs w:val="22"/>
        </w:rPr>
        <w:t xml:space="preserve"> σχεδιασμό και την εφαρμογή της εθνικής πολιτικής για τη μετανάστευση, τόσο σχετικά με την νόμιμη είσοδο, διαμονή και κοινωνική ένταξη των πολιτών τρίτων χωρών στην ελληνική επικράτ</w:t>
      </w:r>
      <w:r w:rsidRPr="00253D8E">
        <w:rPr>
          <w:sz w:val="22"/>
          <w:szCs w:val="22"/>
        </w:rPr>
        <w:t>ε</w:t>
      </w:r>
      <w:r w:rsidRPr="00253D8E">
        <w:rPr>
          <w:sz w:val="22"/>
          <w:szCs w:val="22"/>
        </w:rPr>
        <w:t xml:space="preserve">ια, όσο και σχετικά με την ταυτοποίηση και υποδοχή πολιτών τρίτων χωρών που εισέρχονται στη χώρα χωρίς τις νόμιμες διατυπώσεις, </w:t>
      </w:r>
    </w:p>
    <w:p w:rsidR="00DA54B4" w:rsidRDefault="00DA54B4" w:rsidP="006556BD">
      <w:pPr>
        <w:numPr>
          <w:ilvl w:val="0"/>
          <w:numId w:val="2"/>
        </w:numPr>
        <w:tabs>
          <w:tab w:val="num" w:pos="426"/>
        </w:tabs>
        <w:autoSpaceDE w:val="0"/>
        <w:autoSpaceDN w:val="0"/>
        <w:adjustRightInd w:val="0"/>
        <w:ind w:left="284" w:hanging="284"/>
        <w:jc w:val="both"/>
        <w:rPr>
          <w:sz w:val="22"/>
          <w:szCs w:val="22"/>
        </w:rPr>
      </w:pPr>
      <w:r w:rsidRPr="00253D8E">
        <w:rPr>
          <w:sz w:val="22"/>
          <w:szCs w:val="22"/>
        </w:rPr>
        <w:t>το</w:t>
      </w:r>
      <w:r w:rsidR="00881742">
        <w:rPr>
          <w:sz w:val="22"/>
          <w:szCs w:val="22"/>
        </w:rPr>
        <w:t>ν</w:t>
      </w:r>
      <w:r w:rsidRPr="00253D8E">
        <w:rPr>
          <w:sz w:val="22"/>
          <w:szCs w:val="22"/>
        </w:rPr>
        <w:t xml:space="preserve"> σχεδιασμό και την υλοποίηση της εθνικής πολιτικής για τη χορήγηση ασύλου ή άλλων μορφών διεθνούς προστασίας και την παροχή προστασίας των αιτούντων άσυλο και των ατόμων που δι</w:t>
      </w:r>
      <w:r w:rsidRPr="00253D8E">
        <w:rPr>
          <w:sz w:val="22"/>
          <w:szCs w:val="22"/>
        </w:rPr>
        <w:t>α</w:t>
      </w:r>
      <w:r w:rsidRPr="00253D8E">
        <w:rPr>
          <w:sz w:val="22"/>
          <w:szCs w:val="22"/>
        </w:rPr>
        <w:t>πιστωμένα χρήζουν διεθνούς προστασίας.</w:t>
      </w:r>
    </w:p>
    <w:p w:rsidR="00DF2C9F" w:rsidRDefault="00DF2C9F" w:rsidP="00DF2C9F">
      <w:pPr>
        <w:autoSpaceDE w:val="0"/>
        <w:autoSpaceDN w:val="0"/>
        <w:adjustRightInd w:val="0"/>
        <w:jc w:val="both"/>
        <w:rPr>
          <w:sz w:val="22"/>
          <w:szCs w:val="22"/>
        </w:rPr>
      </w:pPr>
    </w:p>
    <w:p w:rsidR="00DF2C9F" w:rsidRPr="00253D8E" w:rsidRDefault="00DF2C9F" w:rsidP="00DF2C9F">
      <w:pPr>
        <w:autoSpaceDE w:val="0"/>
        <w:autoSpaceDN w:val="0"/>
        <w:adjustRightInd w:val="0"/>
        <w:jc w:val="both"/>
        <w:rPr>
          <w:sz w:val="22"/>
          <w:szCs w:val="22"/>
        </w:rPr>
      </w:pPr>
      <w:r>
        <w:rPr>
          <w:sz w:val="22"/>
          <w:szCs w:val="22"/>
        </w:rPr>
        <w:t>Το πρόγραμμα δημοσίων επενδύσεων παρέχει σημαντική χρηματοδότηση δράσεων του Υπουργείου στο μέτρο της αρμοδιότητάς του.</w:t>
      </w:r>
    </w:p>
    <w:p w:rsidR="00DA54B4" w:rsidRDefault="00DA54B4" w:rsidP="00DA54B4">
      <w:pPr>
        <w:autoSpaceDE w:val="0"/>
        <w:autoSpaceDN w:val="0"/>
        <w:adjustRightInd w:val="0"/>
        <w:jc w:val="both"/>
        <w:rPr>
          <w:rFonts w:ascii="Arial Narrow" w:hAnsi="Arial Narrow"/>
          <w:b/>
          <w:i/>
          <w:sz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Υπουργείο Ψηφιακής Πολιτικής, Τηλεπικοινωνιών και Ενημέρωσης</w:t>
      </w:r>
    </w:p>
    <w:p w:rsidR="00DA54B4" w:rsidRPr="00253D8E" w:rsidRDefault="00DA54B4" w:rsidP="00DA54B4">
      <w:pPr>
        <w:jc w:val="both"/>
        <w:rPr>
          <w:sz w:val="22"/>
          <w:szCs w:val="22"/>
        </w:rPr>
      </w:pPr>
    </w:p>
    <w:p w:rsidR="00DA54B4" w:rsidRPr="00253D8E" w:rsidRDefault="00DA54B4" w:rsidP="00DA54B4">
      <w:pPr>
        <w:autoSpaceDE w:val="0"/>
        <w:autoSpaceDN w:val="0"/>
        <w:adjustRightInd w:val="0"/>
        <w:jc w:val="both"/>
        <w:rPr>
          <w:sz w:val="22"/>
          <w:szCs w:val="22"/>
        </w:rPr>
      </w:pPr>
      <w:r w:rsidRPr="00253D8E">
        <w:rPr>
          <w:sz w:val="22"/>
          <w:szCs w:val="22"/>
        </w:rPr>
        <w:t>Στον προϋπολογισμό του Υπουργείου έχουν προβλεφθεί πιστώσεις για την εκτέλεση της αποστολής του Υπουργείου και ειδικότερα για τη χάραξη και εφαρμογή εθνικής επικοινωνιακής και ψηφιακής πολιτικής, την ανάπτυξη τηλεπικοινωνιακών και ταχυδρομικών υπηρεσιών υψηλής ποιότητας, καθώς και τη συμμετοχή στη διαμόρφωση κατάλληλου θεσμικού πλαισίου σε ευρωπαϊκό και διεθνές επίπ</w:t>
      </w:r>
      <w:r w:rsidRPr="00253D8E">
        <w:rPr>
          <w:sz w:val="22"/>
          <w:szCs w:val="22"/>
        </w:rPr>
        <w:t>ε</w:t>
      </w:r>
      <w:r w:rsidRPr="00253D8E">
        <w:rPr>
          <w:sz w:val="22"/>
          <w:szCs w:val="22"/>
        </w:rPr>
        <w:t>δο.</w:t>
      </w:r>
      <w:r w:rsidR="0068124D">
        <w:rPr>
          <w:sz w:val="22"/>
          <w:szCs w:val="22"/>
        </w:rPr>
        <w:t xml:space="preserve"> </w:t>
      </w:r>
      <w:r w:rsidRPr="00253D8E">
        <w:rPr>
          <w:sz w:val="22"/>
          <w:szCs w:val="22"/>
        </w:rPr>
        <w:t xml:space="preserve">Επίσης, έχουν προβλεφθεί πιστώσεις για την κάλυψη της ετήσιας συνδρομής της χώρας για τη συμμετοχή της στον Ευρωπαϊκό Οργανισμό Διαστήματος καθώς με το άρθρο 28 του Ν. 4508/2017 </w:t>
      </w:r>
      <w:r w:rsidR="00877188">
        <w:rPr>
          <w:sz w:val="22"/>
          <w:szCs w:val="22"/>
        </w:rPr>
        <w:t xml:space="preserve">το εν λόγω Υπουργείο </w:t>
      </w:r>
      <w:r w:rsidRPr="00253D8E">
        <w:rPr>
          <w:sz w:val="22"/>
          <w:szCs w:val="22"/>
        </w:rPr>
        <w:t xml:space="preserve">έχει αναλάβει τη σχετική αρμοδιότητα. </w:t>
      </w:r>
    </w:p>
    <w:p w:rsidR="00DA54B4" w:rsidRPr="00253D8E" w:rsidRDefault="00DA54B4" w:rsidP="00DA54B4">
      <w:pPr>
        <w:autoSpaceDE w:val="0"/>
        <w:autoSpaceDN w:val="0"/>
        <w:adjustRightInd w:val="0"/>
        <w:jc w:val="both"/>
        <w:rPr>
          <w:sz w:val="22"/>
          <w:szCs w:val="22"/>
        </w:rPr>
      </w:pPr>
    </w:p>
    <w:p w:rsidR="00DA54B4" w:rsidRDefault="00DA54B4" w:rsidP="00DA54B4">
      <w:pPr>
        <w:autoSpaceDE w:val="0"/>
        <w:autoSpaceDN w:val="0"/>
        <w:adjustRightInd w:val="0"/>
        <w:jc w:val="both"/>
        <w:rPr>
          <w:sz w:val="22"/>
          <w:szCs w:val="22"/>
        </w:rPr>
      </w:pPr>
      <w:r w:rsidRPr="00253D8E">
        <w:rPr>
          <w:sz w:val="22"/>
          <w:szCs w:val="22"/>
        </w:rPr>
        <w:t>Τέλος, στον προϋπολογισμό του Υπουργείου Ψηφιακής Πολιτικής, Τηλεπικοινωνιών και Ενημέρωσης περιλαμβάνονται και οι πιστώσεις για το Εθνικό Συμβούλιο Ραδιοτηλεόρασης (ΕΣΡ)</w:t>
      </w:r>
      <w:r>
        <w:rPr>
          <w:sz w:val="22"/>
          <w:szCs w:val="22"/>
        </w:rPr>
        <w:t xml:space="preserve"> ως ανεξάρτητης αρχής</w:t>
      </w:r>
      <w:r w:rsidRPr="00253D8E">
        <w:rPr>
          <w:sz w:val="22"/>
          <w:szCs w:val="22"/>
        </w:rPr>
        <w:t>.</w:t>
      </w:r>
    </w:p>
    <w:p w:rsidR="00DF2C9F" w:rsidRDefault="00DF2C9F" w:rsidP="00DA54B4">
      <w:pPr>
        <w:autoSpaceDE w:val="0"/>
        <w:autoSpaceDN w:val="0"/>
        <w:adjustRightInd w:val="0"/>
        <w:jc w:val="both"/>
        <w:rPr>
          <w:sz w:val="22"/>
          <w:szCs w:val="22"/>
        </w:rPr>
      </w:pPr>
    </w:p>
    <w:p w:rsidR="00DF2C9F" w:rsidRPr="00253D8E" w:rsidRDefault="00DF2C9F" w:rsidP="00DA54B4">
      <w:pPr>
        <w:autoSpaceDE w:val="0"/>
        <w:autoSpaceDN w:val="0"/>
        <w:adjustRightInd w:val="0"/>
        <w:jc w:val="both"/>
        <w:rPr>
          <w:sz w:val="22"/>
          <w:szCs w:val="22"/>
        </w:rPr>
      </w:pPr>
      <w:r>
        <w:rPr>
          <w:sz w:val="22"/>
          <w:szCs w:val="22"/>
        </w:rPr>
        <w:t>Το πρόγραμμα δημοσίων επενδύσεων παρέχει σημαντική χρηματοδότηση δράσεων του Υπουργείου στον τομέα της ψηφιακής σύγκλισης.</w:t>
      </w:r>
    </w:p>
    <w:p w:rsidR="00DA54B4" w:rsidRDefault="00DA54B4" w:rsidP="00DA54B4">
      <w:pPr>
        <w:autoSpaceDE w:val="0"/>
        <w:autoSpaceDN w:val="0"/>
        <w:adjustRightInd w:val="0"/>
        <w:jc w:val="both"/>
        <w:rPr>
          <w:rFonts w:ascii="Arial Narrow" w:hAnsi="Arial Narrow"/>
          <w:b/>
          <w:i/>
          <w:sz w:val="22"/>
        </w:rPr>
      </w:pPr>
    </w:p>
    <w:p w:rsidR="00DA54B4" w:rsidRPr="00253D8E" w:rsidRDefault="00DA54B4" w:rsidP="00DA54B4">
      <w:pPr>
        <w:autoSpaceDE w:val="0"/>
        <w:autoSpaceDN w:val="0"/>
        <w:adjustRightInd w:val="0"/>
        <w:jc w:val="both"/>
        <w:rPr>
          <w:rFonts w:ascii="Arial Narrow" w:hAnsi="Arial Narrow"/>
          <w:b/>
          <w:i/>
          <w:sz w:val="22"/>
        </w:rPr>
      </w:pPr>
      <w:r w:rsidRPr="00253D8E">
        <w:rPr>
          <w:rFonts w:ascii="Arial Narrow" w:hAnsi="Arial Narrow"/>
          <w:b/>
          <w:i/>
          <w:sz w:val="22"/>
        </w:rPr>
        <w:t>Αποκεντρωμένες Διοικήσεις</w:t>
      </w:r>
    </w:p>
    <w:p w:rsidR="00DA54B4" w:rsidRPr="00253D8E" w:rsidRDefault="00DA54B4" w:rsidP="00DA54B4">
      <w:pPr>
        <w:autoSpaceDE w:val="0"/>
        <w:autoSpaceDN w:val="0"/>
        <w:adjustRightInd w:val="0"/>
        <w:jc w:val="both"/>
        <w:rPr>
          <w:color w:val="000000"/>
          <w:szCs w:val="22"/>
        </w:rPr>
      </w:pPr>
    </w:p>
    <w:p w:rsidR="00DA54B4" w:rsidRPr="00253D8E" w:rsidRDefault="00DA54B4" w:rsidP="00DA54B4">
      <w:pPr>
        <w:autoSpaceDE w:val="0"/>
        <w:autoSpaceDN w:val="0"/>
        <w:adjustRightInd w:val="0"/>
        <w:jc w:val="both"/>
        <w:rPr>
          <w:color w:val="000000"/>
          <w:sz w:val="22"/>
          <w:szCs w:val="22"/>
        </w:rPr>
      </w:pPr>
      <w:r w:rsidRPr="00253D8E">
        <w:rPr>
          <w:color w:val="000000"/>
          <w:sz w:val="22"/>
          <w:szCs w:val="22"/>
        </w:rPr>
        <w:t>Οι πιστώσεις του προϋπολογισμού των Αποκεντρωμένων Διοικήσεων προβλέπεται, μεταξύ άλλων, να καλύψουν δαπάνες για:</w:t>
      </w:r>
    </w:p>
    <w:p w:rsidR="00DA54B4" w:rsidRPr="00253D8E" w:rsidRDefault="00DA54B4" w:rsidP="00DA54B4">
      <w:pPr>
        <w:autoSpaceDE w:val="0"/>
        <w:autoSpaceDN w:val="0"/>
        <w:adjustRightInd w:val="0"/>
        <w:jc w:val="both"/>
        <w:rPr>
          <w:color w:val="000000"/>
          <w:sz w:val="22"/>
          <w:szCs w:val="22"/>
        </w:rPr>
      </w:pPr>
    </w:p>
    <w:p w:rsidR="00DA54B4" w:rsidRPr="00253D8E" w:rsidRDefault="00DA54B4" w:rsidP="006556BD">
      <w:pPr>
        <w:numPr>
          <w:ilvl w:val="0"/>
          <w:numId w:val="2"/>
        </w:numPr>
        <w:tabs>
          <w:tab w:val="num" w:pos="284"/>
        </w:tabs>
        <w:autoSpaceDE w:val="0"/>
        <w:autoSpaceDN w:val="0"/>
        <w:adjustRightInd w:val="0"/>
        <w:ind w:left="284" w:hanging="284"/>
        <w:jc w:val="both"/>
        <w:rPr>
          <w:color w:val="000000"/>
          <w:sz w:val="22"/>
          <w:szCs w:val="22"/>
        </w:rPr>
      </w:pPr>
      <w:r w:rsidRPr="00253D8E">
        <w:rPr>
          <w:color w:val="000000"/>
          <w:sz w:val="22"/>
          <w:szCs w:val="22"/>
        </w:rPr>
        <w:t>τις υπηρεσίες που αφορούν θέματα πολιτικής αλλοδαπών και μετανάστευσης,</w:t>
      </w:r>
    </w:p>
    <w:p w:rsidR="00DA54B4" w:rsidRPr="00253D8E" w:rsidRDefault="00DA54B4" w:rsidP="006556BD">
      <w:pPr>
        <w:numPr>
          <w:ilvl w:val="0"/>
          <w:numId w:val="2"/>
        </w:numPr>
        <w:tabs>
          <w:tab w:val="num" w:pos="284"/>
        </w:tabs>
        <w:autoSpaceDE w:val="0"/>
        <w:autoSpaceDN w:val="0"/>
        <w:adjustRightInd w:val="0"/>
        <w:ind w:left="284" w:hanging="284"/>
        <w:jc w:val="both"/>
        <w:rPr>
          <w:color w:val="000000"/>
          <w:sz w:val="22"/>
          <w:szCs w:val="22"/>
        </w:rPr>
      </w:pPr>
      <w:r w:rsidRPr="00253D8E">
        <w:rPr>
          <w:color w:val="000000"/>
          <w:sz w:val="22"/>
          <w:szCs w:val="22"/>
        </w:rPr>
        <w:t>τη χωροταξία, την περιβαλλοντική πολιτική και την εποπτεία, προστασία και εκμετάλλευση των δασών.</w:t>
      </w:r>
    </w:p>
    <w:p w:rsidR="00912018" w:rsidRDefault="00912018">
      <w:pPr>
        <w:rPr>
          <w:bCs/>
          <w:sz w:val="22"/>
          <w:szCs w:val="22"/>
        </w:rPr>
      </w:pPr>
    </w:p>
    <w:p w:rsidR="00B70118" w:rsidRDefault="00B70118">
      <w:pPr>
        <w:rPr>
          <w:bCs/>
          <w:sz w:val="22"/>
          <w:szCs w:val="22"/>
        </w:rPr>
      </w:pPr>
    </w:p>
    <w:p w:rsidR="00C752D5" w:rsidRDefault="00C752D5">
      <w:pPr>
        <w:rPr>
          <w:sz w:val="22"/>
          <w:szCs w:val="22"/>
          <w:highlight w:val="lightGray"/>
        </w:rPr>
      </w:pPr>
      <w:r>
        <w:rPr>
          <w:sz w:val="22"/>
          <w:szCs w:val="22"/>
          <w:highlight w:val="lightGray"/>
        </w:rPr>
        <w:br w:type="page"/>
      </w:r>
    </w:p>
    <w:p w:rsidR="005B36EA" w:rsidRPr="000574DA" w:rsidRDefault="005B36EA" w:rsidP="005B36EA">
      <w:pPr>
        <w:rPr>
          <w:sz w:val="22"/>
          <w:szCs w:val="22"/>
          <w:highlight w:val="lightGray"/>
        </w:rPr>
      </w:pPr>
    </w:p>
    <w:p w:rsidR="005B36EA" w:rsidRPr="0063065A" w:rsidRDefault="00064257" w:rsidP="005B36EA">
      <w:pPr>
        <w:shd w:val="clear" w:color="auto" w:fill="595959"/>
        <w:jc w:val="both"/>
        <w:rPr>
          <w:rFonts w:ascii="Arial Narrow" w:hAnsi="Arial Narrow"/>
          <w:b/>
          <w:color w:val="FFFFFF"/>
          <w:sz w:val="26"/>
          <w:szCs w:val="22"/>
        </w:rPr>
      </w:pPr>
      <w:r>
        <w:rPr>
          <w:rFonts w:ascii="Arial Narrow" w:hAnsi="Arial Narrow"/>
          <w:b/>
          <w:color w:val="FFFFFF"/>
          <w:sz w:val="26"/>
          <w:szCs w:val="22"/>
        </w:rPr>
        <w:t>5</w:t>
      </w:r>
      <w:r w:rsidR="005B36EA" w:rsidRPr="0063065A">
        <w:rPr>
          <w:rFonts w:ascii="Arial Narrow" w:hAnsi="Arial Narrow"/>
          <w:b/>
          <w:color w:val="FFFFFF"/>
          <w:sz w:val="26"/>
          <w:szCs w:val="22"/>
        </w:rPr>
        <w:t>.</w:t>
      </w:r>
      <w:r w:rsidR="005B36EA" w:rsidRPr="0063065A">
        <w:rPr>
          <w:rFonts w:ascii="Arial Narrow" w:hAnsi="Arial Narrow"/>
          <w:b/>
          <w:color w:val="FFFFFF"/>
          <w:sz w:val="26"/>
          <w:szCs w:val="22"/>
        </w:rPr>
        <w:tab/>
        <w:t xml:space="preserve">Νομικά </w:t>
      </w:r>
      <w:r w:rsidR="00586A5F" w:rsidRPr="0063065A">
        <w:rPr>
          <w:rFonts w:ascii="Arial Narrow" w:hAnsi="Arial Narrow"/>
          <w:b/>
          <w:color w:val="FFFFFF"/>
          <w:sz w:val="26"/>
          <w:szCs w:val="22"/>
        </w:rPr>
        <w:t xml:space="preserve">Πρόσωπα </w:t>
      </w:r>
      <w:r w:rsidR="00156075">
        <w:rPr>
          <w:rFonts w:ascii="Arial Narrow" w:hAnsi="Arial Narrow"/>
          <w:b/>
          <w:color w:val="FFFFFF"/>
          <w:sz w:val="26"/>
          <w:szCs w:val="22"/>
        </w:rPr>
        <w:t>Κεντρικής Κυβέρνησης</w:t>
      </w:r>
      <w:r w:rsidR="00F46C27">
        <w:rPr>
          <w:rFonts w:ascii="Arial Narrow" w:hAnsi="Arial Narrow"/>
          <w:b/>
          <w:color w:val="FFFFFF"/>
          <w:sz w:val="26"/>
          <w:szCs w:val="22"/>
        </w:rPr>
        <w:tab/>
      </w:r>
    </w:p>
    <w:p w:rsidR="005B36EA" w:rsidRDefault="005B36EA" w:rsidP="005B36EA">
      <w:pPr>
        <w:jc w:val="both"/>
        <w:rPr>
          <w:b/>
          <w:sz w:val="22"/>
          <w:szCs w:val="22"/>
        </w:rPr>
      </w:pPr>
    </w:p>
    <w:p w:rsidR="002A1FA2" w:rsidRDefault="002A1FA2" w:rsidP="005B36EA">
      <w:pPr>
        <w:jc w:val="both"/>
        <w:rPr>
          <w:b/>
          <w:sz w:val="22"/>
          <w:szCs w:val="22"/>
        </w:rPr>
      </w:pPr>
    </w:p>
    <w:p w:rsidR="00156075" w:rsidRPr="00E36FE7" w:rsidRDefault="00156075" w:rsidP="00156075">
      <w:pPr>
        <w:shd w:val="clear" w:color="auto" w:fill="BFBFBF" w:themeFill="background1" w:themeFillShade="BF"/>
        <w:jc w:val="both"/>
        <w:rPr>
          <w:rFonts w:ascii="Arial Narrow" w:hAnsi="Arial Narrow"/>
          <w:b/>
          <w:szCs w:val="22"/>
        </w:rPr>
      </w:pPr>
      <w:r>
        <w:rPr>
          <w:rFonts w:ascii="Arial Narrow" w:hAnsi="Arial Narrow"/>
          <w:b/>
          <w:szCs w:val="22"/>
        </w:rPr>
        <w:t>5</w:t>
      </w:r>
      <w:r w:rsidRPr="00E36FE7">
        <w:rPr>
          <w:rFonts w:ascii="Arial Narrow" w:hAnsi="Arial Narrow"/>
          <w:b/>
          <w:szCs w:val="22"/>
        </w:rPr>
        <w:t>.1</w:t>
      </w:r>
      <w:r w:rsidRPr="00E36FE7">
        <w:rPr>
          <w:rFonts w:ascii="Arial Narrow" w:hAnsi="Arial Narrow"/>
          <w:b/>
          <w:szCs w:val="22"/>
        </w:rPr>
        <w:tab/>
      </w:r>
      <w:r w:rsidR="00D6601E">
        <w:rPr>
          <w:rFonts w:ascii="Arial Narrow" w:hAnsi="Arial Narrow"/>
          <w:b/>
          <w:szCs w:val="22"/>
        </w:rPr>
        <w:t>Λοιπά ν</w:t>
      </w:r>
      <w:r>
        <w:rPr>
          <w:rFonts w:ascii="Arial Narrow" w:hAnsi="Arial Narrow"/>
          <w:b/>
          <w:szCs w:val="22"/>
        </w:rPr>
        <w:t xml:space="preserve">ομικά πρόσωπα </w:t>
      </w:r>
    </w:p>
    <w:p w:rsidR="00156075" w:rsidRDefault="00156075" w:rsidP="005B36EA">
      <w:pPr>
        <w:jc w:val="both"/>
        <w:rPr>
          <w:b/>
          <w:sz w:val="22"/>
          <w:szCs w:val="22"/>
        </w:rPr>
      </w:pPr>
    </w:p>
    <w:p w:rsidR="002A1FA2" w:rsidRPr="0063065A" w:rsidRDefault="002A1FA2" w:rsidP="005B36EA">
      <w:pPr>
        <w:jc w:val="both"/>
        <w:rPr>
          <w:b/>
          <w:sz w:val="22"/>
          <w:szCs w:val="22"/>
        </w:rPr>
      </w:pPr>
    </w:p>
    <w:p w:rsidR="004721D7" w:rsidRPr="00624B03" w:rsidRDefault="004721D7" w:rsidP="004721D7">
      <w:pPr>
        <w:jc w:val="both"/>
        <w:rPr>
          <w:sz w:val="22"/>
          <w:szCs w:val="22"/>
        </w:rPr>
      </w:pPr>
      <w:r w:rsidRPr="00045F21">
        <w:rPr>
          <w:sz w:val="22"/>
          <w:szCs w:val="22"/>
        </w:rPr>
        <w:t xml:space="preserve">Ο προϋπολογισμός των </w:t>
      </w:r>
      <w:r w:rsidRPr="00D6601E">
        <w:rPr>
          <w:sz w:val="22"/>
          <w:szCs w:val="22"/>
        </w:rPr>
        <w:t>λοιπών</w:t>
      </w:r>
      <w:r>
        <w:rPr>
          <w:sz w:val="22"/>
          <w:szCs w:val="22"/>
        </w:rPr>
        <w:t xml:space="preserve"> </w:t>
      </w:r>
      <w:r w:rsidRPr="00045F21">
        <w:rPr>
          <w:sz w:val="22"/>
          <w:szCs w:val="22"/>
        </w:rPr>
        <w:t>νομικών προσώπων</w:t>
      </w:r>
      <w:r>
        <w:rPr>
          <w:sz w:val="22"/>
          <w:szCs w:val="22"/>
        </w:rPr>
        <w:t xml:space="preserve"> της </w:t>
      </w:r>
      <w:r w:rsidR="00D6601E">
        <w:rPr>
          <w:sz w:val="22"/>
          <w:szCs w:val="22"/>
        </w:rPr>
        <w:t>Κεντρικής</w:t>
      </w:r>
      <w:r>
        <w:rPr>
          <w:sz w:val="22"/>
          <w:szCs w:val="22"/>
        </w:rPr>
        <w:t xml:space="preserve"> Κυβέρνησης απεικονίζε</w:t>
      </w:r>
      <w:r w:rsidRPr="00915302">
        <w:rPr>
          <w:sz w:val="22"/>
          <w:szCs w:val="22"/>
        </w:rPr>
        <w:t xml:space="preserve">ται στους πίνακες </w:t>
      </w:r>
      <w:r w:rsidRPr="00624B03">
        <w:rPr>
          <w:sz w:val="22"/>
          <w:szCs w:val="22"/>
        </w:rPr>
        <w:t>3</w:t>
      </w:r>
      <w:r w:rsidR="00624B03">
        <w:rPr>
          <w:sz w:val="22"/>
          <w:szCs w:val="22"/>
        </w:rPr>
        <w:t>.17</w:t>
      </w:r>
      <w:r w:rsidRPr="00624B03">
        <w:rPr>
          <w:sz w:val="22"/>
          <w:szCs w:val="22"/>
        </w:rPr>
        <w:t>, 3</w:t>
      </w:r>
      <w:r w:rsidR="00624B03">
        <w:rPr>
          <w:sz w:val="22"/>
          <w:szCs w:val="22"/>
        </w:rPr>
        <w:t>.18</w:t>
      </w:r>
      <w:r w:rsidRPr="00624B03">
        <w:rPr>
          <w:sz w:val="22"/>
          <w:szCs w:val="22"/>
        </w:rPr>
        <w:t>, 3</w:t>
      </w:r>
      <w:r w:rsidR="00624B03">
        <w:rPr>
          <w:sz w:val="22"/>
          <w:szCs w:val="22"/>
        </w:rPr>
        <w:t>.19</w:t>
      </w:r>
      <w:r w:rsidRPr="00624B03">
        <w:rPr>
          <w:sz w:val="22"/>
          <w:szCs w:val="22"/>
        </w:rPr>
        <w:t xml:space="preserve"> και 3</w:t>
      </w:r>
      <w:r w:rsidR="00624B03">
        <w:rPr>
          <w:sz w:val="22"/>
          <w:szCs w:val="22"/>
        </w:rPr>
        <w:t>.20</w:t>
      </w:r>
      <w:r w:rsidRPr="00624B03">
        <w:rPr>
          <w:sz w:val="22"/>
          <w:szCs w:val="22"/>
        </w:rPr>
        <w:t>.</w:t>
      </w:r>
    </w:p>
    <w:p w:rsidR="007921AC" w:rsidRDefault="007921AC" w:rsidP="007921AC">
      <w:pPr>
        <w:jc w:val="both"/>
        <w:rPr>
          <w:b/>
          <w:sz w:val="22"/>
          <w:szCs w:val="22"/>
        </w:rPr>
      </w:pPr>
    </w:p>
    <w:p w:rsidR="007921AC" w:rsidRPr="0063065A" w:rsidRDefault="007921AC" w:rsidP="007921AC">
      <w:pPr>
        <w:jc w:val="both"/>
        <w:rPr>
          <w:b/>
          <w:sz w:val="22"/>
          <w:szCs w:val="22"/>
        </w:rPr>
      </w:pPr>
    </w:p>
    <w:tbl>
      <w:tblPr>
        <w:tblW w:w="0" w:type="auto"/>
        <w:jc w:val="center"/>
        <w:tblLayout w:type="fixed"/>
        <w:tblCellMar>
          <w:left w:w="30" w:type="dxa"/>
          <w:right w:w="30" w:type="dxa"/>
        </w:tblCellMar>
        <w:tblLook w:val="0000"/>
      </w:tblPr>
      <w:tblGrid>
        <w:gridCol w:w="4882"/>
        <w:gridCol w:w="1934"/>
        <w:gridCol w:w="1934"/>
      </w:tblGrid>
      <w:tr w:rsidR="007921AC" w:rsidRPr="00E820AC" w:rsidTr="007921AC">
        <w:trPr>
          <w:trHeight w:val="887"/>
          <w:jc w:val="center"/>
        </w:trPr>
        <w:tc>
          <w:tcPr>
            <w:tcW w:w="8750" w:type="dxa"/>
            <w:gridSpan w:val="3"/>
            <w:tcBorders>
              <w:top w:val="single" w:sz="6" w:space="0" w:color="auto"/>
              <w:left w:val="single" w:sz="6" w:space="0" w:color="auto"/>
              <w:bottom w:val="nil"/>
              <w:right w:val="single" w:sz="6" w:space="0" w:color="auto"/>
            </w:tcBorders>
            <w:shd w:val="clear" w:color="auto" w:fill="404040" w:themeFill="text1" w:themeFillTint="BF"/>
          </w:tcPr>
          <w:p w:rsidR="007921AC" w:rsidRPr="007921AC" w:rsidRDefault="00624B03" w:rsidP="0030661C">
            <w:pPr>
              <w:autoSpaceDE w:val="0"/>
              <w:autoSpaceDN w:val="0"/>
              <w:adjustRightInd w:val="0"/>
              <w:jc w:val="center"/>
              <w:rPr>
                <w:rFonts w:ascii="Arial Narrow" w:eastAsiaTheme="minorHAnsi" w:hAnsi="Arial Narrow" w:cs="Calibri"/>
                <w:b/>
                <w:color w:val="FFFFFF"/>
                <w:szCs w:val="28"/>
                <w:lang w:eastAsia="en-US"/>
              </w:rPr>
            </w:pPr>
            <w:r>
              <w:rPr>
                <w:rFonts w:ascii="Arial Narrow" w:eastAsiaTheme="minorHAnsi" w:hAnsi="Arial Narrow" w:cs="Calibri"/>
                <w:b/>
                <w:color w:val="FFFFFF"/>
                <w:szCs w:val="28"/>
                <w:lang w:eastAsia="en-US"/>
              </w:rPr>
              <w:t>Πίνακας 3.17</w:t>
            </w:r>
            <w:r w:rsidR="00CA2065">
              <w:rPr>
                <w:rFonts w:ascii="Arial Narrow" w:eastAsiaTheme="minorHAnsi" w:hAnsi="Arial Narrow" w:cs="Calibri"/>
                <w:b/>
                <w:color w:val="FFFFFF"/>
                <w:szCs w:val="28"/>
                <w:lang w:eastAsia="en-US"/>
              </w:rPr>
              <w:t xml:space="preserve"> </w:t>
            </w:r>
            <w:r w:rsidR="007921AC" w:rsidRPr="007921AC">
              <w:rPr>
                <w:rFonts w:ascii="Arial Narrow" w:eastAsiaTheme="minorHAnsi" w:hAnsi="Arial Narrow" w:cs="Calibri"/>
                <w:b/>
                <w:color w:val="FFFFFF"/>
                <w:szCs w:val="28"/>
                <w:lang w:eastAsia="en-US"/>
              </w:rPr>
              <w:t xml:space="preserve"> Προϋπολογισμός </w:t>
            </w:r>
            <w:r w:rsidR="004721D7" w:rsidRPr="00156075">
              <w:rPr>
                <w:rFonts w:ascii="Arial Narrow" w:eastAsiaTheme="minorHAnsi" w:hAnsi="Arial Narrow" w:cs="Calibri"/>
                <w:b/>
                <w:color w:val="FFFFFF" w:themeColor="background1"/>
                <w:szCs w:val="28"/>
                <w:lang w:eastAsia="en-US"/>
              </w:rPr>
              <w:t>λοιπών</w:t>
            </w:r>
            <w:r w:rsidR="004721D7">
              <w:rPr>
                <w:rFonts w:ascii="Arial Narrow" w:eastAsiaTheme="minorHAnsi" w:hAnsi="Arial Narrow" w:cs="Calibri"/>
                <w:b/>
                <w:color w:val="FFFFFF"/>
                <w:szCs w:val="28"/>
                <w:lang w:eastAsia="en-US"/>
              </w:rPr>
              <w:t xml:space="preserve"> </w:t>
            </w:r>
            <w:r w:rsidR="007921AC" w:rsidRPr="007921AC">
              <w:rPr>
                <w:rFonts w:ascii="Arial Narrow" w:eastAsiaTheme="minorHAnsi" w:hAnsi="Arial Narrow" w:cs="Calibri"/>
                <w:b/>
                <w:color w:val="FFFFFF"/>
                <w:szCs w:val="28"/>
                <w:lang w:eastAsia="en-US"/>
              </w:rPr>
              <w:t>νομικών προσώπων</w:t>
            </w:r>
          </w:p>
          <w:p w:rsidR="007921AC" w:rsidRPr="007921AC" w:rsidRDefault="00156075" w:rsidP="0030661C">
            <w:pPr>
              <w:autoSpaceDE w:val="0"/>
              <w:autoSpaceDN w:val="0"/>
              <w:adjustRightInd w:val="0"/>
              <w:jc w:val="center"/>
              <w:rPr>
                <w:rFonts w:ascii="Arial Narrow" w:eastAsiaTheme="minorHAnsi" w:hAnsi="Arial Narrow" w:cs="Calibri"/>
                <w:b/>
                <w:color w:val="FFFFFF"/>
                <w:szCs w:val="28"/>
                <w:lang w:eastAsia="en-US"/>
              </w:rPr>
            </w:pPr>
            <w:r>
              <w:rPr>
                <w:rFonts w:ascii="Arial Narrow" w:eastAsiaTheme="minorHAnsi" w:hAnsi="Arial Narrow" w:cs="Calibri"/>
                <w:b/>
                <w:color w:val="FFFFFF"/>
                <w:szCs w:val="28"/>
                <w:lang w:eastAsia="en-US"/>
              </w:rPr>
              <w:t>Κεντρικής</w:t>
            </w:r>
            <w:r w:rsidR="007921AC" w:rsidRPr="007921AC">
              <w:rPr>
                <w:rFonts w:ascii="Arial Narrow" w:eastAsiaTheme="minorHAnsi" w:hAnsi="Arial Narrow" w:cs="Calibri"/>
                <w:b/>
                <w:color w:val="FFFFFF"/>
                <w:szCs w:val="28"/>
                <w:lang w:eastAsia="en-US"/>
              </w:rPr>
              <w:t xml:space="preserve"> Κυβέρνησης (περιλαμβάνονται </w:t>
            </w:r>
            <w:r w:rsidR="00485DB7">
              <w:rPr>
                <w:rFonts w:ascii="Arial Narrow" w:eastAsiaTheme="minorHAnsi" w:hAnsi="Arial Narrow" w:cs="Calibri"/>
                <w:b/>
                <w:color w:val="FFFFFF"/>
                <w:szCs w:val="28"/>
                <w:lang w:eastAsia="en-US"/>
              </w:rPr>
              <w:t xml:space="preserve">οι </w:t>
            </w:r>
            <w:r w:rsidR="007921AC" w:rsidRPr="007921AC">
              <w:rPr>
                <w:rFonts w:ascii="Arial Narrow" w:eastAsiaTheme="minorHAnsi" w:hAnsi="Arial Narrow" w:cs="Calibri"/>
                <w:b/>
                <w:color w:val="FFFFFF"/>
                <w:szCs w:val="28"/>
                <w:lang w:eastAsia="en-US"/>
              </w:rPr>
              <w:t xml:space="preserve">ΑΔΑ και </w:t>
            </w:r>
            <w:r w:rsidR="00485DB7">
              <w:rPr>
                <w:rFonts w:ascii="Arial Narrow" w:eastAsiaTheme="minorHAnsi" w:hAnsi="Arial Narrow" w:cs="Calibri"/>
                <w:b/>
                <w:color w:val="FFFFFF"/>
                <w:szCs w:val="28"/>
                <w:lang w:eastAsia="en-US"/>
              </w:rPr>
              <w:t xml:space="preserve">το </w:t>
            </w:r>
            <w:r w:rsidR="007921AC" w:rsidRPr="007921AC">
              <w:rPr>
                <w:rFonts w:ascii="Arial Narrow" w:eastAsiaTheme="minorHAnsi" w:hAnsi="Arial Narrow" w:cs="Calibri"/>
                <w:b/>
                <w:color w:val="FFFFFF"/>
                <w:szCs w:val="28"/>
                <w:lang w:eastAsia="en-US"/>
              </w:rPr>
              <w:t>ΑΚΑΓΕ)</w:t>
            </w:r>
          </w:p>
          <w:p w:rsidR="007921AC" w:rsidRPr="007921AC" w:rsidRDefault="007921AC" w:rsidP="0030661C">
            <w:pPr>
              <w:autoSpaceDE w:val="0"/>
              <w:autoSpaceDN w:val="0"/>
              <w:adjustRightInd w:val="0"/>
              <w:jc w:val="center"/>
              <w:rPr>
                <w:rFonts w:ascii="Calibri" w:eastAsiaTheme="minorHAnsi" w:hAnsi="Calibri" w:cs="Calibri"/>
                <w:b/>
                <w:color w:val="FFFFFF"/>
                <w:szCs w:val="28"/>
                <w:lang w:eastAsia="en-US"/>
              </w:rPr>
            </w:pPr>
            <w:r w:rsidRPr="007921AC">
              <w:rPr>
                <w:rFonts w:ascii="Arial Narrow" w:eastAsiaTheme="minorHAnsi" w:hAnsi="Arial Narrow" w:cs="Calibri"/>
                <w:b/>
                <w:color w:val="FFFFFF"/>
                <w:szCs w:val="28"/>
                <w:lang w:eastAsia="en-US"/>
              </w:rPr>
              <w:t>(σε εκατ. ευρώ)</w:t>
            </w:r>
          </w:p>
        </w:tc>
      </w:tr>
      <w:tr w:rsidR="007921AC" w:rsidRPr="00E820AC" w:rsidTr="007921AC">
        <w:trPr>
          <w:trHeight w:val="227"/>
          <w:jc w:val="center"/>
        </w:trPr>
        <w:tc>
          <w:tcPr>
            <w:tcW w:w="4882" w:type="dxa"/>
            <w:tcBorders>
              <w:top w:val="nil"/>
              <w:left w:val="single" w:sz="6" w:space="0" w:color="auto"/>
              <w:bottom w:val="single" w:sz="6" w:space="0" w:color="auto"/>
              <w:right w:val="nil"/>
            </w:tcBorders>
            <w:shd w:val="solid" w:color="FFFFFF" w:fill="auto"/>
          </w:tcPr>
          <w:p w:rsidR="007921AC" w:rsidRPr="00E820AC" w:rsidRDefault="007921AC" w:rsidP="007921AC">
            <w:pPr>
              <w:autoSpaceDE w:val="0"/>
              <w:autoSpaceDN w:val="0"/>
              <w:adjustRightInd w:val="0"/>
              <w:jc w:val="right"/>
              <w:rPr>
                <w:rFonts w:ascii="Calibri" w:eastAsiaTheme="minorHAnsi" w:hAnsi="Calibri" w:cs="Calibri"/>
                <w:color w:val="000000"/>
                <w:sz w:val="22"/>
                <w:szCs w:val="22"/>
                <w:lang w:eastAsia="en-US"/>
              </w:rPr>
            </w:pPr>
          </w:p>
        </w:tc>
        <w:tc>
          <w:tcPr>
            <w:tcW w:w="1934" w:type="dxa"/>
            <w:tcBorders>
              <w:top w:val="nil"/>
              <w:left w:val="nil"/>
              <w:bottom w:val="single" w:sz="6" w:space="0" w:color="auto"/>
              <w:right w:val="nil"/>
            </w:tcBorders>
            <w:shd w:val="solid" w:color="FFFFFF" w:fill="auto"/>
          </w:tcPr>
          <w:p w:rsidR="007921AC" w:rsidRPr="00E820AC" w:rsidRDefault="007921AC" w:rsidP="007921AC">
            <w:pPr>
              <w:autoSpaceDE w:val="0"/>
              <w:autoSpaceDN w:val="0"/>
              <w:adjustRightInd w:val="0"/>
              <w:jc w:val="right"/>
              <w:rPr>
                <w:rFonts w:ascii="Calibri" w:eastAsiaTheme="minorHAnsi" w:hAnsi="Calibri" w:cs="Calibri"/>
                <w:color w:val="000000"/>
                <w:sz w:val="22"/>
                <w:szCs w:val="22"/>
                <w:lang w:eastAsia="en-US"/>
              </w:rPr>
            </w:pPr>
          </w:p>
        </w:tc>
        <w:tc>
          <w:tcPr>
            <w:tcW w:w="1934" w:type="dxa"/>
            <w:tcBorders>
              <w:top w:val="nil"/>
              <w:left w:val="nil"/>
              <w:bottom w:val="single" w:sz="6" w:space="0" w:color="auto"/>
              <w:right w:val="single" w:sz="6" w:space="0" w:color="auto"/>
            </w:tcBorders>
            <w:shd w:val="solid" w:color="FFFFFF" w:fill="auto"/>
          </w:tcPr>
          <w:p w:rsidR="007921AC" w:rsidRPr="00E820AC" w:rsidRDefault="007921AC" w:rsidP="007921AC">
            <w:pPr>
              <w:autoSpaceDE w:val="0"/>
              <w:autoSpaceDN w:val="0"/>
              <w:adjustRightInd w:val="0"/>
              <w:jc w:val="right"/>
              <w:rPr>
                <w:rFonts w:ascii="Calibri" w:eastAsiaTheme="minorHAnsi" w:hAnsi="Calibri" w:cs="Calibri"/>
                <w:color w:val="000000"/>
                <w:sz w:val="22"/>
                <w:szCs w:val="22"/>
                <w:lang w:eastAsia="en-US"/>
              </w:rPr>
            </w:pPr>
          </w:p>
        </w:tc>
      </w:tr>
      <w:tr w:rsidR="007921AC" w:rsidRPr="00E820AC" w:rsidTr="007921AC">
        <w:trPr>
          <w:trHeight w:val="227"/>
          <w:jc w:val="center"/>
        </w:trPr>
        <w:tc>
          <w:tcPr>
            <w:tcW w:w="4882" w:type="dxa"/>
            <w:tcBorders>
              <w:top w:val="single" w:sz="6" w:space="0" w:color="auto"/>
              <w:left w:val="single" w:sz="6" w:space="0" w:color="auto"/>
              <w:bottom w:val="nil"/>
              <w:right w:val="single" w:sz="6" w:space="0" w:color="auto"/>
            </w:tcBorders>
            <w:vAlign w:val="center"/>
          </w:tcPr>
          <w:p w:rsidR="007921AC" w:rsidRDefault="007921AC" w:rsidP="007921AC">
            <w:pPr>
              <w:rPr>
                <w:rFonts w:ascii="Arial Greek" w:hAnsi="Arial Greek" w:cs="Arial Greek"/>
                <w:b/>
                <w:bCs/>
                <w:sz w:val="16"/>
                <w:szCs w:val="16"/>
              </w:rPr>
            </w:pPr>
            <w:r>
              <w:rPr>
                <w:rFonts w:ascii="Arial Greek" w:hAnsi="Arial Greek" w:cs="Arial Greek"/>
                <w:b/>
                <w:bCs/>
                <w:sz w:val="16"/>
                <w:szCs w:val="16"/>
              </w:rPr>
              <w:t> </w:t>
            </w:r>
          </w:p>
        </w:tc>
        <w:tc>
          <w:tcPr>
            <w:tcW w:w="1934" w:type="dxa"/>
            <w:tcBorders>
              <w:top w:val="single" w:sz="6" w:space="0" w:color="auto"/>
              <w:left w:val="single" w:sz="6" w:space="0" w:color="auto"/>
              <w:bottom w:val="single" w:sz="6" w:space="0" w:color="auto"/>
              <w:right w:val="single" w:sz="6" w:space="0" w:color="auto"/>
            </w:tcBorders>
            <w:vAlign w:val="bottom"/>
          </w:tcPr>
          <w:p w:rsidR="007921AC" w:rsidRDefault="007921AC" w:rsidP="007921AC">
            <w:pPr>
              <w:jc w:val="center"/>
              <w:rPr>
                <w:rFonts w:ascii="Arial Narrow" w:hAnsi="Arial Narrow"/>
                <w:b/>
                <w:bCs/>
                <w:color w:val="000000"/>
                <w:sz w:val="16"/>
                <w:szCs w:val="16"/>
              </w:rPr>
            </w:pPr>
            <w:r>
              <w:rPr>
                <w:rFonts w:ascii="Arial Narrow" w:hAnsi="Arial Narrow"/>
                <w:b/>
                <w:bCs/>
                <w:color w:val="000000"/>
                <w:sz w:val="16"/>
                <w:szCs w:val="16"/>
              </w:rPr>
              <w:t>201</w:t>
            </w:r>
            <w:r w:rsidR="003811B8">
              <w:rPr>
                <w:rFonts w:ascii="Arial Narrow" w:hAnsi="Arial Narrow"/>
                <w:b/>
                <w:bCs/>
                <w:color w:val="000000"/>
                <w:sz w:val="16"/>
                <w:szCs w:val="16"/>
              </w:rPr>
              <w:t>8</w:t>
            </w:r>
          </w:p>
        </w:tc>
        <w:tc>
          <w:tcPr>
            <w:tcW w:w="1934" w:type="dxa"/>
            <w:tcBorders>
              <w:top w:val="single" w:sz="6" w:space="0" w:color="auto"/>
              <w:left w:val="single" w:sz="6" w:space="0" w:color="auto"/>
              <w:bottom w:val="single" w:sz="6" w:space="0" w:color="auto"/>
              <w:right w:val="single" w:sz="6" w:space="0" w:color="auto"/>
            </w:tcBorders>
            <w:vAlign w:val="bottom"/>
          </w:tcPr>
          <w:p w:rsidR="007921AC" w:rsidRDefault="007921AC" w:rsidP="007921AC">
            <w:pPr>
              <w:jc w:val="center"/>
              <w:rPr>
                <w:rFonts w:ascii="Arial Narrow" w:hAnsi="Arial Narrow"/>
                <w:b/>
                <w:bCs/>
                <w:color w:val="000000"/>
                <w:sz w:val="16"/>
                <w:szCs w:val="16"/>
              </w:rPr>
            </w:pPr>
            <w:r>
              <w:rPr>
                <w:rFonts w:ascii="Arial Narrow" w:hAnsi="Arial Narrow"/>
                <w:b/>
                <w:bCs/>
                <w:color w:val="000000"/>
                <w:sz w:val="16"/>
                <w:szCs w:val="16"/>
              </w:rPr>
              <w:t>201</w:t>
            </w:r>
            <w:r w:rsidR="003811B8">
              <w:rPr>
                <w:rFonts w:ascii="Arial Narrow" w:hAnsi="Arial Narrow"/>
                <w:b/>
                <w:bCs/>
                <w:color w:val="000000"/>
                <w:sz w:val="16"/>
                <w:szCs w:val="16"/>
              </w:rPr>
              <w:t>9</w:t>
            </w:r>
          </w:p>
        </w:tc>
      </w:tr>
      <w:tr w:rsidR="007921AC" w:rsidRPr="00E820AC" w:rsidTr="007921AC">
        <w:trPr>
          <w:trHeight w:val="227"/>
          <w:jc w:val="center"/>
        </w:trPr>
        <w:tc>
          <w:tcPr>
            <w:tcW w:w="4882" w:type="dxa"/>
            <w:tcBorders>
              <w:top w:val="nil"/>
              <w:left w:val="single" w:sz="6" w:space="0" w:color="auto"/>
              <w:bottom w:val="single" w:sz="6" w:space="0" w:color="auto"/>
              <w:right w:val="single" w:sz="6" w:space="0" w:color="auto"/>
            </w:tcBorders>
            <w:vAlign w:val="center"/>
          </w:tcPr>
          <w:p w:rsidR="007921AC" w:rsidRDefault="007921AC" w:rsidP="007921AC">
            <w:pPr>
              <w:rPr>
                <w:rFonts w:ascii="Arial Greek" w:hAnsi="Arial Greek" w:cs="Arial Greek"/>
                <w:b/>
                <w:bCs/>
                <w:sz w:val="16"/>
                <w:szCs w:val="16"/>
              </w:rPr>
            </w:pPr>
            <w:r>
              <w:rPr>
                <w:rFonts w:ascii="Arial Greek" w:hAnsi="Arial Greek" w:cs="Arial Greek"/>
                <w:b/>
                <w:bCs/>
                <w:sz w:val="16"/>
                <w:szCs w:val="16"/>
              </w:rPr>
              <w:t> </w:t>
            </w:r>
          </w:p>
        </w:tc>
        <w:tc>
          <w:tcPr>
            <w:tcW w:w="1934" w:type="dxa"/>
            <w:tcBorders>
              <w:top w:val="single" w:sz="6" w:space="0" w:color="auto"/>
              <w:left w:val="single" w:sz="6" w:space="0" w:color="auto"/>
              <w:bottom w:val="single" w:sz="6" w:space="0" w:color="auto"/>
              <w:right w:val="single" w:sz="6" w:space="0" w:color="auto"/>
            </w:tcBorders>
            <w:vAlign w:val="center"/>
          </w:tcPr>
          <w:p w:rsidR="007921AC" w:rsidRDefault="007921AC" w:rsidP="007921AC">
            <w:pPr>
              <w:jc w:val="center"/>
              <w:rPr>
                <w:rFonts w:ascii="Arial Narrow" w:hAnsi="Arial Narrow"/>
                <w:b/>
                <w:bCs/>
                <w:color w:val="000000"/>
                <w:sz w:val="16"/>
                <w:szCs w:val="16"/>
              </w:rPr>
            </w:pPr>
            <w:r>
              <w:rPr>
                <w:rFonts w:ascii="Arial Narrow" w:hAnsi="Arial Narrow"/>
                <w:b/>
                <w:bCs/>
                <w:color w:val="000000"/>
                <w:sz w:val="16"/>
                <w:szCs w:val="16"/>
              </w:rPr>
              <w:t>Εκτιμήσεις</w:t>
            </w:r>
          </w:p>
        </w:tc>
        <w:tc>
          <w:tcPr>
            <w:tcW w:w="1934" w:type="dxa"/>
            <w:tcBorders>
              <w:top w:val="single" w:sz="6" w:space="0" w:color="auto"/>
              <w:left w:val="single" w:sz="6" w:space="0" w:color="auto"/>
              <w:bottom w:val="single" w:sz="6" w:space="0" w:color="auto"/>
              <w:right w:val="single" w:sz="6" w:space="0" w:color="auto"/>
            </w:tcBorders>
            <w:vAlign w:val="center"/>
          </w:tcPr>
          <w:p w:rsidR="007921AC" w:rsidRDefault="007921AC" w:rsidP="007921AC">
            <w:pPr>
              <w:jc w:val="center"/>
              <w:rPr>
                <w:rFonts w:ascii="Arial Narrow" w:hAnsi="Arial Narrow"/>
                <w:b/>
                <w:bCs/>
                <w:color w:val="000000"/>
                <w:sz w:val="16"/>
                <w:szCs w:val="16"/>
              </w:rPr>
            </w:pPr>
            <w:r>
              <w:rPr>
                <w:rFonts w:ascii="Arial Narrow" w:hAnsi="Arial Narrow"/>
                <w:b/>
                <w:bCs/>
                <w:color w:val="000000"/>
                <w:sz w:val="16"/>
                <w:szCs w:val="16"/>
              </w:rPr>
              <w:t>Προβλέψεις</w:t>
            </w:r>
          </w:p>
        </w:tc>
      </w:tr>
      <w:tr w:rsidR="00A07CAB" w:rsidRPr="00E820AC" w:rsidTr="007921AC">
        <w:trPr>
          <w:trHeight w:val="227"/>
          <w:jc w:val="center"/>
        </w:trPr>
        <w:tc>
          <w:tcPr>
            <w:tcW w:w="4882" w:type="dxa"/>
            <w:tcBorders>
              <w:top w:val="single" w:sz="6" w:space="0" w:color="auto"/>
              <w:left w:val="single" w:sz="6" w:space="0" w:color="auto"/>
              <w:bottom w:val="nil"/>
              <w:right w:val="nil"/>
            </w:tcBorders>
            <w:shd w:val="solid" w:color="C0C0C0" w:fill="auto"/>
            <w:vAlign w:val="center"/>
          </w:tcPr>
          <w:p w:rsidR="00A07CAB" w:rsidRDefault="00A07CAB" w:rsidP="009A21A9">
            <w:pPr>
              <w:rPr>
                <w:rFonts w:ascii="Arial Narrow" w:hAnsi="Arial Narrow"/>
                <w:b/>
                <w:bCs/>
                <w:sz w:val="16"/>
                <w:szCs w:val="16"/>
              </w:rPr>
            </w:pPr>
            <w:r>
              <w:rPr>
                <w:rFonts w:ascii="Arial Narrow" w:hAnsi="Arial Narrow"/>
                <w:b/>
                <w:bCs/>
                <w:sz w:val="16"/>
                <w:szCs w:val="16"/>
              </w:rPr>
              <w:t xml:space="preserve">Έσοδα </w:t>
            </w:r>
          </w:p>
        </w:tc>
        <w:tc>
          <w:tcPr>
            <w:tcW w:w="1934" w:type="dxa"/>
            <w:tcBorders>
              <w:top w:val="single" w:sz="6" w:space="0" w:color="auto"/>
              <w:left w:val="nil"/>
              <w:bottom w:val="nil"/>
              <w:right w:val="nil"/>
            </w:tcBorders>
            <w:shd w:val="solid" w:color="C0C0C0" w:fill="auto"/>
            <w:vAlign w:val="center"/>
          </w:tcPr>
          <w:p w:rsidR="00A07CAB" w:rsidRDefault="00A07CAB" w:rsidP="00A07CAB">
            <w:pPr>
              <w:ind w:right="794"/>
              <w:jc w:val="right"/>
              <w:rPr>
                <w:rFonts w:ascii="Arial Narrow" w:hAnsi="Arial Narrow"/>
                <w:b/>
                <w:bCs/>
                <w:color w:val="000000"/>
                <w:sz w:val="16"/>
                <w:szCs w:val="16"/>
              </w:rPr>
            </w:pPr>
            <w:r>
              <w:rPr>
                <w:rFonts w:ascii="Arial Narrow" w:hAnsi="Arial Narrow"/>
                <w:b/>
                <w:bCs/>
                <w:color w:val="000000"/>
                <w:sz w:val="16"/>
                <w:szCs w:val="16"/>
              </w:rPr>
              <w:t>5.887</w:t>
            </w:r>
          </w:p>
        </w:tc>
        <w:tc>
          <w:tcPr>
            <w:tcW w:w="1934" w:type="dxa"/>
            <w:tcBorders>
              <w:top w:val="single" w:sz="6" w:space="0" w:color="auto"/>
              <w:left w:val="nil"/>
              <w:bottom w:val="nil"/>
              <w:right w:val="single" w:sz="6" w:space="0" w:color="auto"/>
            </w:tcBorders>
            <w:shd w:val="solid" w:color="C0C0C0" w:fill="auto"/>
            <w:vAlign w:val="center"/>
          </w:tcPr>
          <w:p w:rsidR="00A07CAB" w:rsidRDefault="00A07CAB" w:rsidP="00A07CAB">
            <w:pPr>
              <w:ind w:right="794"/>
              <w:jc w:val="right"/>
              <w:rPr>
                <w:rFonts w:ascii="Arial Narrow" w:hAnsi="Arial Narrow"/>
                <w:b/>
                <w:bCs/>
                <w:color w:val="000000"/>
                <w:sz w:val="16"/>
                <w:szCs w:val="16"/>
              </w:rPr>
            </w:pPr>
            <w:r>
              <w:rPr>
                <w:rFonts w:ascii="Arial Narrow" w:hAnsi="Arial Narrow"/>
                <w:b/>
                <w:bCs/>
                <w:color w:val="000000"/>
                <w:sz w:val="16"/>
                <w:szCs w:val="16"/>
              </w:rPr>
              <w:t>6.082</w:t>
            </w:r>
          </w:p>
        </w:tc>
      </w:tr>
      <w:tr w:rsidR="00A07CAB"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A07CAB" w:rsidRDefault="00A07CAB" w:rsidP="007921AC">
            <w:pPr>
              <w:rPr>
                <w:rFonts w:ascii="Arial Narrow" w:hAnsi="Arial Narrow"/>
                <w:sz w:val="16"/>
                <w:szCs w:val="16"/>
              </w:rPr>
            </w:pPr>
            <w:r>
              <w:rPr>
                <w:rFonts w:ascii="Arial Narrow" w:hAnsi="Arial Narrow"/>
                <w:sz w:val="16"/>
                <w:szCs w:val="16"/>
              </w:rPr>
              <w:t>Έσοδα υπέρ τρίτων</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69</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77</w:t>
            </w:r>
          </w:p>
        </w:tc>
      </w:tr>
      <w:tr w:rsidR="00A07CAB"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A07CAB" w:rsidRDefault="00A07CAB" w:rsidP="007921AC">
            <w:pPr>
              <w:rPr>
                <w:rFonts w:ascii="Arial Narrow" w:hAnsi="Arial Narrow"/>
                <w:sz w:val="16"/>
                <w:szCs w:val="16"/>
              </w:rPr>
            </w:pPr>
            <w:r>
              <w:rPr>
                <w:rFonts w:ascii="Arial Narrow" w:hAnsi="Arial Narrow"/>
                <w:sz w:val="16"/>
                <w:szCs w:val="16"/>
              </w:rPr>
              <w:t>Πωλήσεις</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474</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481</w:t>
            </w:r>
          </w:p>
        </w:tc>
      </w:tr>
      <w:tr w:rsidR="00A07CAB"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A07CAB" w:rsidRPr="00215212" w:rsidRDefault="00A07CAB" w:rsidP="007921AC">
            <w:pPr>
              <w:rPr>
                <w:rFonts w:ascii="Arial Narrow" w:hAnsi="Arial Narrow"/>
                <w:sz w:val="16"/>
                <w:szCs w:val="16"/>
                <w:vertAlign w:val="superscript"/>
              </w:rPr>
            </w:pPr>
            <w:r>
              <w:rPr>
                <w:rFonts w:ascii="Arial Narrow" w:hAnsi="Arial Narrow"/>
                <w:sz w:val="16"/>
                <w:szCs w:val="16"/>
              </w:rPr>
              <w:t>Έσοδα από τόκους</w:t>
            </w:r>
            <w:r w:rsidR="00C20024">
              <w:rPr>
                <w:rFonts w:ascii="Arial Narrow" w:hAnsi="Arial Narrow"/>
                <w:sz w:val="16"/>
                <w:szCs w:val="16"/>
                <w:vertAlign w:val="superscript"/>
              </w:rPr>
              <w:t>1</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488</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448</w:t>
            </w:r>
          </w:p>
        </w:tc>
      </w:tr>
      <w:tr w:rsidR="00A07CAB"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A07CAB" w:rsidRDefault="00A07CAB" w:rsidP="007921AC">
            <w:pPr>
              <w:rPr>
                <w:rFonts w:ascii="Arial Narrow" w:hAnsi="Arial Narrow"/>
                <w:sz w:val="16"/>
                <w:szCs w:val="16"/>
              </w:rPr>
            </w:pPr>
            <w:r>
              <w:rPr>
                <w:rFonts w:ascii="Arial Narrow" w:hAnsi="Arial Narrow"/>
                <w:sz w:val="16"/>
                <w:szCs w:val="16"/>
              </w:rPr>
              <w:t>Μεταβιβάσεις από Τακτικό Προϋπολογισμό</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1.369</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1.401</w:t>
            </w:r>
          </w:p>
        </w:tc>
      </w:tr>
      <w:tr w:rsidR="00A07CAB"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A07CAB" w:rsidRDefault="00A07CAB" w:rsidP="007921AC">
            <w:pPr>
              <w:rPr>
                <w:rFonts w:ascii="Arial Narrow" w:hAnsi="Arial Narrow"/>
                <w:sz w:val="16"/>
                <w:szCs w:val="16"/>
              </w:rPr>
            </w:pPr>
            <w:r>
              <w:rPr>
                <w:rFonts w:ascii="Arial Narrow" w:hAnsi="Arial Narrow"/>
                <w:sz w:val="16"/>
                <w:szCs w:val="16"/>
              </w:rPr>
              <w:t>Μεταβιβάσεις από ΠΔΕ</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419</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489</w:t>
            </w:r>
          </w:p>
        </w:tc>
      </w:tr>
      <w:tr w:rsidR="00A07CAB"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A07CAB" w:rsidRDefault="00A07CAB" w:rsidP="007921AC">
            <w:pPr>
              <w:rPr>
                <w:rFonts w:ascii="Arial Narrow" w:hAnsi="Arial Narrow"/>
                <w:sz w:val="16"/>
                <w:szCs w:val="16"/>
              </w:rPr>
            </w:pPr>
            <w:r>
              <w:rPr>
                <w:rFonts w:ascii="Arial Narrow" w:hAnsi="Arial Narrow"/>
                <w:sz w:val="16"/>
                <w:szCs w:val="16"/>
              </w:rPr>
              <w:t>Λοιπά έσοδα</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3.068</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3.186</w:t>
            </w:r>
          </w:p>
        </w:tc>
      </w:tr>
      <w:tr w:rsidR="00A07CAB" w:rsidRPr="00E820AC" w:rsidTr="007921AC">
        <w:trPr>
          <w:trHeight w:val="227"/>
          <w:jc w:val="center"/>
        </w:trPr>
        <w:tc>
          <w:tcPr>
            <w:tcW w:w="4882" w:type="dxa"/>
            <w:tcBorders>
              <w:top w:val="nil"/>
              <w:left w:val="single" w:sz="6" w:space="0" w:color="auto"/>
              <w:bottom w:val="nil"/>
              <w:right w:val="nil"/>
            </w:tcBorders>
            <w:shd w:val="solid" w:color="C0C0C0" w:fill="auto"/>
            <w:vAlign w:val="center"/>
          </w:tcPr>
          <w:p w:rsidR="00A07CAB" w:rsidRDefault="00A07CAB" w:rsidP="009A21A9">
            <w:pPr>
              <w:rPr>
                <w:rFonts w:ascii="Arial Narrow" w:hAnsi="Arial Narrow"/>
                <w:b/>
                <w:bCs/>
                <w:sz w:val="16"/>
                <w:szCs w:val="16"/>
              </w:rPr>
            </w:pPr>
            <w:r>
              <w:rPr>
                <w:rFonts w:ascii="Arial Narrow" w:hAnsi="Arial Narrow"/>
                <w:b/>
                <w:bCs/>
                <w:sz w:val="16"/>
                <w:szCs w:val="16"/>
              </w:rPr>
              <w:t xml:space="preserve">Δαπάνες </w:t>
            </w:r>
          </w:p>
        </w:tc>
        <w:tc>
          <w:tcPr>
            <w:tcW w:w="1934" w:type="dxa"/>
            <w:tcBorders>
              <w:top w:val="nil"/>
              <w:left w:val="nil"/>
              <w:bottom w:val="nil"/>
              <w:right w:val="nil"/>
            </w:tcBorders>
            <w:shd w:val="solid" w:color="C0C0C0" w:fill="auto"/>
            <w:vAlign w:val="center"/>
          </w:tcPr>
          <w:p w:rsidR="00A07CAB" w:rsidRDefault="00A07CAB" w:rsidP="00A07CAB">
            <w:pPr>
              <w:ind w:right="794"/>
              <w:jc w:val="right"/>
              <w:rPr>
                <w:rFonts w:ascii="Arial Narrow" w:hAnsi="Arial Narrow"/>
                <w:b/>
                <w:bCs/>
                <w:color w:val="000000"/>
                <w:sz w:val="16"/>
                <w:szCs w:val="16"/>
              </w:rPr>
            </w:pPr>
            <w:r>
              <w:rPr>
                <w:rFonts w:ascii="Arial Narrow" w:hAnsi="Arial Narrow"/>
                <w:b/>
                <w:bCs/>
                <w:color w:val="000000"/>
                <w:sz w:val="16"/>
                <w:szCs w:val="16"/>
              </w:rPr>
              <w:t>4.304</w:t>
            </w:r>
          </w:p>
        </w:tc>
        <w:tc>
          <w:tcPr>
            <w:tcW w:w="1934" w:type="dxa"/>
            <w:tcBorders>
              <w:top w:val="nil"/>
              <w:left w:val="nil"/>
              <w:bottom w:val="nil"/>
              <w:right w:val="single" w:sz="6" w:space="0" w:color="auto"/>
            </w:tcBorders>
            <w:shd w:val="solid" w:color="C0C0C0" w:fill="auto"/>
            <w:vAlign w:val="center"/>
          </w:tcPr>
          <w:p w:rsidR="00A07CAB" w:rsidRDefault="00A07CAB" w:rsidP="00A07CAB">
            <w:pPr>
              <w:ind w:right="794"/>
              <w:jc w:val="right"/>
              <w:rPr>
                <w:rFonts w:ascii="Arial Narrow" w:hAnsi="Arial Narrow"/>
                <w:b/>
                <w:bCs/>
                <w:color w:val="000000"/>
                <w:sz w:val="16"/>
                <w:szCs w:val="16"/>
              </w:rPr>
            </w:pPr>
            <w:r>
              <w:rPr>
                <w:rFonts w:ascii="Arial Narrow" w:hAnsi="Arial Narrow"/>
                <w:b/>
                <w:bCs/>
                <w:color w:val="000000"/>
                <w:sz w:val="16"/>
                <w:szCs w:val="16"/>
              </w:rPr>
              <w:t>4.284</w:t>
            </w:r>
          </w:p>
        </w:tc>
      </w:tr>
      <w:tr w:rsidR="00A07CAB" w:rsidRPr="00E820AC" w:rsidTr="007921AC">
        <w:trPr>
          <w:trHeight w:val="227"/>
          <w:jc w:val="center"/>
        </w:trPr>
        <w:tc>
          <w:tcPr>
            <w:tcW w:w="4882" w:type="dxa"/>
            <w:tcBorders>
              <w:top w:val="nil"/>
              <w:left w:val="single" w:sz="6" w:space="0" w:color="auto"/>
              <w:bottom w:val="nil"/>
              <w:right w:val="nil"/>
            </w:tcBorders>
            <w:shd w:val="solid" w:color="FFFFFF" w:fill="auto"/>
            <w:vAlign w:val="center"/>
          </w:tcPr>
          <w:p w:rsidR="00A07CAB" w:rsidRDefault="00A07CAB" w:rsidP="007921AC">
            <w:pPr>
              <w:rPr>
                <w:rFonts w:ascii="Arial Narrow" w:hAnsi="Arial Narrow"/>
                <w:sz w:val="16"/>
                <w:szCs w:val="16"/>
              </w:rPr>
            </w:pPr>
            <w:r>
              <w:rPr>
                <w:rFonts w:ascii="Arial Narrow" w:hAnsi="Arial Narrow"/>
                <w:sz w:val="16"/>
                <w:szCs w:val="16"/>
              </w:rPr>
              <w:t>Αμοιβές προσωπικού</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611</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661</w:t>
            </w:r>
          </w:p>
        </w:tc>
      </w:tr>
      <w:tr w:rsidR="00A07CAB" w:rsidRPr="00E820AC" w:rsidTr="007921AC">
        <w:trPr>
          <w:trHeight w:val="227"/>
          <w:jc w:val="center"/>
        </w:trPr>
        <w:tc>
          <w:tcPr>
            <w:tcW w:w="4882" w:type="dxa"/>
            <w:tcBorders>
              <w:top w:val="nil"/>
              <w:left w:val="single" w:sz="6" w:space="0" w:color="auto"/>
              <w:bottom w:val="nil"/>
              <w:right w:val="nil"/>
            </w:tcBorders>
            <w:vAlign w:val="center"/>
          </w:tcPr>
          <w:p w:rsidR="00A07CAB" w:rsidRDefault="00A07CAB" w:rsidP="007921AC">
            <w:pPr>
              <w:rPr>
                <w:rFonts w:ascii="Arial Narrow" w:hAnsi="Arial Narrow"/>
                <w:sz w:val="16"/>
                <w:szCs w:val="16"/>
              </w:rPr>
            </w:pPr>
            <w:r>
              <w:rPr>
                <w:rFonts w:ascii="Arial Narrow" w:hAnsi="Arial Narrow"/>
                <w:sz w:val="16"/>
                <w:szCs w:val="16"/>
              </w:rPr>
              <w:t>Αποδόσεις εσόδων υπέρ τρίτων</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77</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86</w:t>
            </w:r>
          </w:p>
        </w:tc>
      </w:tr>
      <w:tr w:rsidR="00A07CAB" w:rsidRPr="00E820AC" w:rsidTr="007921AC">
        <w:trPr>
          <w:trHeight w:val="227"/>
          <w:jc w:val="center"/>
        </w:trPr>
        <w:tc>
          <w:tcPr>
            <w:tcW w:w="4882" w:type="dxa"/>
            <w:tcBorders>
              <w:top w:val="nil"/>
              <w:left w:val="single" w:sz="6" w:space="0" w:color="auto"/>
              <w:bottom w:val="nil"/>
              <w:right w:val="nil"/>
            </w:tcBorders>
            <w:vAlign w:val="center"/>
          </w:tcPr>
          <w:p w:rsidR="00A07CAB" w:rsidRDefault="00A07CAB" w:rsidP="007921AC">
            <w:pPr>
              <w:rPr>
                <w:rFonts w:ascii="Arial Narrow" w:hAnsi="Arial Narrow"/>
                <w:sz w:val="16"/>
                <w:szCs w:val="16"/>
              </w:rPr>
            </w:pPr>
            <w:r>
              <w:rPr>
                <w:rFonts w:ascii="Arial Narrow" w:hAnsi="Arial Narrow"/>
                <w:sz w:val="16"/>
                <w:szCs w:val="16"/>
              </w:rPr>
              <w:t>Λοιπές μεταβιβάσεις</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681</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270</w:t>
            </w:r>
          </w:p>
        </w:tc>
      </w:tr>
      <w:tr w:rsidR="00A07CAB" w:rsidRPr="00E820AC" w:rsidTr="007921AC">
        <w:trPr>
          <w:trHeight w:val="227"/>
          <w:jc w:val="center"/>
        </w:trPr>
        <w:tc>
          <w:tcPr>
            <w:tcW w:w="4882" w:type="dxa"/>
            <w:tcBorders>
              <w:top w:val="nil"/>
              <w:left w:val="single" w:sz="6" w:space="0" w:color="auto"/>
              <w:bottom w:val="nil"/>
              <w:right w:val="nil"/>
            </w:tcBorders>
            <w:vAlign w:val="center"/>
          </w:tcPr>
          <w:p w:rsidR="00A07CAB" w:rsidRDefault="00A07CAB" w:rsidP="007921AC">
            <w:pPr>
              <w:rPr>
                <w:rFonts w:ascii="Arial Narrow" w:hAnsi="Arial Narrow"/>
                <w:sz w:val="16"/>
                <w:szCs w:val="16"/>
              </w:rPr>
            </w:pPr>
            <w:r>
              <w:rPr>
                <w:rFonts w:ascii="Arial Narrow" w:hAnsi="Arial Narrow"/>
                <w:sz w:val="16"/>
                <w:szCs w:val="16"/>
              </w:rPr>
              <w:t>Τόκοι</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140</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141</w:t>
            </w:r>
          </w:p>
        </w:tc>
      </w:tr>
      <w:tr w:rsidR="00A07CAB" w:rsidRPr="00E820AC" w:rsidTr="007921AC">
        <w:trPr>
          <w:trHeight w:val="227"/>
          <w:jc w:val="center"/>
        </w:trPr>
        <w:tc>
          <w:tcPr>
            <w:tcW w:w="4882" w:type="dxa"/>
            <w:tcBorders>
              <w:top w:val="nil"/>
              <w:left w:val="single" w:sz="6" w:space="0" w:color="auto"/>
              <w:bottom w:val="nil"/>
              <w:right w:val="nil"/>
            </w:tcBorders>
            <w:vAlign w:val="center"/>
          </w:tcPr>
          <w:p w:rsidR="00A07CAB" w:rsidRDefault="00A07CAB" w:rsidP="007921AC">
            <w:pPr>
              <w:rPr>
                <w:rFonts w:ascii="Arial Narrow" w:hAnsi="Arial Narrow"/>
                <w:sz w:val="16"/>
                <w:szCs w:val="16"/>
              </w:rPr>
            </w:pPr>
            <w:r>
              <w:rPr>
                <w:rFonts w:ascii="Arial Narrow" w:hAnsi="Arial Narrow"/>
                <w:sz w:val="16"/>
                <w:szCs w:val="16"/>
              </w:rPr>
              <w:t>Δαπάνες επενδύσεων</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375</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534</w:t>
            </w:r>
          </w:p>
        </w:tc>
      </w:tr>
      <w:tr w:rsidR="00A07CAB" w:rsidRPr="00E820AC" w:rsidTr="007921AC">
        <w:trPr>
          <w:trHeight w:val="227"/>
          <w:jc w:val="center"/>
        </w:trPr>
        <w:tc>
          <w:tcPr>
            <w:tcW w:w="4882" w:type="dxa"/>
            <w:tcBorders>
              <w:top w:val="nil"/>
              <w:left w:val="single" w:sz="6" w:space="0" w:color="auto"/>
              <w:bottom w:val="nil"/>
              <w:right w:val="nil"/>
            </w:tcBorders>
            <w:vAlign w:val="center"/>
          </w:tcPr>
          <w:p w:rsidR="00A07CAB" w:rsidRPr="00C20024" w:rsidRDefault="00A07CAB" w:rsidP="007921AC">
            <w:pPr>
              <w:rPr>
                <w:rFonts w:ascii="Arial Narrow" w:hAnsi="Arial Narrow"/>
                <w:sz w:val="16"/>
                <w:szCs w:val="16"/>
                <w:vertAlign w:val="superscript"/>
              </w:rPr>
            </w:pPr>
            <w:r>
              <w:rPr>
                <w:rFonts w:ascii="Arial Narrow" w:hAnsi="Arial Narrow"/>
                <w:sz w:val="16"/>
                <w:szCs w:val="16"/>
              </w:rPr>
              <w:t>Λοιπές δαπάνες</w:t>
            </w:r>
          </w:p>
        </w:tc>
        <w:tc>
          <w:tcPr>
            <w:tcW w:w="1934" w:type="dxa"/>
            <w:tcBorders>
              <w:top w:val="nil"/>
              <w:left w:val="nil"/>
              <w:bottom w:val="nil"/>
              <w:right w:val="nil"/>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2.420</w:t>
            </w:r>
          </w:p>
        </w:tc>
        <w:tc>
          <w:tcPr>
            <w:tcW w:w="1934" w:type="dxa"/>
            <w:tcBorders>
              <w:top w:val="nil"/>
              <w:left w:val="nil"/>
              <w:bottom w:val="nil"/>
              <w:right w:val="single" w:sz="6" w:space="0" w:color="auto"/>
            </w:tcBorders>
            <w:shd w:val="solid" w:color="FFFFFF"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2.593</w:t>
            </w:r>
          </w:p>
        </w:tc>
      </w:tr>
      <w:tr w:rsidR="00A07CAB" w:rsidRPr="00E820AC" w:rsidTr="007921AC">
        <w:trPr>
          <w:trHeight w:val="227"/>
          <w:jc w:val="center"/>
        </w:trPr>
        <w:tc>
          <w:tcPr>
            <w:tcW w:w="4882" w:type="dxa"/>
            <w:tcBorders>
              <w:top w:val="nil"/>
              <w:left w:val="single" w:sz="6" w:space="0" w:color="auto"/>
              <w:bottom w:val="nil"/>
              <w:right w:val="nil"/>
            </w:tcBorders>
            <w:shd w:val="solid" w:color="C0C0C0" w:fill="auto"/>
            <w:vAlign w:val="center"/>
          </w:tcPr>
          <w:p w:rsidR="00A07CAB" w:rsidRDefault="00A07CAB" w:rsidP="009A21A9">
            <w:pPr>
              <w:rPr>
                <w:rFonts w:ascii="Arial Narrow" w:hAnsi="Arial Narrow"/>
                <w:b/>
                <w:bCs/>
                <w:sz w:val="16"/>
                <w:szCs w:val="16"/>
              </w:rPr>
            </w:pPr>
            <w:r>
              <w:rPr>
                <w:rFonts w:ascii="Arial Narrow" w:hAnsi="Arial Narrow"/>
                <w:b/>
                <w:bCs/>
                <w:sz w:val="16"/>
                <w:szCs w:val="16"/>
              </w:rPr>
              <w:t xml:space="preserve">Ισοζύγιο </w:t>
            </w:r>
          </w:p>
        </w:tc>
        <w:tc>
          <w:tcPr>
            <w:tcW w:w="1934" w:type="dxa"/>
            <w:tcBorders>
              <w:top w:val="nil"/>
              <w:left w:val="nil"/>
              <w:bottom w:val="nil"/>
              <w:right w:val="nil"/>
            </w:tcBorders>
            <w:shd w:val="solid" w:color="C0C0C0" w:fill="auto"/>
            <w:vAlign w:val="center"/>
          </w:tcPr>
          <w:p w:rsidR="00A07CAB" w:rsidRDefault="00A07CAB" w:rsidP="00A07CAB">
            <w:pPr>
              <w:ind w:right="794"/>
              <w:jc w:val="right"/>
              <w:rPr>
                <w:rFonts w:ascii="Arial Narrow" w:hAnsi="Arial Narrow"/>
                <w:b/>
                <w:bCs/>
                <w:color w:val="000000"/>
                <w:sz w:val="16"/>
                <w:szCs w:val="16"/>
              </w:rPr>
            </w:pPr>
            <w:r>
              <w:rPr>
                <w:rFonts w:ascii="Arial Narrow" w:hAnsi="Arial Narrow"/>
                <w:b/>
                <w:bCs/>
                <w:color w:val="000000"/>
                <w:sz w:val="16"/>
                <w:szCs w:val="16"/>
              </w:rPr>
              <w:t>1.583</w:t>
            </w:r>
          </w:p>
        </w:tc>
        <w:tc>
          <w:tcPr>
            <w:tcW w:w="1934" w:type="dxa"/>
            <w:tcBorders>
              <w:top w:val="nil"/>
              <w:left w:val="nil"/>
              <w:bottom w:val="nil"/>
              <w:right w:val="single" w:sz="6" w:space="0" w:color="auto"/>
            </w:tcBorders>
            <w:shd w:val="solid" w:color="C0C0C0" w:fill="auto"/>
            <w:vAlign w:val="center"/>
          </w:tcPr>
          <w:p w:rsidR="00A07CAB" w:rsidRDefault="00A07CAB" w:rsidP="00A07CAB">
            <w:pPr>
              <w:ind w:right="794"/>
              <w:jc w:val="right"/>
              <w:rPr>
                <w:rFonts w:ascii="Arial Narrow" w:hAnsi="Arial Narrow"/>
                <w:b/>
                <w:bCs/>
                <w:color w:val="000000"/>
                <w:sz w:val="16"/>
                <w:szCs w:val="16"/>
              </w:rPr>
            </w:pPr>
            <w:r>
              <w:rPr>
                <w:rFonts w:ascii="Arial Narrow" w:hAnsi="Arial Narrow"/>
                <w:b/>
                <w:bCs/>
                <w:color w:val="000000"/>
                <w:sz w:val="16"/>
                <w:szCs w:val="16"/>
              </w:rPr>
              <w:t>1.798</w:t>
            </w:r>
          </w:p>
        </w:tc>
      </w:tr>
      <w:tr w:rsidR="00A07CAB" w:rsidRPr="00E820AC" w:rsidTr="009D1A1D">
        <w:trPr>
          <w:trHeight w:val="227"/>
          <w:jc w:val="center"/>
        </w:trPr>
        <w:tc>
          <w:tcPr>
            <w:tcW w:w="4882" w:type="dxa"/>
            <w:tcBorders>
              <w:top w:val="nil"/>
              <w:left w:val="single" w:sz="6" w:space="0" w:color="auto"/>
              <w:bottom w:val="nil"/>
              <w:right w:val="nil"/>
            </w:tcBorders>
            <w:shd w:val="solid" w:color="FFFFFF" w:fill="auto"/>
            <w:vAlign w:val="center"/>
          </w:tcPr>
          <w:p w:rsidR="00A07CAB" w:rsidRPr="003811B8" w:rsidRDefault="00A07CAB" w:rsidP="009A21A9">
            <w:pPr>
              <w:rPr>
                <w:rFonts w:ascii="Arial Narrow" w:hAnsi="Arial Narrow"/>
                <w:sz w:val="16"/>
                <w:szCs w:val="16"/>
                <w:vertAlign w:val="superscript"/>
              </w:rPr>
            </w:pPr>
            <w:r>
              <w:rPr>
                <w:rFonts w:ascii="Arial Narrow" w:hAnsi="Arial Narrow"/>
                <w:sz w:val="16"/>
                <w:szCs w:val="16"/>
              </w:rPr>
              <w:t>Μεταβολή απλήρωτων υποχρεώσεων</w:t>
            </w:r>
            <w:r w:rsidR="00C20024">
              <w:rPr>
                <w:rFonts w:ascii="Arial Narrow" w:hAnsi="Arial Narrow"/>
                <w:sz w:val="16"/>
                <w:szCs w:val="16"/>
                <w:vertAlign w:val="superscript"/>
              </w:rPr>
              <w:t>2</w:t>
            </w:r>
          </w:p>
        </w:tc>
        <w:tc>
          <w:tcPr>
            <w:tcW w:w="1934" w:type="dxa"/>
            <w:tcBorders>
              <w:top w:val="nil"/>
              <w:left w:val="nil"/>
              <w:bottom w:val="nil"/>
              <w:right w:val="nil"/>
            </w:tcBorders>
            <w:shd w:val="clear" w:color="auto"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-18</w:t>
            </w:r>
          </w:p>
        </w:tc>
        <w:tc>
          <w:tcPr>
            <w:tcW w:w="1934" w:type="dxa"/>
            <w:tcBorders>
              <w:top w:val="nil"/>
              <w:left w:val="nil"/>
              <w:bottom w:val="nil"/>
              <w:right w:val="single" w:sz="6" w:space="0" w:color="auto"/>
            </w:tcBorders>
            <w:shd w:val="clear" w:color="auto"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48</w:t>
            </w:r>
          </w:p>
        </w:tc>
      </w:tr>
      <w:tr w:rsidR="00A07CAB" w:rsidRPr="00E820AC" w:rsidTr="009D1A1D">
        <w:trPr>
          <w:trHeight w:val="227"/>
          <w:jc w:val="center"/>
        </w:trPr>
        <w:tc>
          <w:tcPr>
            <w:tcW w:w="4882" w:type="dxa"/>
            <w:tcBorders>
              <w:top w:val="nil"/>
              <w:left w:val="single" w:sz="6" w:space="0" w:color="auto"/>
              <w:bottom w:val="nil"/>
              <w:right w:val="nil"/>
            </w:tcBorders>
            <w:shd w:val="solid" w:color="FFFFFF" w:fill="auto"/>
            <w:vAlign w:val="center"/>
          </w:tcPr>
          <w:p w:rsidR="00A07CAB" w:rsidRDefault="00A07CAB" w:rsidP="007921AC">
            <w:pPr>
              <w:rPr>
                <w:rFonts w:ascii="Arial Narrow" w:hAnsi="Arial Narrow"/>
                <w:sz w:val="16"/>
                <w:szCs w:val="16"/>
              </w:rPr>
            </w:pPr>
            <w:r>
              <w:rPr>
                <w:rFonts w:ascii="Arial Narrow" w:hAnsi="Arial Narrow"/>
                <w:sz w:val="16"/>
                <w:szCs w:val="16"/>
              </w:rPr>
              <w:t>Λοιπές εθνικολογιστικές προσαρμογές</w:t>
            </w:r>
          </w:p>
        </w:tc>
        <w:tc>
          <w:tcPr>
            <w:tcW w:w="1934" w:type="dxa"/>
            <w:tcBorders>
              <w:top w:val="nil"/>
              <w:left w:val="nil"/>
              <w:bottom w:val="nil"/>
              <w:right w:val="nil"/>
            </w:tcBorders>
            <w:shd w:val="clear" w:color="auto"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-63</w:t>
            </w:r>
          </w:p>
        </w:tc>
        <w:tc>
          <w:tcPr>
            <w:tcW w:w="1934" w:type="dxa"/>
            <w:tcBorders>
              <w:top w:val="nil"/>
              <w:left w:val="nil"/>
              <w:bottom w:val="nil"/>
              <w:right w:val="single" w:sz="6" w:space="0" w:color="auto"/>
            </w:tcBorders>
            <w:shd w:val="clear" w:color="auto" w:fill="auto"/>
            <w:vAlign w:val="center"/>
          </w:tcPr>
          <w:p w:rsidR="00A07CAB" w:rsidRDefault="00A07CAB" w:rsidP="00A07CAB">
            <w:pPr>
              <w:ind w:right="794"/>
              <w:jc w:val="right"/>
              <w:rPr>
                <w:rFonts w:ascii="Arial Narrow" w:hAnsi="Arial Narrow"/>
                <w:color w:val="000000"/>
                <w:sz w:val="16"/>
                <w:szCs w:val="16"/>
              </w:rPr>
            </w:pPr>
            <w:r>
              <w:rPr>
                <w:rFonts w:ascii="Arial Narrow" w:hAnsi="Arial Narrow"/>
                <w:color w:val="000000"/>
                <w:sz w:val="16"/>
                <w:szCs w:val="16"/>
              </w:rPr>
              <w:t>10</w:t>
            </w:r>
          </w:p>
        </w:tc>
      </w:tr>
      <w:tr w:rsidR="00A07CAB" w:rsidRPr="00E820AC" w:rsidTr="007921AC">
        <w:trPr>
          <w:trHeight w:val="227"/>
          <w:jc w:val="center"/>
        </w:trPr>
        <w:tc>
          <w:tcPr>
            <w:tcW w:w="4882" w:type="dxa"/>
            <w:tcBorders>
              <w:top w:val="nil"/>
              <w:left w:val="single" w:sz="6" w:space="0" w:color="auto"/>
              <w:bottom w:val="single" w:sz="6" w:space="0" w:color="auto"/>
              <w:right w:val="nil"/>
            </w:tcBorders>
            <w:shd w:val="solid" w:color="C0C0C0" w:fill="auto"/>
            <w:vAlign w:val="center"/>
          </w:tcPr>
          <w:p w:rsidR="00A07CAB" w:rsidRPr="003811B8" w:rsidRDefault="00A07CAB" w:rsidP="009A21A9">
            <w:pPr>
              <w:rPr>
                <w:rFonts w:ascii="Arial Narrow" w:hAnsi="Arial Narrow"/>
                <w:b/>
                <w:bCs/>
                <w:sz w:val="16"/>
                <w:szCs w:val="16"/>
                <w:vertAlign w:val="superscript"/>
              </w:rPr>
            </w:pPr>
            <w:r>
              <w:rPr>
                <w:rFonts w:ascii="Arial Narrow" w:hAnsi="Arial Narrow"/>
                <w:b/>
                <w:bCs/>
                <w:sz w:val="16"/>
                <w:szCs w:val="16"/>
              </w:rPr>
              <w:t xml:space="preserve">Ισοζύγιο κατά ESA </w:t>
            </w:r>
          </w:p>
        </w:tc>
        <w:tc>
          <w:tcPr>
            <w:tcW w:w="1934" w:type="dxa"/>
            <w:tcBorders>
              <w:top w:val="nil"/>
              <w:left w:val="nil"/>
              <w:bottom w:val="single" w:sz="6" w:space="0" w:color="auto"/>
              <w:right w:val="nil"/>
            </w:tcBorders>
            <w:shd w:val="solid" w:color="C0C0C0" w:fill="auto"/>
            <w:vAlign w:val="center"/>
          </w:tcPr>
          <w:p w:rsidR="00A07CAB" w:rsidRDefault="00A07CAB" w:rsidP="00A07CAB">
            <w:pPr>
              <w:ind w:right="794"/>
              <w:jc w:val="right"/>
              <w:rPr>
                <w:rFonts w:ascii="Arial Narrow" w:hAnsi="Arial Narrow"/>
                <w:b/>
                <w:bCs/>
                <w:color w:val="000000"/>
                <w:sz w:val="16"/>
                <w:szCs w:val="16"/>
              </w:rPr>
            </w:pPr>
            <w:r>
              <w:rPr>
                <w:rFonts w:ascii="Arial Narrow" w:hAnsi="Arial Narrow"/>
                <w:b/>
                <w:bCs/>
                <w:color w:val="000000"/>
                <w:sz w:val="16"/>
                <w:szCs w:val="16"/>
              </w:rPr>
              <w:t>1.502</w:t>
            </w:r>
          </w:p>
        </w:tc>
        <w:tc>
          <w:tcPr>
            <w:tcW w:w="1934" w:type="dxa"/>
            <w:tcBorders>
              <w:top w:val="nil"/>
              <w:left w:val="nil"/>
              <w:bottom w:val="single" w:sz="6" w:space="0" w:color="auto"/>
              <w:right w:val="single" w:sz="6" w:space="0" w:color="auto"/>
            </w:tcBorders>
            <w:shd w:val="solid" w:color="C0C0C0" w:fill="auto"/>
            <w:vAlign w:val="center"/>
          </w:tcPr>
          <w:p w:rsidR="00A07CAB" w:rsidRDefault="00A07CAB" w:rsidP="00A07CAB">
            <w:pPr>
              <w:ind w:right="794"/>
              <w:jc w:val="right"/>
              <w:rPr>
                <w:rFonts w:ascii="Arial Narrow" w:hAnsi="Arial Narrow"/>
                <w:b/>
                <w:bCs/>
                <w:color w:val="000000"/>
                <w:sz w:val="16"/>
                <w:szCs w:val="16"/>
              </w:rPr>
            </w:pPr>
            <w:r>
              <w:rPr>
                <w:rFonts w:ascii="Arial Narrow" w:hAnsi="Arial Narrow"/>
                <w:b/>
                <w:bCs/>
                <w:color w:val="000000"/>
                <w:sz w:val="16"/>
                <w:szCs w:val="16"/>
              </w:rPr>
              <w:t>1.856</w:t>
            </w:r>
          </w:p>
        </w:tc>
      </w:tr>
    </w:tbl>
    <w:p w:rsidR="00215212" w:rsidRPr="00215212" w:rsidRDefault="00C20024" w:rsidP="000F5A38">
      <w:pPr>
        <w:ind w:left="426" w:right="282" w:hanging="284"/>
        <w:jc w:val="both"/>
        <w:rPr>
          <w:rFonts w:ascii="Arial Narrow" w:hAnsi="Arial Narrow"/>
          <w:sz w:val="16"/>
          <w:szCs w:val="16"/>
        </w:rPr>
      </w:pPr>
      <w:r>
        <w:rPr>
          <w:rFonts w:ascii="Arial Narrow" w:hAnsi="Arial Narrow"/>
          <w:sz w:val="16"/>
          <w:szCs w:val="16"/>
          <w:vertAlign w:val="superscript"/>
        </w:rPr>
        <w:t>1</w:t>
      </w:r>
      <w:r w:rsidR="00215212">
        <w:rPr>
          <w:rFonts w:ascii="Arial Narrow" w:hAnsi="Arial Narrow"/>
          <w:sz w:val="16"/>
          <w:szCs w:val="16"/>
          <w:vertAlign w:val="superscript"/>
        </w:rPr>
        <w:tab/>
      </w:r>
      <w:r w:rsidR="00215212">
        <w:rPr>
          <w:rFonts w:ascii="Arial Narrow" w:hAnsi="Arial Narrow"/>
          <w:sz w:val="16"/>
          <w:szCs w:val="16"/>
        </w:rPr>
        <w:t>Δεν συμπεριλα</w:t>
      </w:r>
      <w:r w:rsidR="000F5A38">
        <w:rPr>
          <w:rFonts w:ascii="Arial Narrow" w:hAnsi="Arial Narrow"/>
          <w:sz w:val="16"/>
          <w:szCs w:val="16"/>
        </w:rPr>
        <w:t>μβάνονται οι πρόσοδοι του ΑΚΑΓΕ ύψους 168 και 180 εκατ. ευρώ για τα έτη 2018 και 2019, αντίστοιχα, οι οποίες απεικονίζο</w:t>
      </w:r>
      <w:r w:rsidR="000F5A38">
        <w:rPr>
          <w:rFonts w:ascii="Arial Narrow" w:hAnsi="Arial Narrow"/>
          <w:sz w:val="16"/>
          <w:szCs w:val="16"/>
        </w:rPr>
        <w:t>ν</w:t>
      </w:r>
      <w:r w:rsidR="000F5A38">
        <w:rPr>
          <w:rFonts w:ascii="Arial Narrow" w:hAnsi="Arial Narrow"/>
          <w:sz w:val="16"/>
          <w:szCs w:val="16"/>
        </w:rPr>
        <w:t>ται στη γραμμή «λοιπά έσοδα».</w:t>
      </w:r>
    </w:p>
    <w:p w:rsidR="00C20024" w:rsidRDefault="00C20024" w:rsidP="000F5A38">
      <w:pPr>
        <w:ind w:left="426" w:right="282" w:hanging="284"/>
        <w:jc w:val="both"/>
        <w:rPr>
          <w:rFonts w:ascii="Arial Narrow" w:hAnsi="Arial Narrow"/>
          <w:sz w:val="16"/>
          <w:szCs w:val="16"/>
        </w:rPr>
      </w:pPr>
      <w:r>
        <w:rPr>
          <w:rFonts w:ascii="Arial Narrow" w:hAnsi="Arial Narrow"/>
          <w:sz w:val="16"/>
          <w:szCs w:val="16"/>
          <w:vertAlign w:val="superscript"/>
        </w:rPr>
        <w:t>2</w:t>
      </w:r>
      <w:r w:rsidRPr="009A1524">
        <w:rPr>
          <w:rFonts w:ascii="Arial Narrow" w:hAnsi="Arial Narrow"/>
          <w:sz w:val="16"/>
          <w:szCs w:val="16"/>
          <w:vertAlign w:val="superscript"/>
        </w:rPr>
        <w:tab/>
      </w:r>
      <w:r>
        <w:rPr>
          <w:rFonts w:ascii="Arial Narrow" w:hAnsi="Arial Narrow"/>
          <w:sz w:val="16"/>
          <w:szCs w:val="16"/>
        </w:rPr>
        <w:t>Το θετικό πρόσημο στη μεταβολή των απλήρωτων υποχρεώσεων σημαίνει βελτίωση του αποτελέσματος.</w:t>
      </w:r>
    </w:p>
    <w:p w:rsidR="00CC2F0C" w:rsidRDefault="00215212" w:rsidP="00CB79D9">
      <w:pPr>
        <w:jc w:val="both"/>
        <w:rPr>
          <w:rFonts w:ascii="Arial Narrow" w:hAnsi="Arial Narrow"/>
          <w:sz w:val="16"/>
          <w:szCs w:val="16"/>
        </w:rPr>
      </w:pPr>
      <w:r>
        <w:rPr>
          <w:rFonts w:ascii="Arial Narrow" w:hAnsi="Arial Narrow"/>
          <w:sz w:val="16"/>
          <w:szCs w:val="16"/>
        </w:rPr>
        <w:tab/>
      </w:r>
    </w:p>
    <w:p w:rsidR="002A1FA2" w:rsidRDefault="002A1FA2" w:rsidP="00CB79D9">
      <w:pPr>
        <w:jc w:val="both"/>
        <w:rPr>
          <w:rFonts w:ascii="Arial Narrow" w:hAnsi="Arial Narrow"/>
          <w:sz w:val="16"/>
          <w:szCs w:val="16"/>
        </w:rPr>
      </w:pPr>
    </w:p>
    <w:p w:rsidR="002A1FA2" w:rsidRDefault="002A1FA2" w:rsidP="00CB79D9">
      <w:pPr>
        <w:jc w:val="both"/>
        <w:rPr>
          <w:rFonts w:ascii="Arial Narrow" w:hAnsi="Arial Narrow"/>
          <w:sz w:val="16"/>
          <w:szCs w:val="16"/>
        </w:rPr>
      </w:pPr>
    </w:p>
    <w:p w:rsidR="004721D7" w:rsidRDefault="004721D7" w:rsidP="004721D7">
      <w:pPr>
        <w:jc w:val="both"/>
        <w:rPr>
          <w:sz w:val="22"/>
          <w:szCs w:val="22"/>
        </w:rPr>
      </w:pPr>
      <w:r w:rsidRPr="004D33A2">
        <w:rPr>
          <w:sz w:val="22"/>
          <w:szCs w:val="22"/>
        </w:rPr>
        <w:t xml:space="preserve">Με βάση την πορεία εξέλιξης </w:t>
      </w:r>
      <w:r w:rsidR="002061C2">
        <w:rPr>
          <w:sz w:val="22"/>
          <w:szCs w:val="22"/>
        </w:rPr>
        <w:t xml:space="preserve">των μεγεθών των προϋπολογισμών </w:t>
      </w:r>
      <w:r w:rsidRPr="004D33A2">
        <w:rPr>
          <w:sz w:val="22"/>
          <w:szCs w:val="22"/>
        </w:rPr>
        <w:t xml:space="preserve">των </w:t>
      </w:r>
      <w:r w:rsidRPr="00D6601E">
        <w:rPr>
          <w:sz w:val="22"/>
          <w:szCs w:val="22"/>
        </w:rPr>
        <w:t>λοιπών</w:t>
      </w:r>
      <w:r>
        <w:rPr>
          <w:sz w:val="22"/>
          <w:szCs w:val="22"/>
        </w:rPr>
        <w:t xml:space="preserve"> </w:t>
      </w:r>
      <w:r w:rsidRPr="004D33A2">
        <w:rPr>
          <w:sz w:val="22"/>
          <w:szCs w:val="22"/>
        </w:rPr>
        <w:t>νομικών προσώπων</w:t>
      </w:r>
      <w:r w:rsidRPr="0088395A">
        <w:rPr>
          <w:sz w:val="22"/>
          <w:szCs w:val="22"/>
        </w:rPr>
        <w:t xml:space="preserve"> </w:t>
      </w:r>
      <w:r w:rsidR="00156075">
        <w:rPr>
          <w:sz w:val="22"/>
          <w:szCs w:val="22"/>
        </w:rPr>
        <w:t>Κεντρικής</w:t>
      </w:r>
      <w:r>
        <w:rPr>
          <w:sz w:val="22"/>
          <w:szCs w:val="22"/>
        </w:rPr>
        <w:t xml:space="preserve"> Κυβέρνησης</w:t>
      </w:r>
      <w:r w:rsidRPr="004D33A2">
        <w:rPr>
          <w:sz w:val="22"/>
          <w:szCs w:val="22"/>
        </w:rPr>
        <w:t>, το ισοζύγιο για το 2018 εκτιμάται ότι θα διαμορφωθεί σε πλεόνασμα ύψους 1.</w:t>
      </w:r>
      <w:r w:rsidR="00D6601E">
        <w:rPr>
          <w:sz w:val="22"/>
          <w:szCs w:val="22"/>
        </w:rPr>
        <w:t>502</w:t>
      </w:r>
      <w:r w:rsidRPr="004D33A2">
        <w:rPr>
          <w:sz w:val="22"/>
          <w:szCs w:val="22"/>
        </w:rPr>
        <w:t xml:space="preserve"> εκατ. ευρώ, ενώ για το 2019 προβλέπεται ότι θα ανέλθει στα 1.</w:t>
      </w:r>
      <w:r w:rsidR="00D6601E">
        <w:rPr>
          <w:sz w:val="22"/>
          <w:szCs w:val="22"/>
        </w:rPr>
        <w:t>856</w:t>
      </w:r>
      <w:r w:rsidRPr="004D33A2">
        <w:rPr>
          <w:sz w:val="22"/>
          <w:szCs w:val="22"/>
        </w:rPr>
        <w:t xml:space="preserve"> εκατ. ευρώ, αυξημένο κατά </w:t>
      </w:r>
      <w:r w:rsidR="00215212">
        <w:rPr>
          <w:sz w:val="22"/>
          <w:szCs w:val="22"/>
        </w:rPr>
        <w:t>354</w:t>
      </w:r>
      <w:r w:rsidRPr="004D33A2">
        <w:rPr>
          <w:sz w:val="22"/>
          <w:szCs w:val="22"/>
        </w:rPr>
        <w:t xml:space="preserve"> εκατ. ευρώ. </w:t>
      </w:r>
      <w:r w:rsidR="00D6601E">
        <w:rPr>
          <w:sz w:val="22"/>
          <w:szCs w:val="22"/>
        </w:rPr>
        <w:t>Η βελτίωση του αποτελέσματος οφείλεται κατά βάση στη μείωση των δαπανών του ΑΚΑΓΕ από την πρόβλεψη της μη ύπαρξης αναγκαιότητας μεταβίβασης πόρων στους φορείς κοιν</w:t>
      </w:r>
      <w:r w:rsidR="00D6601E">
        <w:rPr>
          <w:sz w:val="22"/>
          <w:szCs w:val="22"/>
        </w:rPr>
        <w:t>ω</w:t>
      </w:r>
      <w:r w:rsidR="00D6601E">
        <w:rPr>
          <w:sz w:val="22"/>
          <w:szCs w:val="22"/>
        </w:rPr>
        <w:t>νικής ασφάλισης.</w:t>
      </w:r>
    </w:p>
    <w:p w:rsidR="00D6601E" w:rsidRDefault="00D6601E" w:rsidP="004721D7">
      <w:pPr>
        <w:jc w:val="both"/>
        <w:rPr>
          <w:sz w:val="22"/>
          <w:szCs w:val="22"/>
        </w:rPr>
      </w:pPr>
    </w:p>
    <w:p w:rsidR="004721D7" w:rsidRPr="00722EC7" w:rsidRDefault="004721D7" w:rsidP="004721D7">
      <w:pPr>
        <w:jc w:val="both"/>
        <w:rPr>
          <w:sz w:val="22"/>
          <w:szCs w:val="22"/>
        </w:rPr>
      </w:pPr>
      <w:r w:rsidRPr="00722EC7">
        <w:rPr>
          <w:sz w:val="22"/>
          <w:szCs w:val="22"/>
        </w:rPr>
        <w:t>Στον πίνακα 3</w:t>
      </w:r>
      <w:r w:rsidR="00624B03">
        <w:rPr>
          <w:sz w:val="22"/>
          <w:szCs w:val="22"/>
        </w:rPr>
        <w:t>.17</w:t>
      </w:r>
      <w:r w:rsidRPr="00722EC7">
        <w:rPr>
          <w:sz w:val="22"/>
          <w:szCs w:val="22"/>
        </w:rPr>
        <w:t xml:space="preserve"> εμφανίζονται τα αποτελέσματα (στόχοι), που αναμένεται να πετύχουν οι φορείς για το έτος 201</w:t>
      </w:r>
      <w:r>
        <w:rPr>
          <w:sz w:val="22"/>
          <w:szCs w:val="22"/>
        </w:rPr>
        <w:t>9</w:t>
      </w:r>
      <w:r w:rsidRPr="00722EC7">
        <w:rPr>
          <w:sz w:val="22"/>
          <w:szCs w:val="22"/>
        </w:rPr>
        <w:t>.</w:t>
      </w:r>
      <w:r w:rsidRPr="004D33A2">
        <w:rPr>
          <w:color w:val="FF0000"/>
          <w:sz w:val="22"/>
          <w:szCs w:val="22"/>
        </w:rPr>
        <w:t xml:space="preserve"> </w:t>
      </w:r>
      <w:r w:rsidRPr="00722EC7">
        <w:rPr>
          <w:sz w:val="22"/>
          <w:szCs w:val="22"/>
        </w:rPr>
        <w:t xml:space="preserve">Στους στόχους αυτούς περιλαμβάνονται οι προσαρμογές που αφορούν στη μεταβολή των </w:t>
      </w:r>
      <w:r w:rsidRPr="00D6601E">
        <w:rPr>
          <w:sz w:val="22"/>
          <w:szCs w:val="22"/>
        </w:rPr>
        <w:t>απλήρωτων</w:t>
      </w:r>
      <w:r w:rsidRPr="00722EC7">
        <w:rPr>
          <w:sz w:val="22"/>
          <w:szCs w:val="22"/>
        </w:rPr>
        <w:t xml:space="preserve"> υποχρεώσεων, καθώς και οι λοιπές εθνικολογιστικές προσαρμογές. </w:t>
      </w:r>
    </w:p>
    <w:p w:rsidR="00CC2F0C" w:rsidRPr="009A1524" w:rsidRDefault="00CC2F0C" w:rsidP="00CB79D9">
      <w:pPr>
        <w:jc w:val="both"/>
        <w:rPr>
          <w:rFonts w:ascii="Arial Narrow" w:hAnsi="Arial Narrow"/>
          <w:sz w:val="22"/>
          <w:szCs w:val="22"/>
        </w:rPr>
      </w:pPr>
    </w:p>
    <w:p w:rsidR="00CC2F0C" w:rsidRDefault="00CC2F0C">
      <w:pPr>
        <w:rPr>
          <w:sz w:val="22"/>
        </w:rPr>
      </w:pPr>
      <w:r>
        <w:rPr>
          <w:sz w:val="22"/>
        </w:rPr>
        <w:br w:type="page"/>
      </w:r>
    </w:p>
    <w:p w:rsidR="00A24C39" w:rsidRDefault="00A24C39" w:rsidP="00637C95">
      <w:pPr>
        <w:jc w:val="both"/>
        <w:rPr>
          <w:sz w:val="22"/>
        </w:rPr>
      </w:pPr>
    </w:p>
    <w:tbl>
      <w:tblPr>
        <w:tblW w:w="8654" w:type="dxa"/>
        <w:jc w:val="center"/>
        <w:tblLook w:val="04A0"/>
      </w:tblPr>
      <w:tblGrid>
        <w:gridCol w:w="572"/>
        <w:gridCol w:w="5242"/>
        <w:gridCol w:w="1340"/>
        <w:gridCol w:w="1500"/>
      </w:tblGrid>
      <w:tr w:rsidR="00ED1F78" w:rsidTr="002D69A7">
        <w:trPr>
          <w:trHeight w:val="57"/>
          <w:tblHeader/>
          <w:jc w:val="center"/>
        </w:trPr>
        <w:tc>
          <w:tcPr>
            <w:tcW w:w="8654" w:type="dxa"/>
            <w:gridSpan w:val="4"/>
            <w:tcBorders>
              <w:top w:val="single" w:sz="4" w:space="0" w:color="auto"/>
              <w:left w:val="single" w:sz="4" w:space="0" w:color="auto"/>
              <w:right w:val="single" w:sz="4" w:space="0" w:color="auto"/>
            </w:tcBorders>
            <w:shd w:val="clear" w:color="auto" w:fill="404040" w:themeFill="text1" w:themeFillTint="BF"/>
            <w:vAlign w:val="center"/>
            <w:hideMark/>
          </w:tcPr>
          <w:p w:rsidR="004721D7" w:rsidRDefault="00624B03" w:rsidP="00A24C39">
            <w:pPr>
              <w:spacing w:before="120"/>
              <w:jc w:val="center"/>
              <w:rPr>
                <w:rFonts w:ascii="Arial Narrow" w:hAnsi="Arial Narrow"/>
                <w:b/>
                <w:bCs/>
                <w:color w:val="FFFFFF"/>
              </w:rPr>
            </w:pPr>
            <w:r>
              <w:rPr>
                <w:rFonts w:ascii="Arial Narrow" w:hAnsi="Arial Narrow"/>
                <w:b/>
                <w:bCs/>
                <w:color w:val="FFFFFF"/>
              </w:rPr>
              <w:t>Πίνακας 3.18</w:t>
            </w:r>
            <w:r w:rsidR="00ED1F78">
              <w:rPr>
                <w:rFonts w:ascii="Arial Narrow" w:hAnsi="Arial Narrow"/>
                <w:b/>
                <w:bCs/>
                <w:color w:val="FFFFFF"/>
              </w:rPr>
              <w:t xml:space="preserve"> Ισοζύγιο</w:t>
            </w:r>
            <w:r w:rsidR="004721D7">
              <w:rPr>
                <w:rFonts w:ascii="Arial Narrow" w:hAnsi="Arial Narrow"/>
                <w:b/>
                <w:bCs/>
                <w:color w:val="FFFFFF"/>
              </w:rPr>
              <w:t xml:space="preserve"> </w:t>
            </w:r>
            <w:r w:rsidR="004721D7" w:rsidRPr="00156075">
              <w:rPr>
                <w:rFonts w:ascii="Arial Narrow" w:hAnsi="Arial Narrow"/>
                <w:b/>
                <w:bCs/>
                <w:color w:val="FFFFFF"/>
              </w:rPr>
              <w:t>λοιπών</w:t>
            </w:r>
            <w:r w:rsidR="00867707">
              <w:rPr>
                <w:rFonts w:ascii="Arial Narrow" w:hAnsi="Arial Narrow"/>
                <w:b/>
                <w:bCs/>
                <w:color w:val="FFFFFF"/>
              </w:rPr>
              <w:t xml:space="preserve"> </w:t>
            </w:r>
            <w:r w:rsidR="00ED1F78">
              <w:rPr>
                <w:rFonts w:ascii="Arial Narrow" w:hAnsi="Arial Narrow"/>
                <w:b/>
                <w:bCs/>
                <w:color w:val="FFFFFF"/>
              </w:rPr>
              <w:t xml:space="preserve">νομικών προσώπων </w:t>
            </w:r>
            <w:r w:rsidR="00156075">
              <w:rPr>
                <w:rFonts w:ascii="Arial Narrow" w:hAnsi="Arial Narrow"/>
                <w:b/>
                <w:bCs/>
                <w:color w:val="FFFFFF"/>
              </w:rPr>
              <w:t>Κεντρικής</w:t>
            </w:r>
            <w:r w:rsidR="00ED1F78">
              <w:rPr>
                <w:rFonts w:ascii="Arial Narrow" w:hAnsi="Arial Narrow"/>
                <w:b/>
                <w:bCs/>
                <w:color w:val="FFFFFF"/>
              </w:rPr>
              <w:t xml:space="preserve"> Κυβέρνησης</w:t>
            </w:r>
          </w:p>
          <w:p w:rsidR="00ED1F78" w:rsidRDefault="00ED1F78" w:rsidP="004721D7">
            <w:pPr>
              <w:jc w:val="center"/>
              <w:rPr>
                <w:rFonts w:ascii="Arial Narrow" w:hAnsi="Arial Narrow"/>
                <w:b/>
                <w:bCs/>
                <w:color w:val="FFFFFF"/>
              </w:rPr>
            </w:pPr>
            <w:r>
              <w:rPr>
                <w:rFonts w:ascii="Arial Narrow" w:hAnsi="Arial Narrow"/>
                <w:b/>
                <w:bCs/>
                <w:color w:val="FFFFFF"/>
              </w:rPr>
              <w:t>(εκτός ΑΔΑ</w:t>
            </w:r>
            <w:r w:rsidR="002D69A7">
              <w:rPr>
                <w:rFonts w:ascii="Arial Narrow" w:hAnsi="Arial Narrow"/>
                <w:b/>
                <w:bCs/>
                <w:color w:val="FFFFFF"/>
              </w:rPr>
              <w:t xml:space="preserve"> και ΑΚΑΓΕ</w:t>
            </w:r>
            <w:r>
              <w:rPr>
                <w:rFonts w:ascii="Arial Narrow" w:hAnsi="Arial Narrow"/>
                <w:b/>
                <w:bCs/>
                <w:color w:val="FFFFFF"/>
              </w:rPr>
              <w:t>)</w:t>
            </w:r>
            <w:r w:rsidR="00156075">
              <w:rPr>
                <w:rFonts w:ascii="Arial Narrow" w:hAnsi="Arial Narrow"/>
                <w:b/>
                <w:bCs/>
                <w:color w:val="FFFFFF"/>
              </w:rPr>
              <w:t xml:space="preserve"> </w:t>
            </w:r>
            <w:r>
              <w:rPr>
                <w:rFonts w:ascii="Arial Narrow" w:hAnsi="Arial Narrow"/>
                <w:b/>
                <w:bCs/>
                <w:color w:val="FFFFFF"/>
              </w:rPr>
              <w:t>ανά Υπουργείο</w:t>
            </w:r>
            <w:r>
              <w:rPr>
                <w:rFonts w:ascii="Arial Narrow" w:hAnsi="Arial Narrow"/>
                <w:b/>
                <w:bCs/>
                <w:color w:val="FFFFFF"/>
              </w:rPr>
              <w:br/>
              <w:t>(σε εκατ. ευρώ)</w:t>
            </w:r>
          </w:p>
        </w:tc>
      </w:tr>
      <w:tr w:rsidR="00ED1F78" w:rsidRPr="00900BBE" w:rsidTr="00A24C39">
        <w:trPr>
          <w:trHeight w:val="170"/>
          <w:tblHeader/>
          <w:jc w:val="center"/>
        </w:trPr>
        <w:tc>
          <w:tcPr>
            <w:tcW w:w="572" w:type="dxa"/>
            <w:tcBorders>
              <w:left w:val="single" w:sz="4" w:space="0" w:color="auto"/>
              <w:bottom w:val="nil"/>
              <w:right w:val="nil"/>
            </w:tcBorders>
            <w:shd w:val="clear" w:color="000000" w:fill="FFFFFF"/>
            <w:vAlign w:val="center"/>
            <w:hideMark/>
          </w:tcPr>
          <w:p w:rsidR="00ED1F78" w:rsidRPr="00900BBE" w:rsidRDefault="00ED1F78">
            <w:pPr>
              <w:jc w:val="center"/>
              <w:rPr>
                <w:rFonts w:ascii="Arial Narrow" w:hAnsi="Arial Narrow"/>
                <w:b/>
                <w:bCs/>
                <w:i/>
                <w:iCs/>
                <w:sz w:val="14"/>
                <w:szCs w:val="16"/>
                <w:u w:val="single"/>
              </w:rPr>
            </w:pPr>
          </w:p>
        </w:tc>
        <w:tc>
          <w:tcPr>
            <w:tcW w:w="5242" w:type="dxa"/>
            <w:tcBorders>
              <w:left w:val="nil"/>
              <w:bottom w:val="nil"/>
              <w:right w:val="nil"/>
            </w:tcBorders>
            <w:shd w:val="clear" w:color="000000" w:fill="FFFFFF"/>
            <w:vAlign w:val="center"/>
            <w:hideMark/>
          </w:tcPr>
          <w:p w:rsidR="00ED1F78" w:rsidRPr="00900BBE" w:rsidRDefault="00ED1F78">
            <w:pPr>
              <w:jc w:val="center"/>
              <w:rPr>
                <w:rFonts w:ascii="Arial Narrow" w:hAnsi="Arial Narrow"/>
                <w:b/>
                <w:bCs/>
                <w:i/>
                <w:iCs/>
                <w:sz w:val="14"/>
                <w:szCs w:val="16"/>
                <w:u w:val="single"/>
              </w:rPr>
            </w:pPr>
          </w:p>
        </w:tc>
        <w:tc>
          <w:tcPr>
            <w:tcW w:w="1340" w:type="dxa"/>
            <w:tcBorders>
              <w:left w:val="nil"/>
              <w:bottom w:val="single" w:sz="4" w:space="0" w:color="auto"/>
              <w:right w:val="nil"/>
            </w:tcBorders>
            <w:shd w:val="clear" w:color="000000" w:fill="FFFFFF"/>
            <w:vAlign w:val="center"/>
            <w:hideMark/>
          </w:tcPr>
          <w:p w:rsidR="00ED1F78" w:rsidRPr="00900BBE" w:rsidRDefault="00ED1F78">
            <w:pPr>
              <w:jc w:val="center"/>
              <w:rPr>
                <w:rFonts w:ascii="Arial Narrow" w:hAnsi="Arial Narrow"/>
                <w:b/>
                <w:bCs/>
                <w:i/>
                <w:iCs/>
                <w:sz w:val="14"/>
                <w:szCs w:val="16"/>
                <w:u w:val="single"/>
              </w:rPr>
            </w:pPr>
          </w:p>
        </w:tc>
        <w:tc>
          <w:tcPr>
            <w:tcW w:w="1500" w:type="dxa"/>
            <w:tcBorders>
              <w:left w:val="nil"/>
              <w:bottom w:val="single" w:sz="4" w:space="0" w:color="auto"/>
              <w:right w:val="single" w:sz="4" w:space="0" w:color="auto"/>
            </w:tcBorders>
            <w:shd w:val="clear" w:color="000000" w:fill="FFFFFF"/>
            <w:vAlign w:val="center"/>
            <w:hideMark/>
          </w:tcPr>
          <w:p w:rsidR="00ED1F78" w:rsidRPr="00900BBE" w:rsidRDefault="00ED1F78">
            <w:pPr>
              <w:jc w:val="center"/>
              <w:rPr>
                <w:rFonts w:ascii="Arial Narrow" w:hAnsi="Arial Narrow"/>
                <w:b/>
                <w:bCs/>
                <w:i/>
                <w:iCs/>
                <w:sz w:val="14"/>
                <w:szCs w:val="16"/>
                <w:u w:val="single"/>
              </w:rPr>
            </w:pPr>
          </w:p>
        </w:tc>
      </w:tr>
      <w:tr w:rsidR="00ED1F78" w:rsidTr="002D69A7">
        <w:trPr>
          <w:trHeight w:val="20"/>
          <w:tblHeader/>
          <w:jc w:val="center"/>
        </w:trPr>
        <w:tc>
          <w:tcPr>
            <w:tcW w:w="572" w:type="dxa"/>
            <w:tcBorders>
              <w:top w:val="single" w:sz="4" w:space="0" w:color="auto"/>
              <w:left w:val="single" w:sz="4" w:space="0" w:color="auto"/>
              <w:bottom w:val="nil"/>
              <w:right w:val="nil"/>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 </w:t>
            </w:r>
          </w:p>
        </w:tc>
        <w:tc>
          <w:tcPr>
            <w:tcW w:w="5242" w:type="dxa"/>
            <w:tcBorders>
              <w:top w:val="single" w:sz="4" w:space="0" w:color="auto"/>
              <w:left w:val="nil"/>
              <w:bottom w:val="nil"/>
              <w:right w:val="single" w:sz="4" w:space="0" w:color="auto"/>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ED1F78" w:rsidRDefault="00C63EEC">
            <w:pPr>
              <w:jc w:val="center"/>
              <w:rPr>
                <w:rFonts w:ascii="Arial Narrow" w:hAnsi="Arial Narrow"/>
                <w:b/>
                <w:bCs/>
                <w:color w:val="000000"/>
                <w:sz w:val="16"/>
                <w:szCs w:val="16"/>
              </w:rPr>
            </w:pPr>
            <w:r>
              <w:rPr>
                <w:rFonts w:ascii="Arial Narrow" w:hAnsi="Arial Narrow"/>
                <w:b/>
                <w:bCs/>
                <w:color w:val="000000"/>
                <w:sz w:val="16"/>
                <w:szCs w:val="16"/>
              </w:rPr>
              <w:t>201</w:t>
            </w:r>
            <w:r w:rsidR="0009638C">
              <w:rPr>
                <w:rFonts w:ascii="Arial Narrow" w:hAnsi="Arial Narrow"/>
                <w:b/>
                <w:bCs/>
                <w:color w:val="000000"/>
                <w:sz w:val="16"/>
                <w:szCs w:val="16"/>
              </w:rPr>
              <w:t>8</w:t>
            </w:r>
          </w:p>
        </w:tc>
        <w:tc>
          <w:tcPr>
            <w:tcW w:w="1500" w:type="dxa"/>
            <w:tcBorders>
              <w:top w:val="nil"/>
              <w:left w:val="nil"/>
              <w:bottom w:val="single" w:sz="4" w:space="0" w:color="auto"/>
              <w:right w:val="single" w:sz="4" w:space="0" w:color="auto"/>
            </w:tcBorders>
            <w:shd w:val="clear" w:color="auto" w:fill="auto"/>
            <w:noWrap/>
            <w:vAlign w:val="bottom"/>
            <w:hideMark/>
          </w:tcPr>
          <w:p w:rsidR="00ED1F78" w:rsidRDefault="00C63EEC">
            <w:pPr>
              <w:jc w:val="center"/>
              <w:rPr>
                <w:rFonts w:ascii="Arial Narrow" w:hAnsi="Arial Narrow"/>
                <w:b/>
                <w:bCs/>
                <w:color w:val="000000"/>
                <w:sz w:val="16"/>
                <w:szCs w:val="16"/>
              </w:rPr>
            </w:pPr>
            <w:r>
              <w:rPr>
                <w:rFonts w:ascii="Arial Narrow" w:hAnsi="Arial Narrow"/>
                <w:b/>
                <w:bCs/>
                <w:color w:val="000000"/>
                <w:sz w:val="16"/>
                <w:szCs w:val="16"/>
              </w:rPr>
              <w:t>201</w:t>
            </w:r>
            <w:r w:rsidR="0009638C">
              <w:rPr>
                <w:rFonts w:ascii="Arial Narrow" w:hAnsi="Arial Narrow"/>
                <w:b/>
                <w:bCs/>
                <w:color w:val="000000"/>
                <w:sz w:val="16"/>
                <w:szCs w:val="16"/>
              </w:rPr>
              <w:t>9</w:t>
            </w:r>
          </w:p>
        </w:tc>
      </w:tr>
      <w:tr w:rsidR="00ED1F78" w:rsidTr="0009638C">
        <w:trPr>
          <w:trHeight w:val="198"/>
          <w:tblHeader/>
          <w:jc w:val="center"/>
        </w:trPr>
        <w:tc>
          <w:tcPr>
            <w:tcW w:w="572" w:type="dxa"/>
            <w:tcBorders>
              <w:top w:val="nil"/>
              <w:left w:val="single" w:sz="4" w:space="0" w:color="auto"/>
              <w:bottom w:val="single" w:sz="4" w:space="0" w:color="auto"/>
              <w:right w:val="nil"/>
            </w:tcBorders>
            <w:shd w:val="clear" w:color="auto" w:fill="auto"/>
            <w:vAlign w:val="center"/>
            <w:hideMark/>
          </w:tcPr>
          <w:p w:rsidR="00ED1F78" w:rsidRDefault="00ED1F78">
            <w:pP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single" w:sz="4" w:space="0" w:color="auto"/>
              <w:right w:val="single" w:sz="4" w:space="0" w:color="auto"/>
            </w:tcBorders>
            <w:shd w:val="clear" w:color="auto" w:fill="auto"/>
            <w:vAlign w:val="center"/>
            <w:hideMark/>
          </w:tcPr>
          <w:p w:rsidR="00ED1F78" w:rsidRDefault="00ED1F78">
            <w:pPr>
              <w:jc w:val="center"/>
              <w:rPr>
                <w:rFonts w:ascii="Arial Narrow" w:hAnsi="Arial Narrow"/>
                <w:b/>
                <w:bCs/>
                <w:sz w:val="16"/>
                <w:szCs w:val="16"/>
              </w:rPr>
            </w:pPr>
            <w:r>
              <w:rPr>
                <w:rFonts w:ascii="Arial Narrow" w:hAnsi="Arial Narrow"/>
                <w:b/>
                <w:bCs/>
                <w:sz w:val="16"/>
                <w:szCs w:val="16"/>
              </w:rPr>
              <w:t> </w:t>
            </w:r>
          </w:p>
        </w:tc>
        <w:tc>
          <w:tcPr>
            <w:tcW w:w="1340" w:type="dxa"/>
            <w:tcBorders>
              <w:top w:val="nil"/>
              <w:left w:val="nil"/>
              <w:bottom w:val="single" w:sz="4" w:space="0" w:color="auto"/>
              <w:right w:val="single" w:sz="4" w:space="0" w:color="auto"/>
            </w:tcBorders>
            <w:shd w:val="clear" w:color="auto" w:fill="auto"/>
            <w:vAlign w:val="center"/>
            <w:hideMark/>
          </w:tcPr>
          <w:p w:rsidR="00ED1F78" w:rsidRDefault="00ED1F78">
            <w:pPr>
              <w:jc w:val="center"/>
              <w:rPr>
                <w:rFonts w:ascii="Arial Narrow" w:hAnsi="Arial Narrow"/>
                <w:b/>
                <w:bCs/>
                <w:color w:val="000000"/>
                <w:sz w:val="16"/>
                <w:szCs w:val="16"/>
              </w:rPr>
            </w:pPr>
            <w:r>
              <w:rPr>
                <w:rFonts w:ascii="Arial Narrow" w:hAnsi="Arial Narrow"/>
                <w:b/>
                <w:bCs/>
                <w:color w:val="000000"/>
                <w:sz w:val="16"/>
                <w:szCs w:val="16"/>
              </w:rPr>
              <w:t>Εκτιμήσεις</w:t>
            </w:r>
          </w:p>
        </w:tc>
        <w:tc>
          <w:tcPr>
            <w:tcW w:w="1500" w:type="dxa"/>
            <w:tcBorders>
              <w:top w:val="nil"/>
              <w:left w:val="nil"/>
              <w:bottom w:val="single" w:sz="4" w:space="0" w:color="auto"/>
              <w:right w:val="single" w:sz="4" w:space="0" w:color="auto"/>
            </w:tcBorders>
            <w:shd w:val="clear" w:color="auto" w:fill="auto"/>
            <w:vAlign w:val="center"/>
            <w:hideMark/>
          </w:tcPr>
          <w:p w:rsidR="00ED1F78" w:rsidRDefault="00ED1F78">
            <w:pPr>
              <w:jc w:val="center"/>
              <w:rPr>
                <w:rFonts w:ascii="Arial Narrow" w:hAnsi="Arial Narrow"/>
                <w:b/>
                <w:bCs/>
                <w:color w:val="000000"/>
                <w:sz w:val="16"/>
                <w:szCs w:val="16"/>
              </w:rPr>
            </w:pPr>
            <w:r>
              <w:rPr>
                <w:rFonts w:ascii="Arial Narrow" w:hAnsi="Arial Narrow"/>
                <w:b/>
                <w:bCs/>
                <w:color w:val="000000"/>
                <w:sz w:val="16"/>
                <w:szCs w:val="16"/>
              </w:rPr>
              <w:t>Προβλέψεις</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Διοικητικής Ανασυγκρότησης</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156075">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2</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Εσωτερικών</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2</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412873">
        <w:trPr>
          <w:trHeight w:val="170"/>
          <w:jc w:val="center"/>
        </w:trPr>
        <w:tc>
          <w:tcPr>
            <w:tcW w:w="572" w:type="dxa"/>
            <w:tcBorders>
              <w:top w:val="nil"/>
              <w:left w:val="single" w:sz="4" w:space="0" w:color="auto"/>
              <w:bottom w:val="nil"/>
              <w:right w:val="nil"/>
            </w:tcBorders>
            <w:shd w:val="clear" w:color="auto" w:fill="F2F2F2" w:themeFill="background1" w:themeFillShade="F2"/>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2α</w:t>
            </w:r>
          </w:p>
        </w:tc>
        <w:tc>
          <w:tcPr>
            <w:tcW w:w="5242" w:type="dxa"/>
            <w:tcBorders>
              <w:top w:val="nil"/>
              <w:left w:val="nil"/>
              <w:bottom w:val="nil"/>
              <w:right w:val="nil"/>
            </w:tcBorders>
            <w:shd w:val="clear" w:color="auto" w:fill="F2F2F2" w:themeFill="background1" w:themeFillShade="F2"/>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πρώην Υπουργείο Εσωτερικών</w:t>
            </w:r>
          </w:p>
        </w:tc>
        <w:tc>
          <w:tcPr>
            <w:tcW w:w="1340" w:type="dxa"/>
            <w:tcBorders>
              <w:top w:val="nil"/>
              <w:left w:val="nil"/>
              <w:bottom w:val="nil"/>
              <w:right w:val="nil"/>
            </w:tcBorders>
            <w:shd w:val="clear" w:color="auto" w:fill="F2F2F2" w:themeFill="background1" w:themeFillShade="F2"/>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auto" w:fill="F2F2F2" w:themeFill="background1" w:themeFillShade="F2"/>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412873">
        <w:trPr>
          <w:trHeight w:val="170"/>
          <w:jc w:val="center"/>
        </w:trPr>
        <w:tc>
          <w:tcPr>
            <w:tcW w:w="572" w:type="dxa"/>
            <w:tcBorders>
              <w:top w:val="nil"/>
              <w:left w:val="single" w:sz="4" w:space="0" w:color="auto"/>
              <w:bottom w:val="nil"/>
              <w:right w:val="nil"/>
            </w:tcBorders>
            <w:shd w:val="clear" w:color="auto" w:fill="F2F2F2" w:themeFill="background1" w:themeFillShade="F2"/>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2β</w:t>
            </w:r>
          </w:p>
        </w:tc>
        <w:tc>
          <w:tcPr>
            <w:tcW w:w="5242" w:type="dxa"/>
            <w:tcBorders>
              <w:top w:val="nil"/>
              <w:left w:val="nil"/>
              <w:bottom w:val="nil"/>
              <w:right w:val="nil"/>
            </w:tcBorders>
            <w:shd w:val="clear" w:color="auto" w:fill="F2F2F2" w:themeFill="background1" w:themeFillShade="F2"/>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πρώην Υπουργείο Μακεδονίας και Θράκης</w:t>
            </w:r>
          </w:p>
        </w:tc>
        <w:tc>
          <w:tcPr>
            <w:tcW w:w="1340" w:type="dxa"/>
            <w:tcBorders>
              <w:top w:val="nil"/>
              <w:left w:val="nil"/>
              <w:bottom w:val="nil"/>
              <w:right w:val="nil"/>
            </w:tcBorders>
            <w:shd w:val="clear" w:color="auto" w:fill="F2F2F2" w:themeFill="background1" w:themeFillShade="F2"/>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2</w:t>
            </w:r>
          </w:p>
        </w:tc>
        <w:tc>
          <w:tcPr>
            <w:tcW w:w="1500" w:type="dxa"/>
            <w:tcBorders>
              <w:top w:val="nil"/>
              <w:left w:val="nil"/>
              <w:bottom w:val="nil"/>
              <w:right w:val="single" w:sz="4" w:space="0" w:color="auto"/>
            </w:tcBorders>
            <w:shd w:val="clear" w:color="auto" w:fill="F2F2F2" w:themeFill="background1" w:themeFillShade="F2"/>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3</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Εξωτερικών</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4</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 xml:space="preserve">Υπουργείο Εθνικής Άμυνας </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2</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5</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Υγείας</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19</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19</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51</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-17</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-32</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36</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6</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Δικαιοσύνης, Διαφάνειας και Ανθρωπίνων Δικαιωμάτων</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27</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8</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29</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5</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7</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Παιδείας, Έρευνας και Θρησκευμάτων</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44</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37</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39</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36</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5</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8</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Πολιτισμού και Αθλητισμού</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32</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39</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25</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36</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7</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3</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9</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Οικονομικών</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363</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298</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353</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288</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10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10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10</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Αγροτικής Ανάπτυξης και Τροφίμων</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12</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9</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10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9</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11</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Περιβάλλοντος και Ενέργειας</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49</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49</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4</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12</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Εργασίας, Κοινωνικής Ασφάλισης και Κοινωνικής Αλληλεγγύης</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-1</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-1</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-3</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2</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13</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Οικονομίας και Ανάπτυξης</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-67</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6</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6</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6</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-73</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14</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Υποδομών και Μεταφορών</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48</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49</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48</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49</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15</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Ναυτιλίας και Νησιωτικής Πολιτικής</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5</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5</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4</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16</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Προστασίας του Πολίτη</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17</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Υπουργείο Ψηφιακής Πολιτικής, Τηλεπικοινωνιών και Ενημέρωσης</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09638C">
        <w:trPr>
          <w:trHeight w:val="170"/>
          <w:jc w:val="center"/>
        </w:trPr>
        <w:tc>
          <w:tcPr>
            <w:tcW w:w="572" w:type="dxa"/>
            <w:tcBorders>
              <w:top w:val="nil"/>
              <w:left w:val="single" w:sz="4" w:space="0" w:color="auto"/>
              <w:bottom w:val="nil"/>
              <w:right w:val="nil"/>
            </w:tcBorders>
            <w:shd w:val="clear" w:color="auto" w:fill="auto"/>
            <w:vAlign w:val="center"/>
            <w:hideMark/>
          </w:tcPr>
          <w:p w:rsidR="004F4923" w:rsidRDefault="004F4923" w:rsidP="0009638C">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4F4923" w:rsidRDefault="004F4923" w:rsidP="0009638C">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c>
          <w:tcPr>
            <w:tcW w:w="1500" w:type="dxa"/>
            <w:tcBorders>
              <w:top w:val="nil"/>
              <w:left w:val="nil"/>
              <w:bottom w:val="nil"/>
              <w:right w:val="single" w:sz="4" w:space="0" w:color="auto"/>
            </w:tcBorders>
            <w:shd w:val="clear" w:color="auto" w:fill="auto"/>
            <w:vAlign w:val="center"/>
            <w:hideMark/>
          </w:tcPr>
          <w:p w:rsidR="004F4923" w:rsidRDefault="004F4923" w:rsidP="004F4923">
            <w:pPr>
              <w:tabs>
                <w:tab w:val="decimal" w:pos="638"/>
              </w:tabs>
              <w:jc w:val="both"/>
              <w:rPr>
                <w:rFonts w:ascii="Arial Narrow" w:hAnsi="Arial Narrow"/>
                <w:i/>
                <w:iCs/>
                <w:sz w:val="16"/>
                <w:szCs w:val="16"/>
              </w:rPr>
            </w:pPr>
            <w:r>
              <w:rPr>
                <w:rFonts w:ascii="Arial Narrow" w:hAnsi="Arial Narrow"/>
                <w:i/>
                <w:iCs/>
                <w:sz w:val="16"/>
                <w:szCs w:val="16"/>
              </w:rPr>
              <w:t>0</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Σύνολο Υπουργείων κατά ESA</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537</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472</w:t>
            </w:r>
          </w:p>
        </w:tc>
      </w:tr>
      <w:tr w:rsidR="004F4923" w:rsidTr="00C60D1B">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Ισοζύγιο</w:t>
            </w:r>
          </w:p>
        </w:tc>
        <w:tc>
          <w:tcPr>
            <w:tcW w:w="1340" w:type="dxa"/>
            <w:tcBorders>
              <w:top w:val="nil"/>
              <w:left w:val="nil"/>
              <w:bottom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618</w:t>
            </w:r>
          </w:p>
        </w:tc>
        <w:tc>
          <w:tcPr>
            <w:tcW w:w="1500" w:type="dxa"/>
            <w:tcBorders>
              <w:top w:val="nil"/>
              <w:left w:val="nil"/>
              <w:bottom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414</w:t>
            </w:r>
          </w:p>
        </w:tc>
      </w:tr>
      <w:tr w:rsidR="004F4923" w:rsidTr="00C60D1B">
        <w:trPr>
          <w:trHeight w:val="170"/>
          <w:jc w:val="center"/>
        </w:trPr>
        <w:tc>
          <w:tcPr>
            <w:tcW w:w="572" w:type="dxa"/>
            <w:tcBorders>
              <w:top w:val="nil"/>
              <w:left w:val="single" w:sz="4" w:space="0" w:color="auto"/>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 xml:space="preserve">Μεταβολή </w:t>
            </w:r>
            <w:r w:rsidRPr="00156075">
              <w:rPr>
                <w:rFonts w:ascii="Arial Narrow" w:hAnsi="Arial Narrow"/>
                <w:b/>
                <w:iCs/>
                <w:sz w:val="16"/>
                <w:szCs w:val="16"/>
              </w:rPr>
              <w:t>απλήρωτων</w:t>
            </w:r>
            <w:r>
              <w:rPr>
                <w:rFonts w:ascii="Arial Narrow" w:hAnsi="Arial Narrow"/>
                <w:b/>
                <w:bCs/>
                <w:sz w:val="16"/>
                <w:szCs w:val="16"/>
              </w:rPr>
              <w:t xml:space="preserve"> υποχρεώσεων</w:t>
            </w:r>
            <w:r>
              <w:rPr>
                <w:rFonts w:ascii="Arial Narrow" w:hAnsi="Arial Narrow"/>
                <w:b/>
                <w:bCs/>
                <w:sz w:val="16"/>
                <w:szCs w:val="16"/>
                <w:vertAlign w:val="superscript"/>
              </w:rPr>
              <w:t>1</w:t>
            </w:r>
          </w:p>
        </w:tc>
        <w:tc>
          <w:tcPr>
            <w:tcW w:w="1340" w:type="dxa"/>
            <w:tcBorders>
              <w:top w:val="nil"/>
              <w:left w:val="nil"/>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-18</w:t>
            </w:r>
          </w:p>
        </w:tc>
        <w:tc>
          <w:tcPr>
            <w:tcW w:w="1500" w:type="dxa"/>
            <w:tcBorders>
              <w:top w:val="nil"/>
              <w:left w:val="nil"/>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48</w:t>
            </w:r>
          </w:p>
        </w:tc>
      </w:tr>
      <w:tr w:rsidR="004F4923" w:rsidTr="00C60D1B">
        <w:trPr>
          <w:trHeight w:val="170"/>
          <w:jc w:val="center"/>
        </w:trPr>
        <w:tc>
          <w:tcPr>
            <w:tcW w:w="572" w:type="dxa"/>
            <w:tcBorders>
              <w:top w:val="nil"/>
              <w:left w:val="single" w:sz="4" w:space="0" w:color="auto"/>
              <w:bottom w:val="single" w:sz="4" w:space="0" w:color="auto"/>
              <w:right w:val="nil"/>
            </w:tcBorders>
            <w:shd w:val="clear" w:color="auto" w:fill="D9D9D9" w:themeFill="background1" w:themeFillShade="D9"/>
            <w:vAlign w:val="center"/>
            <w:hideMark/>
          </w:tcPr>
          <w:p w:rsidR="004F4923" w:rsidRDefault="004F4923" w:rsidP="0009638C">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single" w:sz="4" w:space="0" w:color="auto"/>
              <w:right w:val="nil"/>
            </w:tcBorders>
            <w:shd w:val="clear" w:color="auto" w:fill="D9D9D9" w:themeFill="background1" w:themeFillShade="D9"/>
            <w:vAlign w:val="center"/>
            <w:hideMark/>
          </w:tcPr>
          <w:p w:rsidR="004F4923" w:rsidRDefault="004F4923" w:rsidP="0009638C">
            <w:pPr>
              <w:rPr>
                <w:rFonts w:ascii="Arial Narrow" w:hAnsi="Arial Narrow"/>
                <w:b/>
                <w:bCs/>
                <w:sz w:val="16"/>
                <w:szCs w:val="16"/>
              </w:rPr>
            </w:pPr>
            <w:r>
              <w:rPr>
                <w:rFonts w:ascii="Arial Narrow" w:hAnsi="Arial Narrow"/>
                <w:b/>
                <w:bCs/>
                <w:sz w:val="16"/>
                <w:szCs w:val="16"/>
              </w:rPr>
              <w:t>Λοιπές εθνικολογιστικές προσαρμογές</w:t>
            </w:r>
          </w:p>
        </w:tc>
        <w:tc>
          <w:tcPr>
            <w:tcW w:w="1340" w:type="dxa"/>
            <w:tcBorders>
              <w:top w:val="nil"/>
              <w:left w:val="nil"/>
              <w:bottom w:val="single" w:sz="4" w:space="0" w:color="auto"/>
              <w:right w:val="nil"/>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-63</w:t>
            </w:r>
          </w:p>
        </w:tc>
        <w:tc>
          <w:tcPr>
            <w:tcW w:w="1500" w:type="dxa"/>
            <w:tcBorders>
              <w:top w:val="nil"/>
              <w:left w:val="nil"/>
              <w:bottom w:val="single" w:sz="4" w:space="0" w:color="auto"/>
              <w:right w:val="single" w:sz="4" w:space="0" w:color="auto"/>
            </w:tcBorders>
            <w:shd w:val="clear" w:color="auto" w:fill="D9D9D9" w:themeFill="background1" w:themeFillShade="D9"/>
            <w:vAlign w:val="center"/>
            <w:hideMark/>
          </w:tcPr>
          <w:p w:rsidR="004F4923" w:rsidRDefault="004F4923" w:rsidP="004F4923">
            <w:pPr>
              <w:tabs>
                <w:tab w:val="decimal" w:pos="638"/>
              </w:tabs>
              <w:jc w:val="both"/>
              <w:rPr>
                <w:rFonts w:ascii="Arial Narrow" w:hAnsi="Arial Narrow"/>
                <w:b/>
                <w:bCs/>
                <w:color w:val="000000"/>
                <w:sz w:val="16"/>
                <w:szCs w:val="16"/>
              </w:rPr>
            </w:pPr>
            <w:r>
              <w:rPr>
                <w:rFonts w:ascii="Arial Narrow" w:hAnsi="Arial Narrow"/>
                <w:b/>
                <w:bCs/>
                <w:color w:val="000000"/>
                <w:sz w:val="16"/>
                <w:szCs w:val="16"/>
              </w:rPr>
              <w:t>10</w:t>
            </w:r>
          </w:p>
        </w:tc>
      </w:tr>
    </w:tbl>
    <w:p w:rsidR="000F1010" w:rsidRDefault="004721D7" w:rsidP="00282521">
      <w:pPr>
        <w:ind w:left="567" w:hanging="283"/>
        <w:jc w:val="both"/>
        <w:rPr>
          <w:rFonts w:ascii="Arial Narrow" w:hAnsi="Arial Narrow"/>
          <w:sz w:val="16"/>
        </w:rPr>
      </w:pPr>
      <w:r w:rsidRPr="004721D7">
        <w:rPr>
          <w:rFonts w:ascii="Arial Narrow" w:hAnsi="Arial Narrow"/>
          <w:sz w:val="16"/>
          <w:vertAlign w:val="superscript"/>
        </w:rPr>
        <w:t>1</w:t>
      </w:r>
      <w:r w:rsidR="00282521" w:rsidRPr="0009638C">
        <w:rPr>
          <w:rFonts w:ascii="Arial Narrow" w:hAnsi="Arial Narrow"/>
          <w:sz w:val="16"/>
        </w:rPr>
        <w:tab/>
      </w:r>
      <w:r w:rsidR="000F1010" w:rsidRPr="0009638C">
        <w:rPr>
          <w:rFonts w:ascii="Arial Narrow" w:hAnsi="Arial Narrow"/>
          <w:sz w:val="16"/>
        </w:rPr>
        <w:t>Το θετικό πρ</w:t>
      </w:r>
      <w:r w:rsidR="00312A50" w:rsidRPr="0009638C">
        <w:rPr>
          <w:rFonts w:ascii="Arial Narrow" w:hAnsi="Arial Narrow"/>
          <w:sz w:val="16"/>
        </w:rPr>
        <w:t xml:space="preserve">όσημο στη μεταβολή των </w:t>
      </w:r>
      <w:r w:rsidR="00156075">
        <w:rPr>
          <w:rFonts w:ascii="Arial Narrow" w:hAnsi="Arial Narrow"/>
          <w:i/>
          <w:iCs/>
          <w:sz w:val="16"/>
          <w:szCs w:val="16"/>
        </w:rPr>
        <w:t>απλήρωτων</w:t>
      </w:r>
      <w:r w:rsidR="00312A50" w:rsidRPr="0009638C">
        <w:rPr>
          <w:rFonts w:ascii="Arial Narrow" w:hAnsi="Arial Narrow"/>
          <w:sz w:val="16"/>
        </w:rPr>
        <w:t xml:space="preserve"> υποχρεώσεων σημαίνει βελτίωση του αποτελέσματος.</w:t>
      </w:r>
    </w:p>
    <w:p w:rsidR="004721D7" w:rsidRPr="004721D7" w:rsidRDefault="004721D7" w:rsidP="00282521">
      <w:pPr>
        <w:ind w:left="567" w:hanging="283"/>
        <w:jc w:val="both"/>
        <w:rPr>
          <w:sz w:val="22"/>
          <w:szCs w:val="22"/>
        </w:rPr>
      </w:pPr>
    </w:p>
    <w:p w:rsidR="00083D48" w:rsidRDefault="00083D48" w:rsidP="00083D48">
      <w:pPr>
        <w:contextualSpacing/>
        <w:jc w:val="both"/>
        <w:rPr>
          <w:rFonts w:ascii="Arial Narrow" w:hAnsi="Arial Narrow"/>
          <w:b/>
          <w:color w:val="000080"/>
          <w:szCs w:val="22"/>
        </w:rPr>
      </w:pPr>
      <w:r w:rsidRPr="0063065A">
        <w:rPr>
          <w:rFonts w:ascii="Arial Narrow" w:hAnsi="Arial Narrow"/>
          <w:b/>
          <w:color w:val="000080"/>
          <w:szCs w:val="22"/>
        </w:rPr>
        <w:lastRenderedPageBreak/>
        <w:t xml:space="preserve">Νομικά πρόσωπα </w:t>
      </w:r>
      <w:r w:rsidR="00D6601E">
        <w:rPr>
          <w:rFonts w:ascii="Arial Narrow" w:hAnsi="Arial Narrow"/>
          <w:b/>
          <w:color w:val="000080"/>
          <w:szCs w:val="22"/>
        </w:rPr>
        <w:t>ανά υ</w:t>
      </w:r>
      <w:r>
        <w:rPr>
          <w:rFonts w:ascii="Arial Narrow" w:hAnsi="Arial Narrow"/>
          <w:b/>
          <w:color w:val="000080"/>
          <w:szCs w:val="22"/>
        </w:rPr>
        <w:t xml:space="preserve">πουργείο </w:t>
      </w:r>
      <w:r w:rsidRPr="0063065A">
        <w:rPr>
          <w:rFonts w:ascii="Arial Narrow" w:hAnsi="Arial Narrow"/>
          <w:b/>
          <w:color w:val="000080"/>
          <w:szCs w:val="22"/>
        </w:rPr>
        <w:t xml:space="preserve">πλην </w:t>
      </w:r>
      <w:r>
        <w:rPr>
          <w:rFonts w:ascii="Arial Narrow" w:hAnsi="Arial Narrow"/>
          <w:b/>
          <w:color w:val="000080"/>
          <w:szCs w:val="22"/>
        </w:rPr>
        <w:t xml:space="preserve">ΑΔΑ και </w:t>
      </w:r>
      <w:r w:rsidRPr="0063065A">
        <w:rPr>
          <w:rFonts w:ascii="Arial Narrow" w:hAnsi="Arial Narrow"/>
          <w:b/>
          <w:color w:val="000080"/>
          <w:szCs w:val="22"/>
        </w:rPr>
        <w:t>ΑΚΑΓΕ</w:t>
      </w:r>
    </w:p>
    <w:p w:rsidR="00083D48" w:rsidRDefault="00083D48" w:rsidP="00083D48">
      <w:pPr>
        <w:contextualSpacing/>
        <w:jc w:val="both"/>
        <w:rPr>
          <w:rFonts w:ascii="Arial Narrow" w:hAnsi="Arial Narrow"/>
          <w:b/>
          <w:i/>
          <w:sz w:val="22"/>
          <w:szCs w:val="22"/>
        </w:rPr>
      </w:pPr>
    </w:p>
    <w:p w:rsidR="00083D48" w:rsidRPr="00BB4180" w:rsidRDefault="00083D48" w:rsidP="00083D48">
      <w:pPr>
        <w:contextualSpacing/>
        <w:jc w:val="both"/>
        <w:rPr>
          <w:rFonts w:ascii="Arial Narrow" w:hAnsi="Arial Narrow"/>
          <w:b/>
          <w:i/>
          <w:sz w:val="22"/>
          <w:szCs w:val="22"/>
        </w:rPr>
      </w:pPr>
      <w:r w:rsidRPr="00BB4180">
        <w:rPr>
          <w:rFonts w:ascii="Arial Narrow" w:hAnsi="Arial Narrow"/>
          <w:b/>
          <w:i/>
          <w:sz w:val="22"/>
          <w:szCs w:val="22"/>
        </w:rPr>
        <w:t xml:space="preserve">Υπουργείο Διοικητικής Ανασυγκρότησης </w:t>
      </w:r>
    </w:p>
    <w:p w:rsidR="00083D48" w:rsidRDefault="00083D48" w:rsidP="00083D48">
      <w:pPr>
        <w:jc w:val="both"/>
        <w:rPr>
          <w:sz w:val="22"/>
          <w:szCs w:val="22"/>
        </w:rPr>
      </w:pPr>
    </w:p>
    <w:p w:rsidR="00083D48" w:rsidRDefault="00083D48" w:rsidP="00083D48">
      <w:pPr>
        <w:jc w:val="both"/>
        <w:rPr>
          <w:sz w:val="22"/>
          <w:szCs w:val="22"/>
        </w:rPr>
      </w:pPr>
      <w:r w:rsidRPr="00B23780">
        <w:rPr>
          <w:sz w:val="22"/>
          <w:szCs w:val="22"/>
        </w:rPr>
        <w:t xml:space="preserve">Ο προϋπολογισμός του νομικού προσώπου, </w:t>
      </w:r>
      <w:r w:rsidR="004F5A57">
        <w:rPr>
          <w:sz w:val="22"/>
          <w:szCs w:val="22"/>
        </w:rPr>
        <w:t>«</w:t>
      </w:r>
      <w:r w:rsidRPr="00B23780">
        <w:rPr>
          <w:sz w:val="22"/>
          <w:szCs w:val="22"/>
        </w:rPr>
        <w:t>Εθνικό Κέντρο Δημόσιας Διοίκησης και Αυτοδιοίκ</w:t>
      </w:r>
      <w:r w:rsidRPr="00B23780">
        <w:rPr>
          <w:sz w:val="22"/>
          <w:szCs w:val="22"/>
        </w:rPr>
        <w:t>η</w:t>
      </w:r>
      <w:r w:rsidRPr="00B23780">
        <w:rPr>
          <w:sz w:val="22"/>
          <w:szCs w:val="22"/>
        </w:rPr>
        <w:t>σης</w:t>
      </w:r>
      <w:r w:rsidR="004F5A57">
        <w:rPr>
          <w:sz w:val="22"/>
          <w:szCs w:val="22"/>
        </w:rPr>
        <w:t>»</w:t>
      </w:r>
      <w:r w:rsidRPr="00B23780">
        <w:rPr>
          <w:sz w:val="22"/>
          <w:szCs w:val="22"/>
        </w:rPr>
        <w:t xml:space="preserve"> (ΕΚΔΔΑ), προβλέπεται να είναι κατά βάση ισοσκελισμένος για το έτος 2019.</w:t>
      </w:r>
    </w:p>
    <w:p w:rsidR="004C68B5" w:rsidRPr="00D922E3" w:rsidRDefault="004C68B5" w:rsidP="00083D48">
      <w:pPr>
        <w:jc w:val="both"/>
        <w:rPr>
          <w:sz w:val="22"/>
          <w:szCs w:val="22"/>
        </w:rPr>
      </w:pPr>
    </w:p>
    <w:p w:rsidR="00083D48" w:rsidRPr="006247CC" w:rsidRDefault="00083D48" w:rsidP="00083D48">
      <w:pPr>
        <w:jc w:val="both"/>
        <w:rPr>
          <w:rFonts w:ascii="Arial Narrow" w:hAnsi="Arial Narrow"/>
          <w:b/>
          <w:i/>
          <w:sz w:val="22"/>
          <w:szCs w:val="22"/>
        </w:rPr>
      </w:pPr>
      <w:r w:rsidRPr="006247CC">
        <w:rPr>
          <w:rFonts w:ascii="Arial Narrow" w:hAnsi="Arial Narrow"/>
          <w:b/>
          <w:i/>
          <w:sz w:val="22"/>
          <w:szCs w:val="22"/>
        </w:rPr>
        <w:t>Υπουργείο Εσωτερικών</w:t>
      </w:r>
    </w:p>
    <w:p w:rsidR="00083D48" w:rsidRPr="006247CC" w:rsidRDefault="00083D48" w:rsidP="00083D48">
      <w:pPr>
        <w:jc w:val="both"/>
        <w:rPr>
          <w:rFonts w:ascii="Arial Narrow" w:hAnsi="Arial Narrow"/>
          <w:b/>
          <w:i/>
          <w:sz w:val="22"/>
          <w:szCs w:val="22"/>
          <w:highlight w:val="yellow"/>
        </w:rPr>
      </w:pPr>
    </w:p>
    <w:p w:rsidR="00083D48" w:rsidRPr="00EB4EDA" w:rsidRDefault="00083D48" w:rsidP="00083D48">
      <w:pPr>
        <w:jc w:val="both"/>
        <w:rPr>
          <w:sz w:val="22"/>
          <w:szCs w:val="22"/>
        </w:rPr>
      </w:pPr>
      <w:r w:rsidRPr="00B23780">
        <w:rPr>
          <w:sz w:val="22"/>
          <w:szCs w:val="22"/>
        </w:rPr>
        <w:t xml:space="preserve">Στα νομικά πρόσωπα εποπτείας του εν λόγω </w:t>
      </w:r>
      <w:r w:rsidR="00981976" w:rsidRPr="00B23780">
        <w:rPr>
          <w:sz w:val="22"/>
          <w:szCs w:val="22"/>
        </w:rPr>
        <w:t>Υπουργείου</w:t>
      </w:r>
      <w:r w:rsidR="00981976">
        <w:rPr>
          <w:sz w:val="22"/>
          <w:szCs w:val="22"/>
        </w:rPr>
        <w:t xml:space="preserve"> </w:t>
      </w:r>
      <w:r>
        <w:rPr>
          <w:sz w:val="22"/>
          <w:szCs w:val="22"/>
        </w:rPr>
        <w:t>περιλαμβάνονται</w:t>
      </w:r>
      <w:r w:rsidRPr="006247CC">
        <w:rPr>
          <w:sz w:val="22"/>
          <w:szCs w:val="22"/>
        </w:rPr>
        <w:t xml:space="preserve"> </w:t>
      </w:r>
      <w:r>
        <w:rPr>
          <w:sz w:val="22"/>
          <w:szCs w:val="22"/>
        </w:rPr>
        <w:t xml:space="preserve">το </w:t>
      </w:r>
      <w:r w:rsidRPr="006247CC">
        <w:rPr>
          <w:sz w:val="22"/>
          <w:szCs w:val="22"/>
        </w:rPr>
        <w:t xml:space="preserve">Κέντρο Ερευνών για Θέματα Ισότητας (ΚΕΘΙ), </w:t>
      </w:r>
      <w:r w:rsidRPr="00192D9A">
        <w:rPr>
          <w:sz w:val="22"/>
          <w:szCs w:val="22"/>
        </w:rPr>
        <w:t>η Αλεξάνδρεια Ζώνη Καινοτομίας ΑΕ</w:t>
      </w:r>
      <w:r w:rsidR="00190AA5">
        <w:rPr>
          <w:sz w:val="22"/>
          <w:szCs w:val="22"/>
        </w:rPr>
        <w:t>,</w:t>
      </w:r>
      <w:r w:rsidRPr="006247CC">
        <w:rPr>
          <w:sz w:val="22"/>
          <w:szCs w:val="22"/>
        </w:rPr>
        <w:t xml:space="preserve"> </w:t>
      </w:r>
      <w:r>
        <w:rPr>
          <w:sz w:val="22"/>
          <w:szCs w:val="22"/>
        </w:rPr>
        <w:t xml:space="preserve">καθώς </w:t>
      </w:r>
      <w:r w:rsidRPr="006247CC">
        <w:rPr>
          <w:sz w:val="22"/>
          <w:szCs w:val="22"/>
        </w:rPr>
        <w:t>και το Κέντρο Διαφύλαξης Αγιορείτικης Κληρονομ</w:t>
      </w:r>
      <w:r>
        <w:rPr>
          <w:sz w:val="22"/>
          <w:szCs w:val="22"/>
        </w:rPr>
        <w:t>ιά</w:t>
      </w:r>
      <w:r w:rsidRPr="006247CC">
        <w:rPr>
          <w:sz w:val="22"/>
          <w:szCs w:val="22"/>
        </w:rPr>
        <w:t>ς</w:t>
      </w:r>
      <w:r w:rsidR="00190AA5">
        <w:rPr>
          <w:sz w:val="22"/>
          <w:szCs w:val="22"/>
        </w:rPr>
        <w:t xml:space="preserve"> (ΚΕΔΑΚ)</w:t>
      </w:r>
      <w:r>
        <w:rPr>
          <w:sz w:val="22"/>
          <w:szCs w:val="22"/>
        </w:rPr>
        <w:t>, το σύνολο των δαπανών των οποίων θα καλυφθεί από τα έσ</w:t>
      </w:r>
      <w:r>
        <w:rPr>
          <w:sz w:val="22"/>
          <w:szCs w:val="22"/>
        </w:rPr>
        <w:t>ο</w:t>
      </w:r>
      <w:r>
        <w:rPr>
          <w:sz w:val="22"/>
          <w:szCs w:val="22"/>
        </w:rPr>
        <w:t xml:space="preserve">δά </w:t>
      </w:r>
      <w:r w:rsidR="00190AA5">
        <w:rPr>
          <w:sz w:val="22"/>
          <w:szCs w:val="22"/>
        </w:rPr>
        <w:t>τους το 2019</w:t>
      </w:r>
      <w:r w:rsidRPr="006247CC">
        <w:rPr>
          <w:sz w:val="22"/>
          <w:szCs w:val="22"/>
        </w:rPr>
        <w:t>.</w:t>
      </w:r>
    </w:p>
    <w:p w:rsidR="00083D48" w:rsidRDefault="00083D48" w:rsidP="00083D48">
      <w:pPr>
        <w:jc w:val="both"/>
        <w:rPr>
          <w:rFonts w:ascii="Arial Narrow" w:hAnsi="Arial Narrow"/>
          <w:b/>
          <w:i/>
          <w:sz w:val="22"/>
          <w:szCs w:val="22"/>
        </w:rPr>
      </w:pPr>
    </w:p>
    <w:p w:rsidR="00083D48" w:rsidRPr="00EB4EDA" w:rsidRDefault="00083D48" w:rsidP="00083D48">
      <w:pPr>
        <w:contextualSpacing/>
        <w:jc w:val="both"/>
        <w:rPr>
          <w:rFonts w:ascii="Arial Narrow" w:hAnsi="Arial Narrow"/>
          <w:b/>
          <w:i/>
          <w:sz w:val="22"/>
          <w:szCs w:val="22"/>
        </w:rPr>
      </w:pPr>
      <w:r w:rsidRPr="00EB4EDA">
        <w:rPr>
          <w:rFonts w:ascii="Arial Narrow" w:hAnsi="Arial Narrow"/>
          <w:b/>
          <w:i/>
          <w:sz w:val="22"/>
          <w:szCs w:val="22"/>
        </w:rPr>
        <w:t>Υπουργείο Εξωτερικών</w:t>
      </w:r>
    </w:p>
    <w:p w:rsidR="00083D48" w:rsidRPr="00EB4EDA" w:rsidRDefault="00083D48" w:rsidP="00083D48">
      <w:pPr>
        <w:contextualSpacing/>
        <w:jc w:val="both"/>
        <w:rPr>
          <w:sz w:val="22"/>
          <w:szCs w:val="22"/>
        </w:rPr>
      </w:pPr>
    </w:p>
    <w:p w:rsidR="00083D48" w:rsidRPr="00B23780" w:rsidRDefault="00083D48" w:rsidP="00083D48">
      <w:pPr>
        <w:jc w:val="both"/>
        <w:rPr>
          <w:sz w:val="22"/>
          <w:szCs w:val="22"/>
        </w:rPr>
      </w:pPr>
      <w:r w:rsidRPr="00B23780">
        <w:rPr>
          <w:sz w:val="22"/>
          <w:szCs w:val="22"/>
        </w:rPr>
        <w:t>Ο προϋ</w:t>
      </w:r>
      <w:r w:rsidR="00190AA5">
        <w:rPr>
          <w:sz w:val="22"/>
          <w:szCs w:val="22"/>
        </w:rPr>
        <w:t>πολογισμός του νομικού προσώπου</w:t>
      </w:r>
      <w:r w:rsidRPr="00B23780">
        <w:rPr>
          <w:sz w:val="22"/>
          <w:szCs w:val="22"/>
        </w:rPr>
        <w:t xml:space="preserve"> </w:t>
      </w:r>
      <w:r w:rsidR="00190AA5">
        <w:rPr>
          <w:sz w:val="22"/>
          <w:szCs w:val="22"/>
        </w:rPr>
        <w:t>«</w:t>
      </w:r>
      <w:r w:rsidRPr="00B23780">
        <w:rPr>
          <w:sz w:val="22"/>
          <w:szCs w:val="22"/>
        </w:rPr>
        <w:t>Ελληνική Εθνική Επιτροπή για την UNESCO</w:t>
      </w:r>
      <w:r w:rsidR="00190AA5">
        <w:rPr>
          <w:sz w:val="22"/>
          <w:szCs w:val="22"/>
        </w:rPr>
        <w:t>»</w:t>
      </w:r>
      <w:r w:rsidR="003F07CC">
        <w:rPr>
          <w:sz w:val="22"/>
          <w:szCs w:val="22"/>
        </w:rPr>
        <w:t xml:space="preserve"> </w:t>
      </w:r>
      <w:r w:rsidR="00156075">
        <w:rPr>
          <w:sz w:val="22"/>
          <w:szCs w:val="22"/>
        </w:rPr>
        <w:t>προβλ</w:t>
      </w:r>
      <w:r w:rsidR="00156075">
        <w:rPr>
          <w:sz w:val="22"/>
          <w:szCs w:val="22"/>
        </w:rPr>
        <w:t>έ</w:t>
      </w:r>
      <w:r w:rsidR="00156075">
        <w:rPr>
          <w:sz w:val="22"/>
          <w:szCs w:val="22"/>
        </w:rPr>
        <w:t>πεται</w:t>
      </w:r>
      <w:r w:rsidRPr="00B23780">
        <w:rPr>
          <w:sz w:val="22"/>
          <w:szCs w:val="22"/>
        </w:rPr>
        <w:t xml:space="preserve"> να είναι ισοσκελισμένος για το έτος 2019.</w:t>
      </w:r>
    </w:p>
    <w:p w:rsidR="00083D48" w:rsidRPr="00B23780" w:rsidRDefault="00083D48" w:rsidP="00083D48">
      <w:pPr>
        <w:jc w:val="both"/>
        <w:rPr>
          <w:rFonts w:ascii="Arial Narrow" w:hAnsi="Arial Narrow"/>
          <w:b/>
          <w:i/>
          <w:sz w:val="22"/>
          <w:szCs w:val="22"/>
        </w:rPr>
      </w:pPr>
    </w:p>
    <w:p w:rsidR="00083D48" w:rsidRPr="00EB4EDA" w:rsidRDefault="00083D48" w:rsidP="00083D48">
      <w:pPr>
        <w:jc w:val="both"/>
        <w:rPr>
          <w:rFonts w:ascii="Arial Narrow" w:hAnsi="Arial Narrow"/>
          <w:b/>
          <w:i/>
          <w:sz w:val="22"/>
          <w:szCs w:val="22"/>
        </w:rPr>
      </w:pPr>
      <w:r w:rsidRPr="00EB4EDA">
        <w:rPr>
          <w:rFonts w:ascii="Arial Narrow" w:hAnsi="Arial Narrow"/>
          <w:b/>
          <w:i/>
          <w:sz w:val="22"/>
          <w:szCs w:val="22"/>
        </w:rPr>
        <w:t>Υπουργείο Εθνικής Άμυνας</w:t>
      </w:r>
    </w:p>
    <w:p w:rsidR="00083D48" w:rsidRPr="00EB4EDA" w:rsidRDefault="00083D48" w:rsidP="00083D48">
      <w:pPr>
        <w:jc w:val="both"/>
        <w:rPr>
          <w:b/>
          <w:sz w:val="22"/>
          <w:szCs w:val="22"/>
        </w:rPr>
      </w:pPr>
    </w:p>
    <w:p w:rsidR="00083D48" w:rsidRDefault="00083D48" w:rsidP="00083D48">
      <w:pPr>
        <w:contextualSpacing/>
        <w:jc w:val="both"/>
        <w:rPr>
          <w:sz w:val="22"/>
          <w:szCs w:val="22"/>
        </w:rPr>
      </w:pPr>
      <w:r w:rsidRPr="00B23780">
        <w:rPr>
          <w:sz w:val="22"/>
          <w:szCs w:val="22"/>
        </w:rPr>
        <w:t xml:space="preserve">Στην εποπτεία του </w:t>
      </w:r>
      <w:r w:rsidR="00981976" w:rsidRPr="00B23780">
        <w:rPr>
          <w:sz w:val="22"/>
          <w:szCs w:val="22"/>
        </w:rPr>
        <w:t xml:space="preserve">Υπουργείου </w:t>
      </w:r>
      <w:r w:rsidRPr="00B23780">
        <w:rPr>
          <w:sz w:val="22"/>
          <w:szCs w:val="22"/>
        </w:rPr>
        <w:t xml:space="preserve">περιλαμβάνονται συνολικά έξι (6) νομικά πρόσωπα δημοσίου δικαίου και η υπό ειδική εκκαθάριση εταιρεία </w:t>
      </w:r>
      <w:r w:rsidR="00190AA5">
        <w:rPr>
          <w:sz w:val="22"/>
          <w:szCs w:val="22"/>
        </w:rPr>
        <w:t>«</w:t>
      </w:r>
      <w:r w:rsidRPr="00B23780">
        <w:rPr>
          <w:sz w:val="22"/>
          <w:szCs w:val="22"/>
        </w:rPr>
        <w:t>Ηλεκτρομηχανική Κύμης ΕΠΕ</w:t>
      </w:r>
      <w:r w:rsidR="00190AA5">
        <w:rPr>
          <w:sz w:val="22"/>
          <w:szCs w:val="22"/>
        </w:rPr>
        <w:t>»</w:t>
      </w:r>
      <w:r w:rsidRPr="00B23780">
        <w:rPr>
          <w:sz w:val="22"/>
          <w:szCs w:val="22"/>
        </w:rPr>
        <w:t xml:space="preserve">, το σύνολο των οποίων </w:t>
      </w:r>
      <w:r w:rsidR="00156075">
        <w:rPr>
          <w:sz w:val="22"/>
          <w:szCs w:val="22"/>
        </w:rPr>
        <w:t>προ</w:t>
      </w:r>
      <w:r w:rsidR="00156075">
        <w:rPr>
          <w:sz w:val="22"/>
          <w:szCs w:val="22"/>
        </w:rPr>
        <w:t>β</w:t>
      </w:r>
      <w:r w:rsidR="00156075">
        <w:rPr>
          <w:sz w:val="22"/>
          <w:szCs w:val="22"/>
        </w:rPr>
        <w:t>λέπεται</w:t>
      </w:r>
      <w:r w:rsidRPr="00B23780">
        <w:rPr>
          <w:sz w:val="22"/>
          <w:szCs w:val="22"/>
        </w:rPr>
        <w:t xml:space="preserve"> να εμφανίσει έλλειμμα ύψους 0,1 εκατ. ευρώ.</w:t>
      </w:r>
      <w:r w:rsidRPr="00EB4EDA">
        <w:rPr>
          <w:sz w:val="22"/>
          <w:szCs w:val="22"/>
        </w:rPr>
        <w:t xml:space="preserve"> Το </w:t>
      </w:r>
      <w:r>
        <w:rPr>
          <w:sz w:val="22"/>
          <w:szCs w:val="22"/>
        </w:rPr>
        <w:t xml:space="preserve">κυριότερο μέρος των εσόδων </w:t>
      </w:r>
      <w:r w:rsidRPr="00EB4EDA">
        <w:rPr>
          <w:sz w:val="22"/>
          <w:szCs w:val="22"/>
        </w:rPr>
        <w:t xml:space="preserve">των νομικών προσώπων δημοσίου δικαίου </w:t>
      </w:r>
      <w:r w:rsidRPr="00746947">
        <w:rPr>
          <w:sz w:val="22"/>
          <w:szCs w:val="22"/>
        </w:rPr>
        <w:t>προέρχεται από ίδια έσοδα</w:t>
      </w:r>
      <w:r w:rsidRPr="00EB4EDA">
        <w:rPr>
          <w:sz w:val="22"/>
          <w:szCs w:val="22"/>
        </w:rPr>
        <w:t>, ενώ οι δαπάνες τους αφορούν κυρίως επε</w:t>
      </w:r>
      <w:r w:rsidRPr="00EB4EDA">
        <w:rPr>
          <w:sz w:val="22"/>
          <w:szCs w:val="22"/>
        </w:rPr>
        <w:t>ν</w:t>
      </w:r>
      <w:r w:rsidRPr="00EB4EDA">
        <w:rPr>
          <w:sz w:val="22"/>
          <w:szCs w:val="22"/>
        </w:rPr>
        <w:t xml:space="preserve">δύσεις και </w:t>
      </w:r>
      <w:r w:rsidRPr="00746947">
        <w:rPr>
          <w:sz w:val="22"/>
          <w:szCs w:val="22"/>
        </w:rPr>
        <w:t>αποδόσεις εσόδων υπέρ τρίτων.</w:t>
      </w:r>
      <w:r>
        <w:rPr>
          <w:sz w:val="22"/>
          <w:szCs w:val="22"/>
        </w:rPr>
        <w:t xml:space="preserve"> </w:t>
      </w:r>
    </w:p>
    <w:p w:rsidR="00083D48" w:rsidRDefault="00083D48" w:rsidP="00083D48">
      <w:pPr>
        <w:contextualSpacing/>
        <w:jc w:val="both"/>
        <w:rPr>
          <w:sz w:val="22"/>
          <w:szCs w:val="22"/>
        </w:rPr>
      </w:pPr>
    </w:p>
    <w:p w:rsidR="00083D48" w:rsidRPr="00A638A3" w:rsidRDefault="00083D48" w:rsidP="00083D48">
      <w:pPr>
        <w:contextualSpacing/>
        <w:jc w:val="both"/>
        <w:rPr>
          <w:rFonts w:ascii="Arial Narrow" w:hAnsi="Arial Narrow"/>
          <w:b/>
          <w:i/>
          <w:sz w:val="22"/>
          <w:szCs w:val="22"/>
        </w:rPr>
      </w:pPr>
      <w:r w:rsidRPr="00A638A3">
        <w:rPr>
          <w:rFonts w:ascii="Arial Narrow" w:hAnsi="Arial Narrow"/>
          <w:b/>
          <w:i/>
          <w:sz w:val="22"/>
          <w:szCs w:val="22"/>
        </w:rPr>
        <w:t>Υπουργείο Υγείας</w:t>
      </w:r>
    </w:p>
    <w:p w:rsidR="00083D48" w:rsidRPr="00064EBD" w:rsidRDefault="00083D48" w:rsidP="00083D48">
      <w:pPr>
        <w:contextualSpacing/>
        <w:jc w:val="both"/>
        <w:rPr>
          <w:rFonts w:ascii="Arial Narrow" w:hAnsi="Arial Narrow"/>
          <w:b/>
          <w:i/>
          <w:sz w:val="22"/>
          <w:szCs w:val="22"/>
          <w:highlight w:val="yellow"/>
        </w:rPr>
      </w:pPr>
    </w:p>
    <w:p w:rsidR="00083D48" w:rsidRPr="00BB4180" w:rsidRDefault="00083D48" w:rsidP="00083D48">
      <w:pPr>
        <w:contextualSpacing/>
        <w:jc w:val="both"/>
        <w:rPr>
          <w:sz w:val="22"/>
          <w:szCs w:val="22"/>
        </w:rPr>
      </w:pPr>
      <w:r w:rsidRPr="00BB4180">
        <w:rPr>
          <w:sz w:val="22"/>
          <w:szCs w:val="22"/>
        </w:rPr>
        <w:t>Τα νομικά πρόσωπα εποπτείας του Υπουργείου Υγείας</w:t>
      </w:r>
      <w:r>
        <w:rPr>
          <w:sz w:val="22"/>
          <w:szCs w:val="22"/>
        </w:rPr>
        <w:t>,</w:t>
      </w:r>
      <w:r w:rsidRPr="00BB4180">
        <w:rPr>
          <w:sz w:val="22"/>
          <w:szCs w:val="22"/>
        </w:rPr>
        <w:t xml:space="preserve"> στα οποία περιλαμβάνονται, μεταξύ άλλων, το Εθνικό Κέντρο Άμεσης Βοήθειας (ΕΚΑΒ), ο Εθνικός Οργανισμός Φαρμάκων (ΕΟΦ), το Εθνικό Κέντρο Αιμοδοσίας (ΕΚΕΑ), η Ανώνυμη Εταιρεία Μονάδων Υγείας (ΑΕΜΥ) ΑΕ, ο Οργανισμός Κ</w:t>
      </w:r>
      <w:r w:rsidRPr="00BB4180">
        <w:rPr>
          <w:sz w:val="22"/>
          <w:szCs w:val="22"/>
        </w:rPr>
        <w:t>α</w:t>
      </w:r>
      <w:r w:rsidRPr="00BB4180">
        <w:rPr>
          <w:sz w:val="22"/>
          <w:szCs w:val="22"/>
        </w:rPr>
        <w:t>τά των Ναρκωτικών (ΟΚΑΝΑ), το Κέντρο Θεραπείας Εξαρτημένων Ατόμων (ΚΕΘΕΑ), το Ελληνικό Κέντρο Ψυχικής Υγιεινής και Ερευνών (ΕΚΕΨΥΕ) και ο Εθνικός Οργανισμός Μεταμοσχεύσεων (ΕΟΜ)</w:t>
      </w:r>
      <w:r>
        <w:rPr>
          <w:sz w:val="22"/>
          <w:szCs w:val="22"/>
        </w:rPr>
        <w:t>,</w:t>
      </w:r>
      <w:r w:rsidRPr="00BB4180">
        <w:rPr>
          <w:sz w:val="22"/>
          <w:szCs w:val="22"/>
        </w:rPr>
        <w:t xml:space="preserve"> αναμένεται να εμφανίσουν τόσο για το 2018 όσο και για το 2019 θετικό αποτέλεσμα ύψους 19 εκατ. ευρώ, προερχόμενο κατά κύριο λόγο από τον ΕΟΦ.</w:t>
      </w:r>
    </w:p>
    <w:p w:rsidR="00083D48" w:rsidRPr="00BB4180" w:rsidRDefault="00083D48" w:rsidP="00083D48">
      <w:pPr>
        <w:contextualSpacing/>
        <w:jc w:val="both"/>
        <w:rPr>
          <w:sz w:val="22"/>
          <w:szCs w:val="22"/>
        </w:rPr>
      </w:pPr>
    </w:p>
    <w:p w:rsidR="00083D48" w:rsidRPr="00BB4180" w:rsidRDefault="00083D48" w:rsidP="00083D48">
      <w:pPr>
        <w:contextualSpacing/>
        <w:jc w:val="both"/>
        <w:rPr>
          <w:rFonts w:ascii="Arial Narrow" w:hAnsi="Arial Narrow"/>
          <w:b/>
          <w:i/>
          <w:sz w:val="22"/>
          <w:szCs w:val="22"/>
        </w:rPr>
      </w:pPr>
      <w:r w:rsidRPr="003B6A65">
        <w:rPr>
          <w:rFonts w:ascii="Arial Narrow" w:hAnsi="Arial Narrow"/>
          <w:b/>
          <w:i/>
          <w:sz w:val="22"/>
          <w:szCs w:val="22"/>
        </w:rPr>
        <w:t>Υπουργείο Δικαιοσύνης, Διαφάνειας και Ανθρωπίνων Δικαιωμάτων</w:t>
      </w:r>
      <w:r w:rsidRPr="00BB4180">
        <w:rPr>
          <w:rFonts w:ascii="Arial Narrow" w:hAnsi="Arial Narrow"/>
          <w:b/>
          <w:i/>
          <w:sz w:val="22"/>
          <w:szCs w:val="22"/>
        </w:rPr>
        <w:t xml:space="preserve"> </w:t>
      </w:r>
    </w:p>
    <w:p w:rsidR="00083D48" w:rsidRPr="00BB4180" w:rsidRDefault="00083D48" w:rsidP="00083D48">
      <w:pPr>
        <w:pStyle w:val="Default"/>
        <w:rPr>
          <w:rFonts w:ascii="Segoe UI" w:hAnsi="Segoe UI" w:cs="Segoe UI"/>
          <w:sz w:val="22"/>
          <w:szCs w:val="22"/>
        </w:rPr>
      </w:pPr>
    </w:p>
    <w:p w:rsidR="00083D48" w:rsidRPr="00BB4180" w:rsidRDefault="00083D48" w:rsidP="00083D48">
      <w:pPr>
        <w:contextualSpacing/>
        <w:jc w:val="both"/>
        <w:rPr>
          <w:sz w:val="22"/>
          <w:szCs w:val="22"/>
        </w:rPr>
      </w:pPr>
      <w:r w:rsidRPr="00220555">
        <w:rPr>
          <w:sz w:val="22"/>
          <w:szCs w:val="22"/>
        </w:rPr>
        <w:t xml:space="preserve">Το αποτέλεσμα των εποπτευόμενων από το εν λόγω </w:t>
      </w:r>
      <w:r w:rsidR="00981976" w:rsidRPr="00220555">
        <w:rPr>
          <w:sz w:val="22"/>
          <w:szCs w:val="22"/>
        </w:rPr>
        <w:t xml:space="preserve">Υπουργείο </w:t>
      </w:r>
      <w:r w:rsidRPr="00220555">
        <w:rPr>
          <w:sz w:val="22"/>
          <w:szCs w:val="22"/>
        </w:rPr>
        <w:t>νομικών προσώπων,</w:t>
      </w:r>
      <w:r w:rsidRPr="00BB4180">
        <w:rPr>
          <w:sz w:val="22"/>
          <w:szCs w:val="22"/>
        </w:rPr>
        <w:t xml:space="preserve"> το οποίο προέ</w:t>
      </w:r>
      <w:r w:rsidRPr="00BB4180">
        <w:rPr>
          <w:sz w:val="22"/>
          <w:szCs w:val="22"/>
        </w:rPr>
        <w:t>ρ</w:t>
      </w:r>
      <w:r w:rsidRPr="00BB4180">
        <w:rPr>
          <w:sz w:val="22"/>
          <w:szCs w:val="22"/>
        </w:rPr>
        <w:t xml:space="preserve">χεται </w:t>
      </w:r>
      <w:r>
        <w:rPr>
          <w:sz w:val="22"/>
          <w:szCs w:val="22"/>
        </w:rPr>
        <w:t>κατά βάση</w:t>
      </w:r>
      <w:r w:rsidRPr="00BB4180">
        <w:rPr>
          <w:sz w:val="22"/>
          <w:szCs w:val="22"/>
        </w:rPr>
        <w:t xml:space="preserve"> από τη δραστηριότητα του Ταμείου Χρηματοδότησης Δικαστικών Κτιρίων (ΤΑΧΔΙΚ), </w:t>
      </w:r>
      <w:r w:rsidRPr="00C7423E">
        <w:rPr>
          <w:sz w:val="22"/>
          <w:szCs w:val="22"/>
        </w:rPr>
        <w:t>προβλέπεται να είνα</w:t>
      </w:r>
      <w:r w:rsidR="00190AA5">
        <w:rPr>
          <w:sz w:val="22"/>
          <w:szCs w:val="22"/>
        </w:rPr>
        <w:t xml:space="preserve">ι θετικό ύψους </w:t>
      </w:r>
      <w:r w:rsidRPr="00C7423E">
        <w:rPr>
          <w:sz w:val="22"/>
          <w:szCs w:val="22"/>
        </w:rPr>
        <w:t>27 εκατ. ευρώ για το 2018 και</w:t>
      </w:r>
      <w:r w:rsidRPr="00BB4180">
        <w:rPr>
          <w:sz w:val="22"/>
          <w:szCs w:val="22"/>
        </w:rPr>
        <w:t xml:space="preserve"> 7,5 εκατ. ευρώ για το 2019. </w:t>
      </w:r>
    </w:p>
    <w:p w:rsidR="00083D48" w:rsidRDefault="00083D48" w:rsidP="00083D48">
      <w:pPr>
        <w:jc w:val="both"/>
        <w:rPr>
          <w:rFonts w:ascii="Arial Narrow" w:hAnsi="Arial Narrow"/>
          <w:b/>
          <w:i/>
          <w:sz w:val="22"/>
          <w:szCs w:val="22"/>
        </w:rPr>
      </w:pPr>
    </w:p>
    <w:p w:rsidR="00083D48" w:rsidRPr="003F07CC" w:rsidRDefault="00083D48" w:rsidP="003F07CC">
      <w:pPr>
        <w:jc w:val="both"/>
        <w:rPr>
          <w:rFonts w:ascii="Arial Narrow" w:hAnsi="Arial Narrow"/>
          <w:b/>
          <w:i/>
          <w:sz w:val="22"/>
          <w:szCs w:val="22"/>
        </w:rPr>
      </w:pPr>
      <w:r w:rsidRPr="006247CC">
        <w:rPr>
          <w:rFonts w:ascii="Arial Narrow" w:hAnsi="Arial Narrow"/>
          <w:b/>
          <w:i/>
          <w:sz w:val="22"/>
          <w:szCs w:val="22"/>
        </w:rPr>
        <w:t xml:space="preserve">Υπουργείο </w:t>
      </w:r>
      <w:r>
        <w:rPr>
          <w:rFonts w:ascii="Arial Narrow" w:hAnsi="Arial Narrow"/>
          <w:b/>
          <w:i/>
          <w:sz w:val="22"/>
          <w:szCs w:val="22"/>
        </w:rPr>
        <w:t>Παιδείας, Έρευνας και Θρησκευμάτων</w:t>
      </w:r>
    </w:p>
    <w:p w:rsidR="003F07CC" w:rsidRDefault="003F07CC" w:rsidP="003F07CC">
      <w:pPr>
        <w:jc w:val="both"/>
        <w:outlineLvl w:val="4"/>
        <w:rPr>
          <w:sz w:val="22"/>
          <w:szCs w:val="22"/>
        </w:rPr>
      </w:pPr>
    </w:p>
    <w:p w:rsidR="00083D48" w:rsidRDefault="00083D48" w:rsidP="003F07CC">
      <w:pPr>
        <w:jc w:val="both"/>
        <w:outlineLvl w:val="4"/>
        <w:rPr>
          <w:bCs/>
          <w:sz w:val="22"/>
          <w:szCs w:val="22"/>
        </w:rPr>
      </w:pPr>
      <w:r w:rsidRPr="00C747FD">
        <w:rPr>
          <w:sz w:val="22"/>
          <w:szCs w:val="22"/>
        </w:rPr>
        <w:t xml:space="preserve">Στην εποπτεία του </w:t>
      </w:r>
      <w:r w:rsidR="00981976" w:rsidRPr="00C747FD">
        <w:rPr>
          <w:sz w:val="22"/>
          <w:szCs w:val="22"/>
        </w:rPr>
        <w:t xml:space="preserve">Υπουργείου </w:t>
      </w:r>
      <w:r w:rsidRPr="00C747FD">
        <w:rPr>
          <w:sz w:val="22"/>
          <w:szCs w:val="22"/>
        </w:rPr>
        <w:t xml:space="preserve">περιλαμβάνονται τόσο </w:t>
      </w:r>
      <w:r w:rsidRPr="00C747FD">
        <w:rPr>
          <w:bCs/>
          <w:sz w:val="22"/>
          <w:szCs w:val="22"/>
        </w:rPr>
        <w:t xml:space="preserve">νομικά πρόσωπα δημοσίου δικαίου (ΑΕΙ, ΑΤΕΙ, βιβλιοθήκες και ερευνητικά κέντρα) όσο και </w:t>
      </w:r>
      <w:r w:rsidR="004F5A57">
        <w:rPr>
          <w:bCs/>
          <w:sz w:val="22"/>
          <w:szCs w:val="22"/>
        </w:rPr>
        <w:t xml:space="preserve">νομικά πρόσωπα </w:t>
      </w:r>
      <w:r w:rsidRPr="00C747FD">
        <w:rPr>
          <w:bCs/>
          <w:sz w:val="22"/>
          <w:szCs w:val="22"/>
        </w:rPr>
        <w:t>ιδιωτικού δικαίου (Ειδικοί Λ</w:t>
      </w:r>
      <w:r w:rsidRPr="00C747FD">
        <w:rPr>
          <w:bCs/>
          <w:sz w:val="22"/>
          <w:szCs w:val="22"/>
        </w:rPr>
        <w:t>ο</w:t>
      </w:r>
      <w:r w:rsidRPr="00C747FD">
        <w:rPr>
          <w:bCs/>
          <w:sz w:val="22"/>
          <w:szCs w:val="22"/>
        </w:rPr>
        <w:t xml:space="preserve">γαριασμοί Κονδυλίων Έρευνας κ.λπ.), </w:t>
      </w:r>
      <w:r w:rsidRPr="00C747FD">
        <w:rPr>
          <w:sz w:val="22"/>
          <w:szCs w:val="22"/>
        </w:rPr>
        <w:t xml:space="preserve">το σύνολο των οποίων </w:t>
      </w:r>
      <w:r w:rsidR="00156075">
        <w:rPr>
          <w:sz w:val="22"/>
          <w:szCs w:val="22"/>
        </w:rPr>
        <w:t>προβλέπεται</w:t>
      </w:r>
      <w:r w:rsidRPr="00C747FD">
        <w:rPr>
          <w:sz w:val="22"/>
          <w:szCs w:val="22"/>
        </w:rPr>
        <w:t xml:space="preserve"> για το 2019 να παρουσι</w:t>
      </w:r>
      <w:r w:rsidRPr="00C747FD">
        <w:rPr>
          <w:sz w:val="22"/>
          <w:szCs w:val="22"/>
        </w:rPr>
        <w:t>ά</w:t>
      </w:r>
      <w:r w:rsidRPr="00C747FD">
        <w:rPr>
          <w:sz w:val="22"/>
          <w:szCs w:val="22"/>
        </w:rPr>
        <w:t>σει πλεόνασμα ύψους 37 εκατ. ευρώ</w:t>
      </w:r>
      <w:r w:rsidRPr="00C747FD">
        <w:rPr>
          <w:bCs/>
          <w:sz w:val="22"/>
          <w:szCs w:val="22"/>
        </w:rPr>
        <w:t>.</w:t>
      </w:r>
    </w:p>
    <w:p w:rsidR="00083D48" w:rsidRDefault="00083D48" w:rsidP="003F07CC">
      <w:pPr>
        <w:jc w:val="both"/>
        <w:outlineLvl w:val="4"/>
        <w:rPr>
          <w:bCs/>
          <w:sz w:val="22"/>
          <w:szCs w:val="22"/>
        </w:rPr>
      </w:pPr>
    </w:p>
    <w:p w:rsidR="00083D48" w:rsidRPr="00CB79D9" w:rsidRDefault="00083D48" w:rsidP="003F07CC">
      <w:pPr>
        <w:jc w:val="both"/>
        <w:outlineLvl w:val="4"/>
        <w:rPr>
          <w:bCs/>
          <w:sz w:val="22"/>
          <w:szCs w:val="22"/>
        </w:rPr>
      </w:pPr>
      <w:r>
        <w:rPr>
          <w:bCs/>
          <w:sz w:val="22"/>
          <w:szCs w:val="22"/>
        </w:rPr>
        <w:t>Επισημαίνεται ότι κ</w:t>
      </w:r>
      <w:r w:rsidRPr="00CB79D9">
        <w:rPr>
          <w:bCs/>
          <w:sz w:val="22"/>
          <w:szCs w:val="22"/>
        </w:rPr>
        <w:t xml:space="preserve">ύρια πηγή εσόδων για τα ΑΕΙ, τα </w:t>
      </w:r>
      <w:r>
        <w:rPr>
          <w:bCs/>
          <w:sz w:val="22"/>
          <w:szCs w:val="22"/>
        </w:rPr>
        <w:t>Α</w:t>
      </w:r>
      <w:r w:rsidRPr="00CB79D9">
        <w:rPr>
          <w:bCs/>
          <w:sz w:val="22"/>
          <w:szCs w:val="22"/>
        </w:rPr>
        <w:t>ΤΕΙ</w:t>
      </w:r>
      <w:r>
        <w:rPr>
          <w:bCs/>
          <w:sz w:val="22"/>
          <w:szCs w:val="22"/>
        </w:rPr>
        <w:t xml:space="preserve"> και τις β</w:t>
      </w:r>
      <w:r w:rsidRPr="00CB79D9">
        <w:rPr>
          <w:bCs/>
          <w:sz w:val="22"/>
          <w:szCs w:val="22"/>
        </w:rPr>
        <w:t>ιβλιοθήκες αποτελούν οι μεταβ</w:t>
      </w:r>
      <w:r w:rsidRPr="00CB79D9">
        <w:rPr>
          <w:bCs/>
          <w:sz w:val="22"/>
          <w:szCs w:val="22"/>
        </w:rPr>
        <w:t>ι</w:t>
      </w:r>
      <w:r w:rsidRPr="00CB79D9">
        <w:rPr>
          <w:bCs/>
          <w:sz w:val="22"/>
          <w:szCs w:val="22"/>
        </w:rPr>
        <w:t xml:space="preserve">βάσεις από τον </w:t>
      </w:r>
      <w:r>
        <w:rPr>
          <w:bCs/>
          <w:sz w:val="22"/>
          <w:szCs w:val="22"/>
        </w:rPr>
        <w:t>κ</w:t>
      </w:r>
      <w:r w:rsidRPr="00CB79D9">
        <w:rPr>
          <w:bCs/>
          <w:sz w:val="22"/>
          <w:szCs w:val="22"/>
        </w:rPr>
        <w:t xml:space="preserve">ρατικό </w:t>
      </w:r>
      <w:r>
        <w:rPr>
          <w:bCs/>
          <w:sz w:val="22"/>
          <w:szCs w:val="22"/>
        </w:rPr>
        <w:t>π</w:t>
      </w:r>
      <w:r w:rsidRPr="00CB79D9">
        <w:rPr>
          <w:bCs/>
          <w:sz w:val="22"/>
          <w:szCs w:val="22"/>
        </w:rPr>
        <w:t>ροϋπολογισμό, καθώς και οι πόροι από συγχρηματοδοτούμενα προγράμματα από την Ε</w:t>
      </w:r>
      <w:r>
        <w:rPr>
          <w:bCs/>
          <w:sz w:val="22"/>
          <w:szCs w:val="22"/>
        </w:rPr>
        <w:t>υρωπαϊκή Ένωση</w:t>
      </w:r>
      <w:r w:rsidRPr="00CB79D9">
        <w:rPr>
          <w:bCs/>
          <w:sz w:val="22"/>
          <w:szCs w:val="22"/>
        </w:rPr>
        <w:t>.</w:t>
      </w:r>
    </w:p>
    <w:p w:rsidR="00C66B94" w:rsidRDefault="00C66B94" w:rsidP="00083D48">
      <w:pPr>
        <w:contextualSpacing/>
        <w:jc w:val="both"/>
        <w:rPr>
          <w:rFonts w:ascii="Arial Narrow" w:hAnsi="Arial Narrow"/>
          <w:b/>
          <w:i/>
          <w:sz w:val="22"/>
          <w:szCs w:val="22"/>
        </w:rPr>
      </w:pPr>
    </w:p>
    <w:p w:rsidR="00083D48" w:rsidRPr="005967AA" w:rsidRDefault="00083D48" w:rsidP="00083D48">
      <w:pPr>
        <w:contextualSpacing/>
        <w:jc w:val="both"/>
        <w:rPr>
          <w:rFonts w:ascii="Arial Narrow" w:hAnsi="Arial Narrow"/>
          <w:b/>
          <w:i/>
          <w:sz w:val="22"/>
          <w:szCs w:val="22"/>
        </w:rPr>
      </w:pPr>
      <w:r w:rsidRPr="005967AA">
        <w:rPr>
          <w:rFonts w:ascii="Arial Narrow" w:hAnsi="Arial Narrow"/>
          <w:b/>
          <w:i/>
          <w:sz w:val="22"/>
          <w:szCs w:val="22"/>
        </w:rPr>
        <w:lastRenderedPageBreak/>
        <w:t>Υπουργείο Πολιτισμού και Αθλητισμού</w:t>
      </w:r>
    </w:p>
    <w:p w:rsidR="00083D48" w:rsidRPr="005967AA" w:rsidRDefault="00083D48" w:rsidP="00083D48">
      <w:pPr>
        <w:contextualSpacing/>
        <w:jc w:val="both"/>
        <w:rPr>
          <w:b/>
          <w:sz w:val="22"/>
          <w:szCs w:val="22"/>
        </w:rPr>
      </w:pPr>
    </w:p>
    <w:p w:rsidR="00083D48" w:rsidRDefault="00083D48" w:rsidP="00083D48">
      <w:pPr>
        <w:contextualSpacing/>
        <w:jc w:val="both"/>
        <w:rPr>
          <w:color w:val="4F81BD" w:themeColor="accent1"/>
          <w:sz w:val="22"/>
          <w:szCs w:val="22"/>
        </w:rPr>
      </w:pPr>
      <w:r w:rsidRPr="005967AA">
        <w:rPr>
          <w:sz w:val="22"/>
          <w:szCs w:val="22"/>
        </w:rPr>
        <w:t xml:space="preserve">Από τη δραστηριότητα των νομικών προσώπων που εποπτεύονται από το </w:t>
      </w:r>
      <w:r>
        <w:rPr>
          <w:sz w:val="22"/>
          <w:szCs w:val="22"/>
        </w:rPr>
        <w:t xml:space="preserve">εν λόγω </w:t>
      </w:r>
      <w:r w:rsidR="00981976" w:rsidRPr="005967AA">
        <w:rPr>
          <w:sz w:val="22"/>
          <w:szCs w:val="22"/>
        </w:rPr>
        <w:t>Υπουργείο</w:t>
      </w:r>
      <w:r w:rsidRPr="005967AA">
        <w:rPr>
          <w:sz w:val="22"/>
          <w:szCs w:val="22"/>
        </w:rPr>
        <w:t xml:space="preserve">, </w:t>
      </w:r>
      <w:r w:rsidRPr="00D3538F">
        <w:rPr>
          <w:sz w:val="22"/>
          <w:szCs w:val="22"/>
        </w:rPr>
        <w:t>προ</w:t>
      </w:r>
      <w:r w:rsidRPr="00D3538F">
        <w:rPr>
          <w:sz w:val="22"/>
          <w:szCs w:val="22"/>
        </w:rPr>
        <w:t>β</w:t>
      </w:r>
      <w:r w:rsidRPr="00D3538F">
        <w:rPr>
          <w:sz w:val="22"/>
          <w:szCs w:val="22"/>
        </w:rPr>
        <w:t>λέπεται ότι το 2019 θα προκύψει θετικό αποτέλεσμα ύψους περίπου 39 εκατ. ευρώ,</w:t>
      </w:r>
      <w:r>
        <w:rPr>
          <w:sz w:val="22"/>
          <w:szCs w:val="22"/>
        </w:rPr>
        <w:t xml:space="preserve"> το οποίο θα </w:t>
      </w:r>
      <w:r w:rsidRPr="005967AA">
        <w:rPr>
          <w:sz w:val="22"/>
          <w:szCs w:val="22"/>
        </w:rPr>
        <w:t>πρ</w:t>
      </w:r>
      <w:r w:rsidRPr="005967AA">
        <w:rPr>
          <w:sz w:val="22"/>
          <w:szCs w:val="22"/>
        </w:rPr>
        <w:t>ο</w:t>
      </w:r>
      <w:r w:rsidRPr="005967AA">
        <w:rPr>
          <w:sz w:val="22"/>
          <w:szCs w:val="22"/>
        </w:rPr>
        <w:t xml:space="preserve">έλθει </w:t>
      </w:r>
      <w:r>
        <w:rPr>
          <w:sz w:val="22"/>
          <w:szCs w:val="22"/>
        </w:rPr>
        <w:t xml:space="preserve">κυρίως </w:t>
      </w:r>
      <w:r w:rsidRPr="005967AA">
        <w:rPr>
          <w:sz w:val="22"/>
          <w:szCs w:val="22"/>
        </w:rPr>
        <w:t xml:space="preserve">από το Ταμείο Αρχαιολογικών Πόρων και Απαλλοτριώσεων (ΤΑΠΑ), τόσο </w:t>
      </w:r>
      <w:r>
        <w:rPr>
          <w:sz w:val="22"/>
          <w:szCs w:val="22"/>
        </w:rPr>
        <w:t xml:space="preserve">λόγω </w:t>
      </w:r>
      <w:r w:rsidRPr="005967AA">
        <w:rPr>
          <w:sz w:val="22"/>
          <w:szCs w:val="22"/>
        </w:rPr>
        <w:t xml:space="preserve">της αυξανόμενης τουριστικής δραστηριότητας και επισκεψιμότητας στους αρχαιολογικούς χώρους, όσο </w:t>
      </w:r>
      <w:r>
        <w:rPr>
          <w:sz w:val="22"/>
          <w:szCs w:val="22"/>
        </w:rPr>
        <w:t xml:space="preserve">και λόγω </w:t>
      </w:r>
      <w:r w:rsidRPr="005967AA">
        <w:rPr>
          <w:sz w:val="22"/>
          <w:szCs w:val="22"/>
        </w:rPr>
        <w:t xml:space="preserve">της επέκτασης </w:t>
      </w:r>
      <w:r>
        <w:rPr>
          <w:sz w:val="22"/>
          <w:szCs w:val="22"/>
        </w:rPr>
        <w:t xml:space="preserve">της </w:t>
      </w:r>
      <w:r w:rsidRPr="005967AA">
        <w:rPr>
          <w:sz w:val="22"/>
          <w:szCs w:val="22"/>
        </w:rPr>
        <w:t>χρήσης του ηλεκτρονικού εισιτηρίου</w:t>
      </w:r>
      <w:r>
        <w:rPr>
          <w:sz w:val="22"/>
          <w:szCs w:val="22"/>
        </w:rPr>
        <w:t xml:space="preserve"> από </w:t>
      </w:r>
      <w:r w:rsidRPr="005967AA">
        <w:rPr>
          <w:sz w:val="22"/>
          <w:szCs w:val="22"/>
        </w:rPr>
        <w:t>τον Ιούνιο του 2018.</w:t>
      </w:r>
    </w:p>
    <w:p w:rsidR="00083D48" w:rsidRDefault="00083D48" w:rsidP="00083D48">
      <w:pPr>
        <w:contextualSpacing/>
        <w:jc w:val="both"/>
        <w:rPr>
          <w:sz w:val="22"/>
          <w:szCs w:val="22"/>
        </w:rPr>
      </w:pPr>
    </w:p>
    <w:p w:rsidR="00083D48" w:rsidRPr="006D73F3" w:rsidRDefault="00083D48" w:rsidP="00083D48">
      <w:pPr>
        <w:contextualSpacing/>
        <w:jc w:val="both"/>
        <w:rPr>
          <w:rFonts w:ascii="Arial Narrow" w:hAnsi="Arial Narrow"/>
          <w:b/>
          <w:i/>
          <w:sz w:val="22"/>
          <w:szCs w:val="22"/>
        </w:rPr>
      </w:pPr>
      <w:r w:rsidRPr="006D73F3">
        <w:rPr>
          <w:rFonts w:ascii="Arial Narrow" w:hAnsi="Arial Narrow"/>
          <w:b/>
          <w:i/>
          <w:sz w:val="22"/>
          <w:szCs w:val="22"/>
        </w:rPr>
        <w:t>Υπουργείο Οικονομικών</w:t>
      </w:r>
    </w:p>
    <w:p w:rsidR="00083D48" w:rsidRPr="006D73F3" w:rsidRDefault="00083D48" w:rsidP="00083D48">
      <w:pPr>
        <w:contextualSpacing/>
        <w:jc w:val="both"/>
        <w:rPr>
          <w:sz w:val="22"/>
          <w:szCs w:val="22"/>
        </w:rPr>
      </w:pPr>
    </w:p>
    <w:p w:rsidR="00083D48" w:rsidRPr="006D73F3" w:rsidRDefault="00083D48" w:rsidP="00083D48">
      <w:pPr>
        <w:contextualSpacing/>
        <w:jc w:val="both"/>
        <w:rPr>
          <w:sz w:val="22"/>
          <w:szCs w:val="22"/>
        </w:rPr>
      </w:pPr>
      <w:r w:rsidRPr="006D73F3">
        <w:rPr>
          <w:sz w:val="22"/>
          <w:szCs w:val="22"/>
        </w:rPr>
        <w:t xml:space="preserve">Στα εποπτευόμενα νομικά πρόσωπα του </w:t>
      </w:r>
      <w:r w:rsidR="00981976">
        <w:rPr>
          <w:sz w:val="22"/>
          <w:szCs w:val="22"/>
        </w:rPr>
        <w:t>Υ</w:t>
      </w:r>
      <w:r w:rsidR="00981976" w:rsidRPr="006D73F3">
        <w:rPr>
          <w:sz w:val="22"/>
          <w:szCs w:val="22"/>
        </w:rPr>
        <w:t xml:space="preserve">πουργείου </w:t>
      </w:r>
      <w:r w:rsidRPr="006D73F3">
        <w:rPr>
          <w:sz w:val="22"/>
          <w:szCs w:val="22"/>
        </w:rPr>
        <w:t>περιλαμβάνονται, μεταξύ άλλων, το Ταμείο Π</w:t>
      </w:r>
      <w:r w:rsidRPr="006D73F3">
        <w:rPr>
          <w:sz w:val="22"/>
          <w:szCs w:val="22"/>
        </w:rPr>
        <w:t>α</w:t>
      </w:r>
      <w:r w:rsidRPr="006D73F3">
        <w:rPr>
          <w:sz w:val="22"/>
          <w:szCs w:val="22"/>
        </w:rPr>
        <w:t>ρακαταθηκών και Δανείων, η Ελληνική Εταιρεία Συμμετοχών και Περιουσίας (ΕΕΣΥΠ)</w:t>
      </w:r>
      <w:r>
        <w:rPr>
          <w:sz w:val="22"/>
          <w:szCs w:val="22"/>
        </w:rPr>
        <w:t xml:space="preserve"> </w:t>
      </w:r>
      <w:r w:rsidRPr="00C747FD">
        <w:rPr>
          <w:sz w:val="22"/>
          <w:szCs w:val="22"/>
        </w:rPr>
        <w:t>ΑΕ,</w:t>
      </w:r>
      <w:r w:rsidRPr="006D73F3">
        <w:rPr>
          <w:sz w:val="22"/>
          <w:szCs w:val="22"/>
        </w:rPr>
        <w:t xml:space="preserve"> το Ταμ</w:t>
      </w:r>
      <w:r w:rsidRPr="006D73F3">
        <w:rPr>
          <w:sz w:val="22"/>
          <w:szCs w:val="22"/>
        </w:rPr>
        <w:t>ε</w:t>
      </w:r>
      <w:r w:rsidRPr="006D73F3">
        <w:rPr>
          <w:sz w:val="22"/>
          <w:szCs w:val="22"/>
        </w:rPr>
        <w:t>ίο Χρηματοπιστωτικής Σταθερότητας, το Ταμείο Αξιοποίησης Ιδιωτικής Περιουσίας του Δημοσίου (ΤΑΙΠΕΔ)</w:t>
      </w:r>
      <w:r>
        <w:rPr>
          <w:sz w:val="22"/>
          <w:szCs w:val="22"/>
        </w:rPr>
        <w:t xml:space="preserve"> </w:t>
      </w:r>
      <w:r w:rsidRPr="00C747FD">
        <w:rPr>
          <w:sz w:val="22"/>
          <w:szCs w:val="22"/>
        </w:rPr>
        <w:t>ΑΕ,</w:t>
      </w:r>
      <w:r w:rsidRPr="006D73F3">
        <w:rPr>
          <w:sz w:val="22"/>
          <w:szCs w:val="22"/>
        </w:rPr>
        <w:t xml:space="preserve"> η Εταιρεία Ακινήτων Δημοσίου (ΕΤΑΔ) </w:t>
      </w:r>
      <w:r w:rsidRPr="00C747FD">
        <w:rPr>
          <w:sz w:val="22"/>
          <w:szCs w:val="22"/>
        </w:rPr>
        <w:t>ΑΕ</w:t>
      </w:r>
      <w:r w:rsidRPr="006D73F3">
        <w:rPr>
          <w:sz w:val="22"/>
          <w:szCs w:val="22"/>
        </w:rPr>
        <w:t xml:space="preserve"> και το Ταμείο Εγγύησης Καταθέσεων και Επενδύσεων (ΤΕΚΕ). </w:t>
      </w:r>
    </w:p>
    <w:p w:rsidR="00083D48" w:rsidRPr="00500F52" w:rsidRDefault="00083D48" w:rsidP="00083D48">
      <w:pPr>
        <w:contextualSpacing/>
        <w:jc w:val="both"/>
        <w:rPr>
          <w:sz w:val="22"/>
          <w:szCs w:val="22"/>
        </w:rPr>
      </w:pPr>
      <w:r w:rsidRPr="00C747FD">
        <w:rPr>
          <w:sz w:val="22"/>
          <w:szCs w:val="22"/>
        </w:rPr>
        <w:t xml:space="preserve">Οι φορείς του εν λόγω </w:t>
      </w:r>
      <w:r w:rsidR="00981976" w:rsidRPr="00C747FD">
        <w:rPr>
          <w:sz w:val="22"/>
          <w:szCs w:val="22"/>
        </w:rPr>
        <w:t xml:space="preserve">Υπουργείου </w:t>
      </w:r>
      <w:r w:rsidRPr="00C747FD">
        <w:rPr>
          <w:sz w:val="22"/>
          <w:szCs w:val="22"/>
        </w:rPr>
        <w:t>προβλέπεται να εμφανίσουν για το έτος 2019 πλεόνασμα ύψους 298 εκατ. ευρώ, το οποίο</w:t>
      </w:r>
      <w:r>
        <w:rPr>
          <w:sz w:val="22"/>
          <w:szCs w:val="22"/>
        </w:rPr>
        <w:t xml:space="preserve"> </w:t>
      </w:r>
      <w:r w:rsidRPr="006D73F3">
        <w:rPr>
          <w:sz w:val="22"/>
          <w:szCs w:val="22"/>
        </w:rPr>
        <w:t xml:space="preserve">θα προέλθει κυρίως από το </w:t>
      </w:r>
      <w:r>
        <w:rPr>
          <w:sz w:val="22"/>
          <w:szCs w:val="22"/>
        </w:rPr>
        <w:t>ΤΕΚΕ</w:t>
      </w:r>
      <w:r w:rsidRPr="006D73F3">
        <w:rPr>
          <w:sz w:val="22"/>
          <w:szCs w:val="22"/>
        </w:rPr>
        <w:t>, το Ταμείο Παρακαταθηκών και Δανείων και την Ε</w:t>
      </w:r>
      <w:r>
        <w:rPr>
          <w:sz w:val="22"/>
          <w:szCs w:val="22"/>
        </w:rPr>
        <w:t>ΤΑΔ</w:t>
      </w:r>
      <w:r w:rsidRPr="006D73F3">
        <w:rPr>
          <w:sz w:val="22"/>
          <w:szCs w:val="22"/>
        </w:rPr>
        <w:t xml:space="preserve"> ΑΕ.</w:t>
      </w:r>
      <w:r>
        <w:rPr>
          <w:sz w:val="22"/>
          <w:szCs w:val="22"/>
        </w:rPr>
        <w:t xml:space="preserve"> </w:t>
      </w:r>
    </w:p>
    <w:p w:rsidR="00083D48" w:rsidRDefault="00083D48" w:rsidP="00083D48">
      <w:pPr>
        <w:contextualSpacing/>
        <w:jc w:val="both"/>
        <w:rPr>
          <w:rFonts w:ascii="Arial Narrow" w:hAnsi="Arial Narrow"/>
          <w:b/>
          <w:i/>
          <w:sz w:val="22"/>
          <w:szCs w:val="22"/>
          <w:highlight w:val="yellow"/>
        </w:rPr>
      </w:pPr>
    </w:p>
    <w:p w:rsidR="00083D48" w:rsidRPr="006D73F3" w:rsidRDefault="00083D48" w:rsidP="00083D48">
      <w:pPr>
        <w:contextualSpacing/>
        <w:jc w:val="both"/>
        <w:rPr>
          <w:rFonts w:ascii="Arial Narrow" w:hAnsi="Arial Narrow"/>
          <w:b/>
          <w:i/>
          <w:sz w:val="22"/>
          <w:szCs w:val="22"/>
        </w:rPr>
      </w:pPr>
      <w:r w:rsidRPr="006D73F3">
        <w:rPr>
          <w:rFonts w:ascii="Arial Narrow" w:hAnsi="Arial Narrow"/>
          <w:b/>
          <w:i/>
          <w:sz w:val="22"/>
          <w:szCs w:val="22"/>
        </w:rPr>
        <w:t xml:space="preserve">Υπουργείο Αγροτικής Ανάπτυξης και Τροφίμων </w:t>
      </w:r>
    </w:p>
    <w:p w:rsidR="00083D48" w:rsidRPr="006D73F3" w:rsidRDefault="00083D48" w:rsidP="00083D48">
      <w:pPr>
        <w:contextualSpacing/>
        <w:jc w:val="both"/>
        <w:rPr>
          <w:b/>
          <w:sz w:val="22"/>
          <w:szCs w:val="22"/>
        </w:rPr>
      </w:pPr>
    </w:p>
    <w:p w:rsidR="00083D48" w:rsidRPr="006D73F3" w:rsidRDefault="00083D48" w:rsidP="00083D48">
      <w:pPr>
        <w:contextualSpacing/>
        <w:jc w:val="both"/>
        <w:rPr>
          <w:sz w:val="22"/>
          <w:szCs w:val="22"/>
        </w:rPr>
      </w:pPr>
      <w:r w:rsidRPr="006D73F3">
        <w:rPr>
          <w:sz w:val="22"/>
          <w:szCs w:val="22"/>
        </w:rPr>
        <w:t xml:space="preserve">Το </w:t>
      </w:r>
      <w:r w:rsidR="00B42BB3" w:rsidRPr="00C747FD">
        <w:rPr>
          <w:sz w:val="22"/>
          <w:szCs w:val="22"/>
        </w:rPr>
        <w:t>Υ</w:t>
      </w:r>
      <w:r w:rsidR="00B42BB3" w:rsidRPr="006D73F3">
        <w:rPr>
          <w:sz w:val="22"/>
          <w:szCs w:val="22"/>
        </w:rPr>
        <w:t xml:space="preserve">πουργείο </w:t>
      </w:r>
      <w:r w:rsidRPr="006D73F3">
        <w:rPr>
          <w:sz w:val="22"/>
          <w:szCs w:val="22"/>
        </w:rPr>
        <w:t xml:space="preserve">έχει υπό την εποπτεία του, μεταξύ άλλων νομικών προσώπων, το Ταμείο Γεωργίας και Κτηνοτροφίας (ΤΓΚ), το οποίο διαχειρίζεται και διαθέτει τους πόρους </w:t>
      </w:r>
      <w:r>
        <w:rPr>
          <w:sz w:val="22"/>
          <w:szCs w:val="22"/>
        </w:rPr>
        <w:t xml:space="preserve">του </w:t>
      </w:r>
      <w:r w:rsidRPr="006D73F3">
        <w:rPr>
          <w:sz w:val="22"/>
          <w:szCs w:val="22"/>
        </w:rPr>
        <w:t>και τα περιουσιακά του στοιχεία με σκοπό τη γεωργική ανάπτυξη της χώρας και τον Ενιαίο Φορέα Ελέγχου Τροφίμων (ΕΦΕΤ) με βασική αποστολή του τη διασφάλιση της εισαγωγής, παραγωγής και διακίνησης υγιεινών τροφίμων.</w:t>
      </w:r>
      <w:r w:rsidR="003F07CC">
        <w:rPr>
          <w:sz w:val="22"/>
          <w:szCs w:val="22"/>
        </w:rPr>
        <w:t xml:space="preserve"> </w:t>
      </w:r>
      <w:r w:rsidRPr="006D73F3">
        <w:rPr>
          <w:sz w:val="22"/>
          <w:szCs w:val="22"/>
        </w:rPr>
        <w:t xml:space="preserve">Στους εποπτευόμενους φορείς του </w:t>
      </w:r>
      <w:r w:rsidR="00B42BB3" w:rsidRPr="006D73F3">
        <w:rPr>
          <w:sz w:val="22"/>
          <w:szCs w:val="22"/>
        </w:rPr>
        <w:t xml:space="preserve">Υπουργείου </w:t>
      </w:r>
      <w:r w:rsidRPr="006D73F3">
        <w:rPr>
          <w:sz w:val="22"/>
          <w:szCs w:val="22"/>
        </w:rPr>
        <w:t>περιλαμβάνεται και ο Ελληνικός Γεωργικός Οργανισμός "ΔΗΜΗΤΡΑ" (ΕΛΓΟ-ΔΗΜΗΤΡΑ), ο οποίος διασφαλίζει την ποιότητα του γάλακτος και μεριμνά για την πιστοποίηση των αγροτικών προϊόντων, καθώς και για την προαγωγή της έρευνας και της επαγγελματικής κατάρτισης στο</w:t>
      </w:r>
      <w:r w:rsidR="00190AA5">
        <w:rPr>
          <w:sz w:val="22"/>
          <w:szCs w:val="22"/>
        </w:rPr>
        <w:t>ν</w:t>
      </w:r>
      <w:r w:rsidRPr="006D73F3">
        <w:rPr>
          <w:sz w:val="22"/>
          <w:szCs w:val="22"/>
        </w:rPr>
        <w:t xml:space="preserve"> τομέα </w:t>
      </w:r>
      <w:r w:rsidR="004F5A57">
        <w:rPr>
          <w:sz w:val="22"/>
          <w:szCs w:val="22"/>
        </w:rPr>
        <w:t xml:space="preserve">της </w:t>
      </w:r>
      <w:r w:rsidRPr="006D73F3">
        <w:rPr>
          <w:sz w:val="22"/>
          <w:szCs w:val="22"/>
        </w:rPr>
        <w:t>γεωργίας.</w:t>
      </w:r>
    </w:p>
    <w:p w:rsidR="00083D48" w:rsidRPr="006D73F3" w:rsidRDefault="00083D48" w:rsidP="00083D48">
      <w:pPr>
        <w:contextualSpacing/>
        <w:jc w:val="both"/>
        <w:rPr>
          <w:i/>
          <w:sz w:val="22"/>
          <w:szCs w:val="22"/>
          <w:u w:val="single"/>
        </w:rPr>
      </w:pPr>
      <w:r w:rsidRPr="006D73F3">
        <w:rPr>
          <w:sz w:val="22"/>
          <w:szCs w:val="22"/>
        </w:rPr>
        <w:t xml:space="preserve">Τα νομικά πρόσωπα του </w:t>
      </w:r>
      <w:r>
        <w:rPr>
          <w:sz w:val="22"/>
          <w:szCs w:val="22"/>
        </w:rPr>
        <w:t xml:space="preserve">εν λόγω </w:t>
      </w:r>
      <w:r w:rsidR="00B42BB3">
        <w:rPr>
          <w:sz w:val="22"/>
          <w:szCs w:val="22"/>
        </w:rPr>
        <w:t>Υπουργείου</w:t>
      </w:r>
      <w:r w:rsidR="00B42BB3" w:rsidRPr="006D73F3">
        <w:rPr>
          <w:sz w:val="22"/>
          <w:szCs w:val="22"/>
        </w:rPr>
        <w:t xml:space="preserve"> </w:t>
      </w:r>
      <w:r w:rsidR="00C66B94">
        <w:rPr>
          <w:sz w:val="22"/>
          <w:szCs w:val="22"/>
        </w:rPr>
        <w:t>προβλέπεται</w:t>
      </w:r>
      <w:r w:rsidRPr="006D73F3">
        <w:rPr>
          <w:sz w:val="22"/>
          <w:szCs w:val="22"/>
        </w:rPr>
        <w:t xml:space="preserve"> να εμφανίσουν το 2019 πλεόνασμα ύψους 9 εκατ. ευρώ, το οποίο προέρχεται κυρίως από το ΤΓΚ και τον ΕΛΓΟ-ΔΗΜΗΤΡΑ.</w:t>
      </w:r>
    </w:p>
    <w:p w:rsidR="00083D48" w:rsidRDefault="00083D48" w:rsidP="00083D48">
      <w:pPr>
        <w:contextualSpacing/>
        <w:jc w:val="both"/>
        <w:rPr>
          <w:sz w:val="22"/>
          <w:szCs w:val="22"/>
        </w:rPr>
      </w:pPr>
    </w:p>
    <w:p w:rsidR="00083D48" w:rsidRPr="006C3639" w:rsidRDefault="00083D48" w:rsidP="00083D48">
      <w:pPr>
        <w:contextualSpacing/>
        <w:jc w:val="both"/>
        <w:rPr>
          <w:rFonts w:ascii="Arial Narrow" w:hAnsi="Arial Narrow"/>
          <w:b/>
          <w:i/>
          <w:sz w:val="22"/>
          <w:szCs w:val="22"/>
        </w:rPr>
      </w:pPr>
      <w:r w:rsidRPr="00980F8E">
        <w:rPr>
          <w:rFonts w:ascii="Arial Narrow" w:hAnsi="Arial Narrow"/>
          <w:b/>
          <w:i/>
          <w:sz w:val="22"/>
          <w:szCs w:val="22"/>
        </w:rPr>
        <w:t>Υπουργείο Περιβάλλοντος και Ενέργειας</w:t>
      </w:r>
    </w:p>
    <w:p w:rsidR="00083D48" w:rsidRDefault="00083D48" w:rsidP="00083D48">
      <w:pPr>
        <w:contextualSpacing/>
        <w:jc w:val="both"/>
        <w:rPr>
          <w:b/>
          <w:sz w:val="22"/>
          <w:szCs w:val="22"/>
          <w:highlight w:val="yellow"/>
        </w:rPr>
      </w:pPr>
    </w:p>
    <w:p w:rsidR="00083D48" w:rsidRPr="00064EBD" w:rsidRDefault="00083D48" w:rsidP="00083D48">
      <w:pPr>
        <w:contextualSpacing/>
        <w:jc w:val="both"/>
        <w:rPr>
          <w:sz w:val="22"/>
          <w:szCs w:val="22"/>
          <w:highlight w:val="yellow"/>
        </w:rPr>
      </w:pPr>
      <w:r w:rsidRPr="00EE6B7A">
        <w:rPr>
          <w:sz w:val="22"/>
          <w:szCs w:val="22"/>
        </w:rPr>
        <w:t xml:space="preserve">Τα νομικά πρόσωπα </w:t>
      </w:r>
      <w:r>
        <w:rPr>
          <w:sz w:val="22"/>
          <w:szCs w:val="22"/>
        </w:rPr>
        <w:t xml:space="preserve">εποπτείας </w:t>
      </w:r>
      <w:r w:rsidRPr="00EE6B7A">
        <w:rPr>
          <w:sz w:val="22"/>
          <w:szCs w:val="22"/>
        </w:rPr>
        <w:t xml:space="preserve">του </w:t>
      </w:r>
      <w:r w:rsidR="00B42BB3">
        <w:rPr>
          <w:sz w:val="22"/>
          <w:szCs w:val="22"/>
        </w:rPr>
        <w:t>Υ</w:t>
      </w:r>
      <w:r w:rsidR="00B42BB3" w:rsidRPr="00EE6B7A">
        <w:rPr>
          <w:sz w:val="22"/>
          <w:szCs w:val="22"/>
        </w:rPr>
        <w:t xml:space="preserve">πουργείου </w:t>
      </w:r>
      <w:r w:rsidRPr="00EE6B7A">
        <w:rPr>
          <w:sz w:val="22"/>
          <w:szCs w:val="22"/>
        </w:rPr>
        <w:t>για το 2019 προβλέπεται να εμφανίσουν θετικό απ</w:t>
      </w:r>
      <w:r w:rsidRPr="00EE6B7A">
        <w:rPr>
          <w:sz w:val="22"/>
          <w:szCs w:val="22"/>
        </w:rPr>
        <w:t>ο</w:t>
      </w:r>
      <w:r w:rsidRPr="00EE6B7A">
        <w:rPr>
          <w:sz w:val="22"/>
          <w:szCs w:val="22"/>
        </w:rPr>
        <w:t>τέλεσμα, ύψους 4 εκατ. ευρώ, το οποίο προέρχεται κυρίως από τ</w:t>
      </w:r>
      <w:r>
        <w:rPr>
          <w:sz w:val="22"/>
          <w:szCs w:val="22"/>
        </w:rPr>
        <w:t>ο</w:t>
      </w:r>
      <w:r w:rsidRPr="00EE6B7A">
        <w:rPr>
          <w:sz w:val="22"/>
          <w:szCs w:val="22"/>
        </w:rPr>
        <w:t xml:space="preserve"> πλε</w:t>
      </w:r>
      <w:r>
        <w:rPr>
          <w:sz w:val="22"/>
          <w:szCs w:val="22"/>
        </w:rPr>
        <w:t>όνασμα</w:t>
      </w:r>
      <w:r w:rsidRPr="00EE6B7A">
        <w:rPr>
          <w:sz w:val="22"/>
          <w:szCs w:val="22"/>
        </w:rPr>
        <w:t xml:space="preserve"> που </w:t>
      </w:r>
      <w:r w:rsidRPr="000E08E0">
        <w:rPr>
          <w:sz w:val="22"/>
          <w:szCs w:val="22"/>
        </w:rPr>
        <w:t>εμφανίζει</w:t>
      </w:r>
      <w:r w:rsidRPr="00EE6B7A">
        <w:rPr>
          <w:sz w:val="22"/>
          <w:szCs w:val="22"/>
        </w:rPr>
        <w:t xml:space="preserve"> η Ελλ</w:t>
      </w:r>
      <w:r w:rsidRPr="00EE6B7A">
        <w:rPr>
          <w:sz w:val="22"/>
          <w:szCs w:val="22"/>
        </w:rPr>
        <w:t>η</w:t>
      </w:r>
      <w:r w:rsidRPr="00EE6B7A">
        <w:rPr>
          <w:sz w:val="22"/>
          <w:szCs w:val="22"/>
        </w:rPr>
        <w:t xml:space="preserve">νική Διαχειριστική Εταιρεία Υδρογονανθράκων (ΕΔΕΥ) ΑΕ, που μεριμνά για την παραχώρηση </w:t>
      </w:r>
      <w:r w:rsidRPr="00C747FD">
        <w:rPr>
          <w:sz w:val="22"/>
          <w:szCs w:val="22"/>
        </w:rPr>
        <w:t>«ο</w:t>
      </w:r>
      <w:r w:rsidRPr="00C747FD">
        <w:rPr>
          <w:sz w:val="22"/>
          <w:szCs w:val="22"/>
        </w:rPr>
        <w:t>ι</w:t>
      </w:r>
      <w:r w:rsidRPr="00C747FD">
        <w:rPr>
          <w:sz w:val="22"/>
          <w:szCs w:val="22"/>
        </w:rPr>
        <w:t>κοπέδων»</w:t>
      </w:r>
      <w:r w:rsidRPr="00EE6B7A">
        <w:rPr>
          <w:sz w:val="22"/>
          <w:szCs w:val="22"/>
        </w:rPr>
        <w:t xml:space="preserve"> για την έρευνα</w:t>
      </w:r>
      <w:r w:rsidRPr="00EE6B7A">
        <w:rPr>
          <w:color w:val="FF0000"/>
          <w:sz w:val="22"/>
          <w:szCs w:val="22"/>
        </w:rPr>
        <w:t xml:space="preserve"> </w:t>
      </w:r>
      <w:r w:rsidRPr="00EE6B7A">
        <w:rPr>
          <w:sz w:val="22"/>
          <w:szCs w:val="22"/>
        </w:rPr>
        <w:t>υδρογονανθράκων</w:t>
      </w:r>
      <w:r>
        <w:rPr>
          <w:sz w:val="22"/>
          <w:szCs w:val="22"/>
        </w:rPr>
        <w:t>,</w:t>
      </w:r>
      <w:r w:rsidRPr="00EE6B7A">
        <w:rPr>
          <w:sz w:val="22"/>
          <w:szCs w:val="22"/>
        </w:rPr>
        <w:t xml:space="preserve"> κα</w:t>
      </w:r>
      <w:r>
        <w:rPr>
          <w:sz w:val="22"/>
          <w:szCs w:val="22"/>
        </w:rPr>
        <w:t>θώς και</w:t>
      </w:r>
      <w:r w:rsidRPr="00EE6B7A">
        <w:rPr>
          <w:sz w:val="22"/>
          <w:szCs w:val="22"/>
        </w:rPr>
        <w:t xml:space="preserve"> ο Εθνικός Οργανισμός Ανακύκλωσης</w:t>
      </w:r>
      <w:r w:rsidR="004F5A57">
        <w:rPr>
          <w:sz w:val="22"/>
          <w:szCs w:val="22"/>
        </w:rPr>
        <w:t xml:space="preserve"> (ΕΟΑΝ)</w:t>
      </w:r>
      <w:r w:rsidRPr="00EE6B7A">
        <w:rPr>
          <w:sz w:val="22"/>
          <w:szCs w:val="22"/>
        </w:rPr>
        <w:t>, με κύριο σκοπό το σχεδιασμό και την εφαρμογή της πολιτικής για την εναλλακτική διαχε</w:t>
      </w:r>
      <w:r w:rsidRPr="00EE6B7A">
        <w:rPr>
          <w:sz w:val="22"/>
          <w:szCs w:val="22"/>
        </w:rPr>
        <w:t>ί</w:t>
      </w:r>
      <w:r w:rsidRPr="00EE6B7A">
        <w:rPr>
          <w:sz w:val="22"/>
          <w:szCs w:val="22"/>
        </w:rPr>
        <w:t xml:space="preserve">ριση των συσκευασιών και άλλων προϊόντων. </w:t>
      </w:r>
    </w:p>
    <w:p w:rsidR="00083D48" w:rsidRPr="00C85C37" w:rsidRDefault="00083D48" w:rsidP="00083D48">
      <w:pPr>
        <w:contextualSpacing/>
        <w:jc w:val="both"/>
        <w:rPr>
          <w:sz w:val="22"/>
          <w:szCs w:val="22"/>
        </w:rPr>
      </w:pPr>
      <w:r w:rsidRPr="00C85C37">
        <w:rPr>
          <w:sz w:val="22"/>
          <w:szCs w:val="22"/>
        </w:rPr>
        <w:t>Σημειώνεται ότι στους εποπτευόμενους φορείς</w:t>
      </w:r>
      <w:r>
        <w:rPr>
          <w:sz w:val="22"/>
          <w:szCs w:val="22"/>
        </w:rPr>
        <w:t xml:space="preserve"> του εν λόγω </w:t>
      </w:r>
      <w:r w:rsidR="00B42BB3">
        <w:rPr>
          <w:sz w:val="22"/>
          <w:szCs w:val="22"/>
        </w:rPr>
        <w:t>Υπουργείου</w:t>
      </w:r>
      <w:r w:rsidR="00B42BB3" w:rsidRPr="00C85C37">
        <w:rPr>
          <w:sz w:val="22"/>
          <w:szCs w:val="22"/>
        </w:rPr>
        <w:t xml:space="preserve"> </w:t>
      </w:r>
      <w:r w:rsidRPr="00C85C37">
        <w:rPr>
          <w:sz w:val="22"/>
          <w:szCs w:val="22"/>
        </w:rPr>
        <w:t>περιλαμβάν</w:t>
      </w:r>
      <w:r>
        <w:rPr>
          <w:sz w:val="22"/>
          <w:szCs w:val="22"/>
        </w:rPr>
        <w:t>ονται</w:t>
      </w:r>
      <w:r w:rsidRPr="00C85C37">
        <w:rPr>
          <w:sz w:val="22"/>
          <w:szCs w:val="22"/>
        </w:rPr>
        <w:t xml:space="preserve"> μεταξύ ά</w:t>
      </w:r>
      <w:r w:rsidRPr="00C85C37">
        <w:rPr>
          <w:sz w:val="22"/>
          <w:szCs w:val="22"/>
        </w:rPr>
        <w:t>λ</w:t>
      </w:r>
      <w:r w:rsidRPr="00C85C37">
        <w:rPr>
          <w:sz w:val="22"/>
          <w:szCs w:val="22"/>
        </w:rPr>
        <w:t>λων, το Κέντρο Ανανεώσιμων Πηγών και Εξοικονόμησης</w:t>
      </w:r>
      <w:r>
        <w:rPr>
          <w:sz w:val="22"/>
          <w:szCs w:val="22"/>
        </w:rPr>
        <w:t xml:space="preserve"> </w:t>
      </w:r>
      <w:r w:rsidRPr="00C85C37">
        <w:rPr>
          <w:sz w:val="22"/>
          <w:szCs w:val="22"/>
        </w:rPr>
        <w:t>Ενέργειας (ΚΑΠΕ), το Εθνικό Κέντρο Π</w:t>
      </w:r>
      <w:r w:rsidRPr="00C85C37">
        <w:rPr>
          <w:sz w:val="22"/>
          <w:szCs w:val="22"/>
        </w:rPr>
        <w:t>ε</w:t>
      </w:r>
      <w:r w:rsidRPr="00C85C37">
        <w:rPr>
          <w:sz w:val="22"/>
          <w:szCs w:val="22"/>
        </w:rPr>
        <w:t>ριβάλλοντος και Αειφόρου Ανάπτυξης (ΕΚΠΑΑ), καθώς και</w:t>
      </w:r>
      <w:r>
        <w:rPr>
          <w:sz w:val="22"/>
          <w:szCs w:val="22"/>
        </w:rPr>
        <w:t xml:space="preserve"> </w:t>
      </w:r>
      <w:r w:rsidRPr="00C85C37">
        <w:rPr>
          <w:sz w:val="22"/>
          <w:szCs w:val="22"/>
        </w:rPr>
        <w:t xml:space="preserve">το ΕΛΛΗΝΙΚΟ ΚΤΗΜΑΤΟΛΟΓΙΟ ως καθολικός διάδοχος της </w:t>
      </w:r>
      <w:r>
        <w:rPr>
          <w:sz w:val="22"/>
          <w:szCs w:val="22"/>
        </w:rPr>
        <w:t xml:space="preserve">εταιρείας </w:t>
      </w:r>
      <w:r w:rsidR="00DB0C08">
        <w:rPr>
          <w:sz w:val="22"/>
          <w:szCs w:val="22"/>
        </w:rPr>
        <w:t>«</w:t>
      </w:r>
      <w:r>
        <w:rPr>
          <w:sz w:val="22"/>
          <w:szCs w:val="22"/>
        </w:rPr>
        <w:t>Εθνικό Κτηματολόγιο και Χαρτογράφηση</w:t>
      </w:r>
      <w:r w:rsidR="00DB0C08">
        <w:rPr>
          <w:sz w:val="22"/>
          <w:szCs w:val="22"/>
        </w:rPr>
        <w:t>»</w:t>
      </w:r>
      <w:r>
        <w:rPr>
          <w:sz w:val="22"/>
          <w:szCs w:val="22"/>
        </w:rPr>
        <w:t xml:space="preserve"> (</w:t>
      </w:r>
      <w:r w:rsidRPr="00C85C37">
        <w:rPr>
          <w:sz w:val="22"/>
          <w:szCs w:val="22"/>
        </w:rPr>
        <w:t>ΕΚΧΑ</w:t>
      </w:r>
      <w:r>
        <w:rPr>
          <w:sz w:val="22"/>
          <w:szCs w:val="22"/>
        </w:rPr>
        <w:t>)</w:t>
      </w:r>
      <w:r w:rsidRPr="00C85C37">
        <w:rPr>
          <w:sz w:val="22"/>
          <w:szCs w:val="22"/>
        </w:rPr>
        <w:t xml:space="preserve"> ΑΕ (ν. 4512/2018), το οποίο</w:t>
      </w:r>
      <w:r>
        <w:rPr>
          <w:sz w:val="22"/>
          <w:szCs w:val="22"/>
        </w:rPr>
        <w:t xml:space="preserve"> </w:t>
      </w:r>
      <w:r w:rsidRPr="00C85C37">
        <w:rPr>
          <w:sz w:val="22"/>
          <w:szCs w:val="22"/>
        </w:rPr>
        <w:t>προβλέπεται να παρουσιάσει οριακά θετικό δ</w:t>
      </w:r>
      <w:r w:rsidR="00564CBE">
        <w:rPr>
          <w:sz w:val="22"/>
          <w:szCs w:val="22"/>
        </w:rPr>
        <w:t xml:space="preserve">ημοσιονομικό αποτέλεσμα το 2019, καθώς και είκοσι </w:t>
      </w:r>
      <w:r w:rsidR="00A35536">
        <w:rPr>
          <w:sz w:val="22"/>
          <w:szCs w:val="22"/>
        </w:rPr>
        <w:t>οκτώ (28) φορείς Διαχείρισης Προστατευόμενων Περιοχών.</w:t>
      </w:r>
    </w:p>
    <w:p w:rsidR="00083D48" w:rsidRPr="006D73F3" w:rsidRDefault="00083D48" w:rsidP="00083D48">
      <w:pPr>
        <w:contextualSpacing/>
        <w:jc w:val="both"/>
        <w:rPr>
          <w:sz w:val="22"/>
          <w:szCs w:val="22"/>
        </w:rPr>
      </w:pPr>
    </w:p>
    <w:p w:rsidR="00083D48" w:rsidRPr="00607A13" w:rsidRDefault="00083D48" w:rsidP="00083D48">
      <w:pPr>
        <w:contextualSpacing/>
        <w:jc w:val="both"/>
        <w:rPr>
          <w:rFonts w:ascii="Arial Narrow" w:hAnsi="Arial Narrow"/>
          <w:b/>
          <w:i/>
          <w:sz w:val="22"/>
          <w:szCs w:val="22"/>
        </w:rPr>
      </w:pPr>
      <w:r w:rsidRPr="00607A13">
        <w:rPr>
          <w:rFonts w:ascii="Arial Narrow" w:hAnsi="Arial Narrow"/>
          <w:b/>
          <w:i/>
          <w:sz w:val="22"/>
          <w:szCs w:val="22"/>
        </w:rPr>
        <w:t>Υπουργείο Εργασίας, Κοινωνικής Ασφάλισης και Κοινωνικής Αλληλεγγύης</w:t>
      </w:r>
    </w:p>
    <w:p w:rsidR="003F07CC" w:rsidRDefault="003F07CC" w:rsidP="00083D48">
      <w:pPr>
        <w:contextualSpacing/>
        <w:jc w:val="both"/>
        <w:rPr>
          <w:sz w:val="22"/>
          <w:szCs w:val="22"/>
        </w:rPr>
      </w:pPr>
    </w:p>
    <w:p w:rsidR="00083D48" w:rsidRPr="003F07CC" w:rsidRDefault="00083D48" w:rsidP="00083D48">
      <w:pPr>
        <w:contextualSpacing/>
        <w:jc w:val="both"/>
        <w:rPr>
          <w:sz w:val="22"/>
          <w:szCs w:val="22"/>
        </w:rPr>
      </w:pPr>
      <w:r w:rsidRPr="003F07CC">
        <w:rPr>
          <w:sz w:val="22"/>
          <w:szCs w:val="22"/>
        </w:rPr>
        <w:t xml:space="preserve">Στους εποπτευόμενους φορείς του </w:t>
      </w:r>
      <w:r w:rsidR="00B42BB3" w:rsidRPr="003F07CC">
        <w:rPr>
          <w:sz w:val="22"/>
          <w:szCs w:val="22"/>
        </w:rPr>
        <w:t xml:space="preserve">Υπουργείου </w:t>
      </w:r>
      <w:r w:rsidRPr="003F07CC">
        <w:rPr>
          <w:sz w:val="22"/>
          <w:szCs w:val="22"/>
        </w:rPr>
        <w:t>περιλαμβάνονται τα Κέντρα Κοινωνικής Πρόνοιας Περιφερειών (ΚΚΠΠ), το Κέντρο Εκπαίδευσης και Αποκατάστασης Τυφλών (ΚΕΑΤ), το Εθνικό Ί</w:t>
      </w:r>
      <w:r w:rsidRPr="003F07CC">
        <w:rPr>
          <w:sz w:val="22"/>
          <w:szCs w:val="22"/>
        </w:rPr>
        <w:t>δ</w:t>
      </w:r>
      <w:r w:rsidRPr="003F07CC">
        <w:rPr>
          <w:sz w:val="22"/>
          <w:szCs w:val="22"/>
        </w:rPr>
        <w:t>ρυμα Κωφών (ΕΙΚ), το Εθνικό Κέντρο Κοινωνικής Αλληλεγγύης (ΕΚΚΑ), καθώς επίσης και το Ε</w:t>
      </w:r>
      <w:r w:rsidRPr="003F07CC">
        <w:rPr>
          <w:sz w:val="22"/>
          <w:szCs w:val="22"/>
        </w:rPr>
        <w:t>θ</w:t>
      </w:r>
      <w:r w:rsidRPr="003F07CC">
        <w:rPr>
          <w:sz w:val="22"/>
          <w:szCs w:val="22"/>
        </w:rPr>
        <w:t xml:space="preserve">νικό Ινστιτούτο Εργασίας και Ανθρώπινου Δυναμικού (ΕΙΕΑΔ). </w:t>
      </w:r>
    </w:p>
    <w:p w:rsidR="00083D48" w:rsidRPr="003F07CC" w:rsidRDefault="00083D48" w:rsidP="00083D48">
      <w:pPr>
        <w:contextualSpacing/>
        <w:jc w:val="both"/>
        <w:rPr>
          <w:sz w:val="22"/>
          <w:szCs w:val="22"/>
        </w:rPr>
      </w:pPr>
      <w:r w:rsidRPr="003F07CC">
        <w:rPr>
          <w:sz w:val="22"/>
          <w:szCs w:val="22"/>
        </w:rPr>
        <w:t>Για το έ</w:t>
      </w:r>
      <w:r w:rsidR="00DB0C08">
        <w:rPr>
          <w:sz w:val="22"/>
          <w:szCs w:val="22"/>
        </w:rPr>
        <w:t>τος 2019 οι ανωτέρω φορείς</w:t>
      </w:r>
      <w:r w:rsidRPr="003F07CC">
        <w:rPr>
          <w:sz w:val="22"/>
          <w:szCs w:val="22"/>
        </w:rPr>
        <w:t xml:space="preserve"> </w:t>
      </w:r>
      <w:r w:rsidR="00C66B94">
        <w:rPr>
          <w:sz w:val="22"/>
          <w:szCs w:val="22"/>
        </w:rPr>
        <w:t>προβλέπεται</w:t>
      </w:r>
      <w:r w:rsidRPr="003F07CC">
        <w:rPr>
          <w:sz w:val="22"/>
          <w:szCs w:val="22"/>
        </w:rPr>
        <w:t xml:space="preserve"> να παρουσιάσουν αρνητικό αποτέλεσμα ύψους 0,9 εκατ. ευρώ.</w:t>
      </w:r>
    </w:p>
    <w:p w:rsidR="00083D48" w:rsidRDefault="00083D48" w:rsidP="00083D48">
      <w:pPr>
        <w:contextualSpacing/>
        <w:jc w:val="both"/>
        <w:rPr>
          <w:sz w:val="22"/>
          <w:szCs w:val="22"/>
        </w:rPr>
      </w:pPr>
    </w:p>
    <w:p w:rsidR="00083D48" w:rsidRPr="009E02FC" w:rsidRDefault="00083D48" w:rsidP="00083D48">
      <w:pPr>
        <w:jc w:val="both"/>
        <w:rPr>
          <w:rFonts w:ascii="Arial Narrow" w:hAnsi="Arial Narrow"/>
          <w:b/>
          <w:i/>
          <w:sz w:val="22"/>
          <w:szCs w:val="22"/>
        </w:rPr>
      </w:pPr>
      <w:r w:rsidRPr="009E02FC">
        <w:rPr>
          <w:rFonts w:ascii="Arial Narrow" w:hAnsi="Arial Narrow"/>
          <w:b/>
          <w:i/>
          <w:sz w:val="22"/>
          <w:szCs w:val="22"/>
        </w:rPr>
        <w:t xml:space="preserve">Υπουργείο Οικονομίας και Ανάπτυξης </w:t>
      </w:r>
    </w:p>
    <w:p w:rsidR="00083D48" w:rsidRPr="009E02FC" w:rsidRDefault="00083D48" w:rsidP="00083D48">
      <w:pPr>
        <w:autoSpaceDE w:val="0"/>
        <w:autoSpaceDN w:val="0"/>
        <w:adjustRightInd w:val="0"/>
        <w:jc w:val="both"/>
        <w:rPr>
          <w:rFonts w:eastAsia="Calibri"/>
          <w:b/>
          <w:bCs/>
          <w:i/>
          <w:iCs/>
          <w:sz w:val="22"/>
          <w:szCs w:val="22"/>
        </w:rPr>
      </w:pPr>
    </w:p>
    <w:p w:rsidR="00083D48" w:rsidRPr="009E02FC" w:rsidRDefault="00083D48" w:rsidP="00083D48">
      <w:pPr>
        <w:jc w:val="both"/>
        <w:rPr>
          <w:sz w:val="22"/>
          <w:szCs w:val="22"/>
        </w:rPr>
      </w:pPr>
      <w:r w:rsidRPr="009E02FC">
        <w:rPr>
          <w:sz w:val="22"/>
          <w:szCs w:val="22"/>
        </w:rPr>
        <w:t xml:space="preserve">Στα νομικά πρόσωπα του </w:t>
      </w:r>
      <w:r w:rsidR="00B42BB3">
        <w:rPr>
          <w:sz w:val="22"/>
          <w:szCs w:val="22"/>
        </w:rPr>
        <w:t>Υ</w:t>
      </w:r>
      <w:r w:rsidR="00B42BB3" w:rsidRPr="009E02FC">
        <w:rPr>
          <w:sz w:val="22"/>
          <w:szCs w:val="22"/>
        </w:rPr>
        <w:t>πουργείου</w:t>
      </w:r>
      <w:r w:rsidRPr="009E02FC">
        <w:rPr>
          <w:sz w:val="22"/>
          <w:szCs w:val="22"/>
        </w:rPr>
        <w:t xml:space="preserve">, </w:t>
      </w:r>
      <w:r>
        <w:rPr>
          <w:sz w:val="22"/>
          <w:szCs w:val="22"/>
        </w:rPr>
        <w:t xml:space="preserve">μεταξύ άλλων, </w:t>
      </w:r>
      <w:r w:rsidRPr="009E02FC">
        <w:rPr>
          <w:sz w:val="22"/>
          <w:szCs w:val="22"/>
        </w:rPr>
        <w:t>περιλαμβάνονται το Εθνικό Ταμείο Επιχειρ</w:t>
      </w:r>
      <w:r w:rsidRPr="009E02FC">
        <w:rPr>
          <w:sz w:val="22"/>
          <w:szCs w:val="22"/>
        </w:rPr>
        <w:t>η</w:t>
      </w:r>
      <w:r w:rsidRPr="009E02FC">
        <w:rPr>
          <w:sz w:val="22"/>
          <w:szCs w:val="22"/>
        </w:rPr>
        <w:t>ματικότητας και Ανάπτυξης (ΕΤΕΑΝ) ΑΕ, που έχει ως βασικό σκοπό την προώθηση της επιχειρημ</w:t>
      </w:r>
      <w:r w:rsidRPr="009E02FC">
        <w:rPr>
          <w:sz w:val="22"/>
          <w:szCs w:val="22"/>
        </w:rPr>
        <w:t>α</w:t>
      </w:r>
      <w:r w:rsidRPr="009E02FC">
        <w:rPr>
          <w:sz w:val="22"/>
          <w:szCs w:val="22"/>
        </w:rPr>
        <w:t xml:space="preserve">τικότητας και ειδικότερα την ενίσχυση της πρόσβασης στη χρηματοδότηση για την ίδρυση νέων και καινοτόμων επιχειρήσεων και η Ελληνική Εταιρεία Επενδύσεων και Εξωτερικού Εμπορίου ΑΕ, με κύριο στόχο την προσέλκυση, την υποδοχή και τη διατήρηση επενδύσεων στην Ελλάδα, καθώς και την προώθηση και ανάπτυξη κάθε είδους εξαγωγών αγαθών και υπηρεσιών. </w:t>
      </w:r>
    </w:p>
    <w:p w:rsidR="00083D48" w:rsidRPr="009E02FC" w:rsidRDefault="00083D48" w:rsidP="00083D48">
      <w:pPr>
        <w:jc w:val="both"/>
        <w:rPr>
          <w:sz w:val="22"/>
          <w:szCs w:val="22"/>
        </w:rPr>
      </w:pPr>
      <w:r w:rsidRPr="009E02FC">
        <w:rPr>
          <w:sz w:val="22"/>
          <w:szCs w:val="22"/>
        </w:rPr>
        <w:t>Επίσης, περιλαμβάνεται το Ταμείο Ανάπτυξης Νέας Οικονομίας (ΤΑΝΕΟ) ΑΕ</w:t>
      </w:r>
      <w:r w:rsidR="004F5A57">
        <w:rPr>
          <w:sz w:val="22"/>
          <w:szCs w:val="22"/>
        </w:rPr>
        <w:t>,</w:t>
      </w:r>
      <w:r w:rsidRPr="009E02FC">
        <w:rPr>
          <w:sz w:val="22"/>
          <w:szCs w:val="22"/>
        </w:rPr>
        <w:t xml:space="preserve"> με σκοπό τη μειοψ</w:t>
      </w:r>
      <w:r w:rsidRPr="009E02FC">
        <w:rPr>
          <w:sz w:val="22"/>
          <w:szCs w:val="22"/>
        </w:rPr>
        <w:t>η</w:t>
      </w:r>
      <w:r w:rsidRPr="009E02FC">
        <w:rPr>
          <w:sz w:val="22"/>
          <w:szCs w:val="22"/>
        </w:rPr>
        <w:t>φική συμμετοχή σε επενδυτικά σχήματα</w:t>
      </w:r>
      <w:r w:rsidRPr="0058559F">
        <w:rPr>
          <w:sz w:val="22"/>
          <w:szCs w:val="22"/>
        </w:rPr>
        <w:t>,</w:t>
      </w:r>
      <w:r w:rsidRPr="009E02FC">
        <w:rPr>
          <w:sz w:val="22"/>
          <w:szCs w:val="22"/>
        </w:rPr>
        <w:t xml:space="preserve"> τα οποία θα πρέπει να επενδύουν αποκλειστικά σε καινοτ</w:t>
      </w:r>
      <w:r w:rsidRPr="009E02FC">
        <w:rPr>
          <w:sz w:val="22"/>
          <w:szCs w:val="22"/>
        </w:rPr>
        <w:t>ό</w:t>
      </w:r>
      <w:r w:rsidRPr="009E02FC">
        <w:rPr>
          <w:sz w:val="22"/>
          <w:szCs w:val="22"/>
        </w:rPr>
        <w:t>μες μικρές και μικρομεσαίες επιχειρήσεις στην Ελλάδα.</w:t>
      </w:r>
    </w:p>
    <w:p w:rsidR="00083D48" w:rsidRPr="009E02FC" w:rsidRDefault="00083D48" w:rsidP="00083D48">
      <w:pPr>
        <w:jc w:val="both"/>
        <w:rPr>
          <w:sz w:val="22"/>
          <w:szCs w:val="22"/>
        </w:rPr>
      </w:pPr>
    </w:p>
    <w:p w:rsidR="00083D48" w:rsidRPr="009E02FC" w:rsidRDefault="00083D48" w:rsidP="00083D48">
      <w:pPr>
        <w:jc w:val="both"/>
        <w:rPr>
          <w:sz w:val="22"/>
          <w:szCs w:val="22"/>
        </w:rPr>
      </w:pPr>
      <w:r w:rsidRPr="009E02FC">
        <w:rPr>
          <w:sz w:val="22"/>
          <w:szCs w:val="22"/>
        </w:rPr>
        <w:t xml:space="preserve">Για το 2019 προβλέπεται </w:t>
      </w:r>
      <w:r>
        <w:rPr>
          <w:sz w:val="22"/>
          <w:szCs w:val="22"/>
        </w:rPr>
        <w:t>πλεόνασμα</w:t>
      </w:r>
      <w:r w:rsidRPr="009E02FC">
        <w:rPr>
          <w:sz w:val="22"/>
          <w:szCs w:val="22"/>
        </w:rPr>
        <w:t xml:space="preserve"> ύψους 6 εκατ. ευρώ, το </w:t>
      </w:r>
      <w:r w:rsidR="005714EF">
        <w:rPr>
          <w:sz w:val="22"/>
          <w:szCs w:val="22"/>
        </w:rPr>
        <w:t>οποίο θα προέλθει κυρίως από το</w:t>
      </w:r>
      <w:r w:rsidRPr="009E02FC">
        <w:rPr>
          <w:sz w:val="22"/>
          <w:szCs w:val="22"/>
        </w:rPr>
        <w:t xml:space="preserve"> ΕΤΕΑΝ ΑΕ και την Ελληνική Εταιρεία Επενδύσεων και Εξωτερικού Εμπορίου ΑΕ.</w:t>
      </w:r>
    </w:p>
    <w:p w:rsidR="00083D48" w:rsidRDefault="00083D48" w:rsidP="00083D48">
      <w:pPr>
        <w:jc w:val="both"/>
        <w:rPr>
          <w:sz w:val="22"/>
          <w:szCs w:val="22"/>
        </w:rPr>
      </w:pPr>
    </w:p>
    <w:p w:rsidR="00083D48" w:rsidRPr="00BA4DF7" w:rsidRDefault="00083D48" w:rsidP="00083D48">
      <w:pPr>
        <w:contextualSpacing/>
        <w:jc w:val="both"/>
        <w:rPr>
          <w:rFonts w:ascii="Arial Narrow" w:hAnsi="Arial Narrow"/>
          <w:b/>
          <w:i/>
          <w:sz w:val="22"/>
          <w:szCs w:val="22"/>
        </w:rPr>
      </w:pPr>
      <w:r w:rsidRPr="00BA4DF7">
        <w:rPr>
          <w:rFonts w:ascii="Arial Narrow" w:hAnsi="Arial Narrow"/>
          <w:b/>
          <w:i/>
          <w:sz w:val="22"/>
          <w:szCs w:val="22"/>
        </w:rPr>
        <w:t>Υπουργείο Υποδομών και Μεταφορών</w:t>
      </w:r>
    </w:p>
    <w:p w:rsidR="00083D48" w:rsidRDefault="00083D48" w:rsidP="00083D48">
      <w:pPr>
        <w:contextualSpacing/>
        <w:jc w:val="both"/>
        <w:rPr>
          <w:sz w:val="22"/>
          <w:szCs w:val="22"/>
        </w:rPr>
      </w:pPr>
    </w:p>
    <w:p w:rsidR="00083D48" w:rsidRPr="00A1352B" w:rsidRDefault="00083D48" w:rsidP="00083D48">
      <w:pPr>
        <w:contextualSpacing/>
        <w:jc w:val="both"/>
        <w:rPr>
          <w:sz w:val="22"/>
          <w:szCs w:val="22"/>
        </w:rPr>
      </w:pPr>
      <w:r>
        <w:rPr>
          <w:sz w:val="22"/>
          <w:szCs w:val="22"/>
        </w:rPr>
        <w:t xml:space="preserve">Οι εποπτευόμενοι φορείς του </w:t>
      </w:r>
      <w:r w:rsidR="00747E74">
        <w:rPr>
          <w:sz w:val="22"/>
          <w:szCs w:val="22"/>
        </w:rPr>
        <w:t>Υπουργείου</w:t>
      </w:r>
      <w:r w:rsidR="00747E74" w:rsidRPr="00BA4DF7">
        <w:rPr>
          <w:sz w:val="22"/>
          <w:szCs w:val="22"/>
        </w:rPr>
        <w:t xml:space="preserve"> </w:t>
      </w:r>
      <w:r>
        <w:rPr>
          <w:sz w:val="22"/>
          <w:szCs w:val="22"/>
        </w:rPr>
        <w:t xml:space="preserve">για το </w:t>
      </w:r>
      <w:r w:rsidRPr="00BA4DF7">
        <w:rPr>
          <w:sz w:val="22"/>
          <w:szCs w:val="22"/>
        </w:rPr>
        <w:t xml:space="preserve">έτος 2019 </w:t>
      </w:r>
      <w:r w:rsidR="00C66B94">
        <w:rPr>
          <w:sz w:val="22"/>
          <w:szCs w:val="22"/>
        </w:rPr>
        <w:t>προβλέπεται</w:t>
      </w:r>
      <w:r>
        <w:rPr>
          <w:sz w:val="22"/>
          <w:szCs w:val="22"/>
        </w:rPr>
        <w:t xml:space="preserve"> να εμφανίσουν πλεόνασμα</w:t>
      </w:r>
      <w:r w:rsidRPr="00BA4DF7">
        <w:rPr>
          <w:sz w:val="22"/>
          <w:szCs w:val="22"/>
        </w:rPr>
        <w:t>, ύψους 49 εκατ. ευρώ</w:t>
      </w:r>
      <w:r>
        <w:rPr>
          <w:sz w:val="22"/>
          <w:szCs w:val="22"/>
        </w:rPr>
        <w:t xml:space="preserve">, το οποίο προέρχεται κυρίως από την εταιρεία </w:t>
      </w:r>
      <w:r w:rsidRPr="00BA4DF7">
        <w:rPr>
          <w:sz w:val="22"/>
          <w:szCs w:val="22"/>
        </w:rPr>
        <w:t>Κτιριακές Υποδομές (ΚΤΥΠ) ΑΕ, η οποία αποτελεί τον ενιαίο κατασκευαστικό φορέα του Ελληνικού Δημοσίου.</w:t>
      </w:r>
    </w:p>
    <w:p w:rsidR="00083D48" w:rsidRDefault="00083D48" w:rsidP="00083D48">
      <w:pPr>
        <w:jc w:val="both"/>
        <w:rPr>
          <w:sz w:val="22"/>
          <w:szCs w:val="22"/>
        </w:rPr>
      </w:pPr>
    </w:p>
    <w:p w:rsidR="00083D48" w:rsidRDefault="00083D48" w:rsidP="00083D48">
      <w:pPr>
        <w:contextualSpacing/>
        <w:jc w:val="both"/>
        <w:rPr>
          <w:rFonts w:ascii="Arial Narrow" w:hAnsi="Arial Narrow"/>
          <w:b/>
          <w:i/>
          <w:sz w:val="22"/>
          <w:szCs w:val="22"/>
        </w:rPr>
      </w:pPr>
      <w:r w:rsidRPr="00220D45">
        <w:rPr>
          <w:rFonts w:ascii="Arial Narrow" w:hAnsi="Arial Narrow"/>
          <w:b/>
          <w:i/>
          <w:sz w:val="22"/>
          <w:szCs w:val="22"/>
        </w:rPr>
        <w:t>Υπουργείο Ναυτιλίας και Νησιωτικής Πολιτικής</w:t>
      </w:r>
    </w:p>
    <w:p w:rsidR="00083D48" w:rsidRPr="00220D45" w:rsidRDefault="00083D48" w:rsidP="00083D48">
      <w:pPr>
        <w:contextualSpacing/>
        <w:jc w:val="both"/>
        <w:rPr>
          <w:rFonts w:ascii="Arial Narrow" w:hAnsi="Arial Narrow"/>
          <w:b/>
          <w:i/>
          <w:sz w:val="22"/>
          <w:szCs w:val="22"/>
        </w:rPr>
      </w:pPr>
    </w:p>
    <w:p w:rsidR="00083D48" w:rsidRPr="00FC737D" w:rsidRDefault="00083D48" w:rsidP="00083D48">
      <w:pPr>
        <w:contextualSpacing/>
        <w:jc w:val="both"/>
        <w:rPr>
          <w:sz w:val="22"/>
          <w:szCs w:val="22"/>
        </w:rPr>
      </w:pPr>
      <w:r w:rsidRPr="00196A28">
        <w:rPr>
          <w:sz w:val="22"/>
          <w:szCs w:val="22"/>
        </w:rPr>
        <w:t xml:space="preserve">Τα νομικά πρόσωπα εποπτείας του </w:t>
      </w:r>
      <w:r w:rsidR="00747E74">
        <w:rPr>
          <w:sz w:val="22"/>
          <w:szCs w:val="22"/>
        </w:rPr>
        <w:t>Υ</w:t>
      </w:r>
      <w:r w:rsidR="00747E74" w:rsidRPr="00196A28">
        <w:rPr>
          <w:sz w:val="22"/>
          <w:szCs w:val="22"/>
        </w:rPr>
        <w:t>πουργείου</w:t>
      </w:r>
      <w:r w:rsidRPr="00196A28">
        <w:rPr>
          <w:sz w:val="22"/>
          <w:szCs w:val="22"/>
        </w:rPr>
        <w:t>, στα οποία περιλαμβάνονται Οργανισμοί Λιμένων και Λιμενικά Ταμεία</w:t>
      </w:r>
      <w:r>
        <w:rPr>
          <w:sz w:val="22"/>
          <w:szCs w:val="22"/>
        </w:rPr>
        <w:t>,</w:t>
      </w:r>
      <w:r w:rsidRPr="00196A28">
        <w:rPr>
          <w:sz w:val="22"/>
          <w:szCs w:val="22"/>
        </w:rPr>
        <w:t xml:space="preserve"> προβλέπεται να εμφανίσουν πλεόνασμα ύψους 4 εκατ. ευρώ, το οποίο προέρχεται κυρίως από τους</w:t>
      </w:r>
      <w:r w:rsidRPr="00FC737D">
        <w:rPr>
          <w:sz w:val="22"/>
          <w:szCs w:val="22"/>
        </w:rPr>
        <w:t xml:space="preserve"> Οργανισμούς Λιμένων.</w:t>
      </w:r>
      <w:r w:rsidR="003F07CC">
        <w:rPr>
          <w:sz w:val="22"/>
          <w:szCs w:val="22"/>
        </w:rPr>
        <w:t xml:space="preserve"> </w:t>
      </w:r>
      <w:r w:rsidRPr="00FC737D">
        <w:rPr>
          <w:sz w:val="22"/>
          <w:szCs w:val="22"/>
        </w:rPr>
        <w:t>Οι φορείς αυτοί υλοποιούν σημαντικού ύψους επενδυτικά προγράμματα εκσυγχρονισμού και ασφάλειας των εγκαταστάσεών τους, τα οποία χρηματοδοτούνται από το Π</w:t>
      </w:r>
      <w:r>
        <w:rPr>
          <w:sz w:val="22"/>
          <w:szCs w:val="22"/>
        </w:rPr>
        <w:t>ρόγραμμα Δημοσίων Επενδύσεων</w:t>
      </w:r>
      <w:r w:rsidRPr="00FC737D">
        <w:rPr>
          <w:sz w:val="22"/>
          <w:szCs w:val="22"/>
        </w:rPr>
        <w:t xml:space="preserve"> και από ίδιους πόρους.</w:t>
      </w:r>
    </w:p>
    <w:p w:rsidR="00083D48" w:rsidRPr="00603D66" w:rsidRDefault="00083D48" w:rsidP="00083D48">
      <w:pPr>
        <w:autoSpaceDE w:val="0"/>
        <w:autoSpaceDN w:val="0"/>
        <w:adjustRightInd w:val="0"/>
        <w:jc w:val="both"/>
        <w:rPr>
          <w:sz w:val="22"/>
          <w:szCs w:val="22"/>
        </w:rPr>
      </w:pPr>
      <w:r w:rsidRPr="005778AB">
        <w:rPr>
          <w:sz w:val="22"/>
          <w:szCs w:val="22"/>
        </w:rPr>
        <w:t>Επίσης, περιλαμβάνεται και η νεοσύστατη αυτοτελής και ανεξάρτητη υπηρεσιακή μονάδα</w:t>
      </w:r>
      <w:r w:rsidR="0019610E">
        <w:rPr>
          <w:sz w:val="22"/>
          <w:szCs w:val="22"/>
        </w:rPr>
        <w:t>,</w:t>
      </w:r>
      <w:r w:rsidRPr="005778AB">
        <w:rPr>
          <w:sz w:val="22"/>
          <w:szCs w:val="22"/>
        </w:rPr>
        <w:t xml:space="preserve"> Δημόσια Αρχή Λιμένων, που έχει ως βασικό σκοπό την επίτευξη των προγραμματικών στόχων του ελληνικού λιμενικού συστήματος.</w:t>
      </w:r>
    </w:p>
    <w:p w:rsidR="00083D48" w:rsidRDefault="00083D48" w:rsidP="00083D48">
      <w:pPr>
        <w:jc w:val="both"/>
        <w:rPr>
          <w:rFonts w:ascii="Arial Narrow" w:hAnsi="Arial Narrow"/>
          <w:b/>
          <w:i/>
          <w:sz w:val="22"/>
          <w:szCs w:val="22"/>
          <w:highlight w:val="yellow"/>
        </w:rPr>
      </w:pPr>
    </w:p>
    <w:p w:rsidR="00DB0C08" w:rsidRDefault="00DB0C08" w:rsidP="00DB0C08">
      <w:pPr>
        <w:contextualSpacing/>
        <w:jc w:val="both"/>
        <w:rPr>
          <w:rFonts w:ascii="Arial Narrow" w:hAnsi="Arial Narrow"/>
          <w:b/>
          <w:i/>
          <w:sz w:val="22"/>
          <w:szCs w:val="22"/>
        </w:rPr>
      </w:pPr>
      <w:r w:rsidRPr="00220D45">
        <w:rPr>
          <w:rFonts w:ascii="Arial Narrow" w:hAnsi="Arial Narrow"/>
          <w:b/>
          <w:i/>
          <w:sz w:val="22"/>
          <w:szCs w:val="22"/>
        </w:rPr>
        <w:t xml:space="preserve">Υπουργείο </w:t>
      </w:r>
      <w:r>
        <w:rPr>
          <w:rFonts w:ascii="Arial Narrow" w:hAnsi="Arial Narrow"/>
          <w:b/>
          <w:i/>
          <w:sz w:val="22"/>
          <w:szCs w:val="22"/>
        </w:rPr>
        <w:t>Προστασίας του Πολίτη</w:t>
      </w:r>
    </w:p>
    <w:p w:rsidR="00DB0C08" w:rsidRDefault="00DB0C08" w:rsidP="00083D48">
      <w:pPr>
        <w:jc w:val="both"/>
        <w:rPr>
          <w:rFonts w:ascii="Arial Narrow" w:hAnsi="Arial Narrow"/>
          <w:sz w:val="22"/>
          <w:szCs w:val="22"/>
          <w:highlight w:val="yellow"/>
        </w:rPr>
      </w:pPr>
    </w:p>
    <w:p w:rsidR="00DB0C08" w:rsidRDefault="00DB0C08" w:rsidP="00083D48">
      <w:pPr>
        <w:jc w:val="both"/>
        <w:rPr>
          <w:sz w:val="22"/>
          <w:szCs w:val="22"/>
        </w:rPr>
      </w:pPr>
      <w:r w:rsidRPr="00DB0C08">
        <w:rPr>
          <w:sz w:val="22"/>
          <w:szCs w:val="22"/>
        </w:rPr>
        <w:t xml:space="preserve">Ο </w:t>
      </w:r>
      <w:r>
        <w:rPr>
          <w:sz w:val="22"/>
          <w:szCs w:val="22"/>
        </w:rPr>
        <w:t>προϋπολογισμός του νομικού προσώπου «Κέντρο Μελετών Ασφάλειας» (ΚΕΜΕΑ) αναμένεται να παρουσιάσει οριακά θετικό δημοσιονομικό αποτέλεσμα το 2019.</w:t>
      </w:r>
    </w:p>
    <w:p w:rsidR="00DB0C08" w:rsidRPr="00DB0C08" w:rsidRDefault="00DB0C08" w:rsidP="00083D48">
      <w:pPr>
        <w:jc w:val="both"/>
        <w:rPr>
          <w:sz w:val="22"/>
          <w:szCs w:val="22"/>
        </w:rPr>
      </w:pPr>
    </w:p>
    <w:p w:rsidR="00083D48" w:rsidRPr="004E35AB" w:rsidRDefault="00083D48" w:rsidP="00083D48">
      <w:pPr>
        <w:jc w:val="both"/>
        <w:rPr>
          <w:rFonts w:ascii="Arial Narrow" w:hAnsi="Arial Narrow"/>
          <w:b/>
          <w:i/>
          <w:sz w:val="22"/>
          <w:szCs w:val="22"/>
        </w:rPr>
      </w:pPr>
      <w:r w:rsidRPr="004E35AB">
        <w:rPr>
          <w:rFonts w:ascii="Arial Narrow" w:hAnsi="Arial Narrow"/>
          <w:b/>
          <w:i/>
          <w:sz w:val="22"/>
          <w:szCs w:val="22"/>
        </w:rPr>
        <w:t>Υπουργείο Ψηφιακής Πολιτικής, Τηλεπικοινωνιών και Ενημέρωσης</w:t>
      </w:r>
    </w:p>
    <w:p w:rsidR="00083D48" w:rsidRPr="004E35AB" w:rsidRDefault="00083D48" w:rsidP="00083D48">
      <w:pPr>
        <w:jc w:val="both"/>
        <w:rPr>
          <w:sz w:val="22"/>
          <w:szCs w:val="22"/>
        </w:rPr>
      </w:pPr>
    </w:p>
    <w:p w:rsidR="00083D48" w:rsidRPr="006247CC" w:rsidRDefault="00083D48" w:rsidP="00DB0C08">
      <w:pPr>
        <w:jc w:val="both"/>
        <w:rPr>
          <w:sz w:val="22"/>
          <w:szCs w:val="22"/>
        </w:rPr>
      </w:pPr>
      <w:r w:rsidRPr="004E35AB">
        <w:rPr>
          <w:sz w:val="22"/>
          <w:szCs w:val="22"/>
        </w:rPr>
        <w:t xml:space="preserve">Το </w:t>
      </w:r>
      <w:r w:rsidR="00747E74">
        <w:rPr>
          <w:sz w:val="22"/>
          <w:szCs w:val="22"/>
        </w:rPr>
        <w:t>Υ</w:t>
      </w:r>
      <w:r w:rsidR="00747E74" w:rsidRPr="004E35AB">
        <w:rPr>
          <w:sz w:val="22"/>
          <w:szCs w:val="22"/>
        </w:rPr>
        <w:t xml:space="preserve">πουργείο </w:t>
      </w:r>
      <w:r w:rsidRPr="004E35AB">
        <w:rPr>
          <w:sz w:val="22"/>
          <w:szCs w:val="22"/>
        </w:rPr>
        <w:t>εποπτεύει το Αθηναϊκό Πρακτορείο Ειδήσεων - Μακεδονικό Πρακτορείο Ειδήσεων (ΑΠΕ-ΜΠΕ) ΑΕ και το Εθνικό Κέντρο Οπτικοακουστικών Μέσων και Ενημέρωσης (ΕΚΟΜΕ) ΑΕ, που λειτουργεί ως φορέας ανάπτυξης της βιομηχανίας των οπτικοακουστικών μέσων, της επιστημον</w:t>
      </w:r>
      <w:r w:rsidRPr="004E35AB">
        <w:rPr>
          <w:sz w:val="22"/>
          <w:szCs w:val="22"/>
        </w:rPr>
        <w:t>ι</w:t>
      </w:r>
      <w:r w:rsidRPr="004E35AB">
        <w:rPr>
          <w:sz w:val="22"/>
          <w:szCs w:val="22"/>
        </w:rPr>
        <w:t xml:space="preserve">κής έρευνας, </w:t>
      </w:r>
      <w:r>
        <w:rPr>
          <w:sz w:val="22"/>
          <w:szCs w:val="22"/>
        </w:rPr>
        <w:t xml:space="preserve">της </w:t>
      </w:r>
      <w:r w:rsidRPr="004E35AB">
        <w:rPr>
          <w:sz w:val="22"/>
          <w:szCs w:val="22"/>
        </w:rPr>
        <w:t xml:space="preserve">μελέτης και </w:t>
      </w:r>
      <w:r>
        <w:rPr>
          <w:sz w:val="22"/>
          <w:szCs w:val="22"/>
        </w:rPr>
        <w:t xml:space="preserve">της </w:t>
      </w:r>
      <w:r w:rsidRPr="004E35AB">
        <w:rPr>
          <w:sz w:val="22"/>
          <w:szCs w:val="22"/>
        </w:rPr>
        <w:t>προώθησης νέων τεχνολογιών.</w:t>
      </w:r>
      <w:r>
        <w:rPr>
          <w:sz w:val="22"/>
          <w:szCs w:val="22"/>
        </w:rPr>
        <w:t xml:space="preserve"> </w:t>
      </w:r>
      <w:r w:rsidRPr="004E35AB">
        <w:rPr>
          <w:sz w:val="22"/>
          <w:szCs w:val="22"/>
        </w:rPr>
        <w:t xml:space="preserve">Οι προϋπολογισμοί </w:t>
      </w:r>
      <w:r>
        <w:rPr>
          <w:sz w:val="22"/>
          <w:szCs w:val="22"/>
        </w:rPr>
        <w:t>των ανωτέρω φορέων προβλέπεται να είναι</w:t>
      </w:r>
      <w:r w:rsidRPr="004E35AB">
        <w:rPr>
          <w:sz w:val="22"/>
          <w:szCs w:val="22"/>
        </w:rPr>
        <w:t xml:space="preserve"> ισοσκελισμένοι </w:t>
      </w:r>
      <w:r>
        <w:rPr>
          <w:sz w:val="22"/>
          <w:szCs w:val="22"/>
        </w:rPr>
        <w:t>για το</w:t>
      </w:r>
      <w:r w:rsidRPr="004E35AB">
        <w:rPr>
          <w:sz w:val="22"/>
          <w:szCs w:val="22"/>
        </w:rPr>
        <w:t xml:space="preserve"> έτος 2019.</w:t>
      </w:r>
    </w:p>
    <w:p w:rsidR="00DB0C08" w:rsidRPr="00DB0C08" w:rsidRDefault="00DB0C08" w:rsidP="00DB0C08">
      <w:pPr>
        <w:jc w:val="both"/>
        <w:rPr>
          <w:sz w:val="22"/>
          <w:szCs w:val="22"/>
        </w:rPr>
      </w:pPr>
    </w:p>
    <w:p w:rsidR="00D3091B" w:rsidRPr="00DC4825" w:rsidRDefault="00D3091B" w:rsidP="00D3091B">
      <w:pPr>
        <w:keepNext/>
        <w:jc w:val="both"/>
        <w:outlineLvl w:val="4"/>
        <w:rPr>
          <w:rFonts w:ascii="Arial Narrow" w:hAnsi="Arial Narrow"/>
          <w:b/>
          <w:bCs/>
          <w:color w:val="000080"/>
          <w:szCs w:val="22"/>
        </w:rPr>
      </w:pPr>
      <w:r w:rsidRPr="00DC4825">
        <w:rPr>
          <w:rFonts w:ascii="Arial Narrow" w:hAnsi="Arial Narrow"/>
          <w:b/>
          <w:bCs/>
          <w:color w:val="000080"/>
          <w:szCs w:val="22"/>
        </w:rPr>
        <w:t>Ανεξάρτητες Διοικητικές Αρχές (ΑΔΑ)</w:t>
      </w:r>
    </w:p>
    <w:p w:rsidR="00D3091B" w:rsidRPr="00DC4825" w:rsidRDefault="00D3091B" w:rsidP="00D3091B">
      <w:pPr>
        <w:jc w:val="both"/>
        <w:rPr>
          <w:sz w:val="22"/>
          <w:szCs w:val="22"/>
        </w:rPr>
      </w:pPr>
    </w:p>
    <w:p w:rsidR="00D3091B" w:rsidRPr="00DC4825" w:rsidRDefault="00D3091B" w:rsidP="00D3091B">
      <w:pPr>
        <w:jc w:val="both"/>
        <w:rPr>
          <w:sz w:val="22"/>
          <w:szCs w:val="22"/>
        </w:rPr>
      </w:pPr>
      <w:r w:rsidRPr="00DC4825">
        <w:rPr>
          <w:sz w:val="22"/>
          <w:szCs w:val="22"/>
        </w:rPr>
        <w:t>Στο ισοζύγιο των λοιπών νομικών προσώπων</w:t>
      </w:r>
      <w:r w:rsidRPr="005F5DB0">
        <w:rPr>
          <w:sz w:val="22"/>
          <w:szCs w:val="22"/>
        </w:rPr>
        <w:t xml:space="preserve"> </w:t>
      </w:r>
      <w:r w:rsidRPr="00D56DCA">
        <w:rPr>
          <w:sz w:val="22"/>
          <w:szCs w:val="22"/>
        </w:rPr>
        <w:t xml:space="preserve">της </w:t>
      </w:r>
      <w:r w:rsidR="00C66B94">
        <w:rPr>
          <w:sz w:val="22"/>
          <w:szCs w:val="22"/>
        </w:rPr>
        <w:t>Κεντρικής</w:t>
      </w:r>
      <w:r w:rsidRPr="00D56DCA">
        <w:rPr>
          <w:sz w:val="22"/>
          <w:szCs w:val="22"/>
        </w:rPr>
        <w:t xml:space="preserve"> Κυβέρνησης</w:t>
      </w:r>
      <w:r w:rsidRPr="00DC4825">
        <w:rPr>
          <w:sz w:val="22"/>
          <w:szCs w:val="22"/>
        </w:rPr>
        <w:t xml:space="preserve"> συμπεριλαμβάνεται και το αποτέλεσμα των Ανεξάρτητων Διοικητικών Αρχών (ΑΔΑ), που έχουν νομική προσωπικότητα και ε</w:t>
      </w:r>
      <w:r w:rsidRPr="00DC4825">
        <w:rPr>
          <w:sz w:val="22"/>
          <w:szCs w:val="22"/>
        </w:rPr>
        <w:t>ί</w:t>
      </w:r>
      <w:r w:rsidRPr="00DC4825">
        <w:rPr>
          <w:sz w:val="22"/>
          <w:szCs w:val="22"/>
        </w:rPr>
        <w:t>ναι οι ακόλουθες:</w:t>
      </w:r>
    </w:p>
    <w:p w:rsidR="00D3091B" w:rsidRDefault="00D3091B" w:rsidP="00D3091B">
      <w:pPr>
        <w:jc w:val="both"/>
        <w:rPr>
          <w:b/>
          <w:sz w:val="22"/>
          <w:szCs w:val="22"/>
        </w:rPr>
      </w:pPr>
    </w:p>
    <w:p w:rsidR="00A26F6C" w:rsidRDefault="00A26F6C" w:rsidP="00D3091B">
      <w:pPr>
        <w:jc w:val="both"/>
        <w:rPr>
          <w:b/>
          <w:sz w:val="22"/>
          <w:szCs w:val="22"/>
        </w:rPr>
      </w:pPr>
    </w:p>
    <w:p w:rsidR="00A26F6C" w:rsidRDefault="00A26F6C" w:rsidP="00D3091B">
      <w:pPr>
        <w:jc w:val="both"/>
        <w:rPr>
          <w:b/>
          <w:sz w:val="22"/>
          <w:szCs w:val="22"/>
        </w:rPr>
      </w:pPr>
    </w:p>
    <w:p w:rsidR="00A26F6C" w:rsidRDefault="00A26F6C" w:rsidP="00D3091B">
      <w:pPr>
        <w:jc w:val="both"/>
        <w:rPr>
          <w:b/>
          <w:sz w:val="22"/>
          <w:szCs w:val="22"/>
        </w:rPr>
      </w:pPr>
    </w:p>
    <w:p w:rsidR="00D3091B" w:rsidRPr="00DC4825" w:rsidRDefault="00D3091B" w:rsidP="00D3091B">
      <w:pPr>
        <w:contextualSpacing/>
        <w:jc w:val="both"/>
        <w:rPr>
          <w:rFonts w:ascii="Arial Narrow" w:hAnsi="Arial Narrow"/>
          <w:b/>
          <w:i/>
          <w:sz w:val="22"/>
          <w:szCs w:val="22"/>
        </w:rPr>
      </w:pPr>
      <w:r w:rsidRPr="00DC4825">
        <w:rPr>
          <w:rFonts w:ascii="Arial Narrow" w:hAnsi="Arial Narrow"/>
          <w:b/>
          <w:i/>
          <w:sz w:val="22"/>
          <w:szCs w:val="22"/>
        </w:rPr>
        <w:lastRenderedPageBreak/>
        <w:t>Εθνική Αναλογιστική Αρχή</w:t>
      </w:r>
    </w:p>
    <w:p w:rsidR="00D3091B" w:rsidRPr="00DC4825" w:rsidRDefault="00D3091B" w:rsidP="00D3091B">
      <w:pPr>
        <w:jc w:val="both"/>
        <w:rPr>
          <w:sz w:val="22"/>
          <w:szCs w:val="22"/>
        </w:rPr>
      </w:pPr>
    </w:p>
    <w:p w:rsidR="00D3091B" w:rsidRPr="00DC4825" w:rsidRDefault="00D3091B" w:rsidP="00D3091B">
      <w:pPr>
        <w:jc w:val="both"/>
        <w:rPr>
          <w:sz w:val="22"/>
          <w:szCs w:val="22"/>
        </w:rPr>
      </w:pPr>
      <w:r w:rsidRPr="00DC4825">
        <w:rPr>
          <w:sz w:val="22"/>
          <w:szCs w:val="22"/>
        </w:rPr>
        <w:t xml:space="preserve">Η Εθνική Αναλογιστική Αρχή έχει ως βασική αποστολή την εξασφάλιση της βιωσιμότητας και της κοινωνικής ανταποδοτικότητας του Συστήματος Κοινωνικής Ασφάλισης. Οι αρμοδιότητές της περιλαμβάνουν κυρίως τη σύνταξη αναλογιστικών εκθέσεων αναφορικά με τη βιωσιμότητα του </w:t>
      </w:r>
      <w:r w:rsidR="00DB0C08">
        <w:rPr>
          <w:sz w:val="22"/>
          <w:szCs w:val="22"/>
        </w:rPr>
        <w:t>εν λόγω σ</w:t>
      </w:r>
      <w:r w:rsidRPr="00DC4825">
        <w:rPr>
          <w:sz w:val="22"/>
          <w:szCs w:val="22"/>
        </w:rPr>
        <w:t>υστήματος, τον καθορισμό των προδιαγραφών των αναλογιστικών μελετών, τον έλεγχο της οικονομικής λειτουργίας και βιωσιμότητας των ταμείων επαγγελματικής ασφάλισης αναφορικά με το π</w:t>
      </w:r>
      <w:r>
        <w:rPr>
          <w:sz w:val="22"/>
          <w:szCs w:val="22"/>
        </w:rPr>
        <w:t>ρόγραμμα παροχών και επενδύσεων και</w:t>
      </w:r>
      <w:r w:rsidRPr="00DC4825">
        <w:rPr>
          <w:sz w:val="22"/>
          <w:szCs w:val="22"/>
        </w:rPr>
        <w:t xml:space="preserve"> τη γνωμοδότηση για ειδικότερα θέματα αναλογιστικής αποτίμησης ασφαλιστικών οργανισμών.</w:t>
      </w:r>
      <w:r w:rsidR="003F07CC">
        <w:rPr>
          <w:sz w:val="22"/>
          <w:szCs w:val="22"/>
        </w:rPr>
        <w:t xml:space="preserve"> </w:t>
      </w:r>
    </w:p>
    <w:p w:rsidR="00D3091B" w:rsidRDefault="00D3091B" w:rsidP="00D3091B">
      <w:pPr>
        <w:jc w:val="both"/>
        <w:rPr>
          <w:sz w:val="22"/>
          <w:szCs w:val="22"/>
        </w:rPr>
      </w:pPr>
      <w:r>
        <w:rPr>
          <w:sz w:val="22"/>
          <w:szCs w:val="22"/>
        </w:rPr>
        <w:t>Για το έτος 2019</w:t>
      </w:r>
      <w:r w:rsidRPr="00DC4825">
        <w:rPr>
          <w:sz w:val="22"/>
          <w:szCs w:val="22"/>
        </w:rPr>
        <w:t xml:space="preserve"> </w:t>
      </w:r>
      <w:r w:rsidRPr="00D56DCA">
        <w:rPr>
          <w:sz w:val="22"/>
          <w:szCs w:val="22"/>
        </w:rPr>
        <w:t xml:space="preserve">η Αρχή </w:t>
      </w:r>
      <w:r w:rsidR="0019610E">
        <w:rPr>
          <w:sz w:val="22"/>
          <w:szCs w:val="22"/>
        </w:rPr>
        <w:t>προβλέπεται</w:t>
      </w:r>
      <w:r w:rsidRPr="00D56DCA">
        <w:rPr>
          <w:sz w:val="22"/>
          <w:szCs w:val="22"/>
        </w:rPr>
        <w:t xml:space="preserve"> να παρουσιάσει πλεόνασμα ύψους 0,</w:t>
      </w:r>
      <w:r w:rsidRPr="00DC4825">
        <w:rPr>
          <w:sz w:val="22"/>
          <w:szCs w:val="22"/>
        </w:rPr>
        <w:t>6 εκατ. ευρώ.</w:t>
      </w:r>
    </w:p>
    <w:p w:rsidR="00D3091B" w:rsidRDefault="00D3091B" w:rsidP="00D3091B">
      <w:pPr>
        <w:jc w:val="both"/>
        <w:rPr>
          <w:sz w:val="22"/>
          <w:szCs w:val="22"/>
        </w:rPr>
      </w:pPr>
    </w:p>
    <w:p w:rsidR="00D3091B" w:rsidRPr="00DC4825" w:rsidRDefault="00D3091B" w:rsidP="00D3091B">
      <w:pPr>
        <w:contextualSpacing/>
        <w:jc w:val="both"/>
        <w:rPr>
          <w:rFonts w:ascii="Arial Narrow" w:hAnsi="Arial Narrow"/>
          <w:b/>
          <w:i/>
          <w:sz w:val="22"/>
          <w:szCs w:val="22"/>
        </w:rPr>
      </w:pPr>
      <w:r w:rsidRPr="00DC4825">
        <w:rPr>
          <w:rFonts w:ascii="Arial Narrow" w:hAnsi="Arial Narrow"/>
          <w:b/>
          <w:i/>
          <w:sz w:val="22"/>
          <w:szCs w:val="22"/>
        </w:rPr>
        <w:t xml:space="preserve">Εθνική Επιτροπή Τηλεπικοινωνιών και Ταχυδρομείων (EETT) </w:t>
      </w:r>
    </w:p>
    <w:p w:rsidR="00D3091B" w:rsidRPr="00DC4825" w:rsidRDefault="00D3091B" w:rsidP="00D3091B">
      <w:pPr>
        <w:jc w:val="both"/>
        <w:rPr>
          <w:sz w:val="22"/>
          <w:szCs w:val="22"/>
        </w:rPr>
      </w:pPr>
    </w:p>
    <w:p w:rsidR="00D3091B" w:rsidRPr="00DC4825" w:rsidRDefault="00D3091B" w:rsidP="00D3091B">
      <w:pPr>
        <w:jc w:val="both"/>
        <w:rPr>
          <w:sz w:val="22"/>
          <w:szCs w:val="22"/>
        </w:rPr>
      </w:pPr>
      <w:r w:rsidRPr="00DC4825">
        <w:rPr>
          <w:sz w:val="22"/>
          <w:szCs w:val="22"/>
        </w:rPr>
        <w:t>Η Εθνική Επιτροπή Τηλεπικοινωνιών και Ταχυδρομείων αποτελεί τον εθνικό ρυθμιστή που εποπτεύει και ελέγχει την αγορά ηλεκτρονικών επικοινωνιών, στην οποία δραστηριοποιούνται οι εταιρ</w:t>
      </w:r>
      <w:r w:rsidR="00C76BF1">
        <w:rPr>
          <w:sz w:val="22"/>
          <w:szCs w:val="22"/>
        </w:rPr>
        <w:t>ε</w:t>
      </w:r>
      <w:r w:rsidRPr="00DC4825">
        <w:rPr>
          <w:sz w:val="22"/>
          <w:szCs w:val="22"/>
        </w:rPr>
        <w:t>ίες σταθερής και κινητής τηλεφωνίας, ασύρματων επικοινωνιών και διαδικτύου, καθώς και την ταχυδρομική αγορά, στην οποία δραστηριοποιούνται οι εταιρ</w:t>
      </w:r>
      <w:r w:rsidR="000E6ADB">
        <w:rPr>
          <w:sz w:val="22"/>
          <w:szCs w:val="22"/>
        </w:rPr>
        <w:t>ε</w:t>
      </w:r>
      <w:r w:rsidRPr="00DC4825">
        <w:rPr>
          <w:sz w:val="22"/>
          <w:szCs w:val="22"/>
        </w:rPr>
        <w:t xml:space="preserve">ίες παροχής ταχυδρομικών υπηρεσιών και υπηρεσιών ταχυμεταφοράς. </w:t>
      </w:r>
      <w:r w:rsidRPr="00D56DCA">
        <w:rPr>
          <w:sz w:val="22"/>
          <w:szCs w:val="22"/>
        </w:rPr>
        <w:t>Επιπλέον, η Αρχή ασκεί αρμοδιότητες για τις συνθήκες ανταγωνισμού στις εν λόγω αγορές.</w:t>
      </w:r>
    </w:p>
    <w:p w:rsidR="00D3091B" w:rsidRPr="00DC4825" w:rsidRDefault="00D3091B" w:rsidP="00D3091B">
      <w:pPr>
        <w:jc w:val="both"/>
        <w:rPr>
          <w:sz w:val="22"/>
          <w:szCs w:val="22"/>
        </w:rPr>
      </w:pPr>
      <w:r w:rsidRPr="00D56DCA">
        <w:rPr>
          <w:sz w:val="22"/>
          <w:szCs w:val="22"/>
        </w:rPr>
        <w:t>Το έλλειμμα ύψους 76,9 εκατ. ευρώ που εκτιμάται ότι θα εμφανίσει η Αρχή</w:t>
      </w:r>
      <w:r w:rsidRPr="00DC4825">
        <w:rPr>
          <w:sz w:val="22"/>
          <w:szCs w:val="22"/>
        </w:rPr>
        <w:t xml:space="preserve"> για το έτος 2018</w:t>
      </w:r>
      <w:r>
        <w:rPr>
          <w:sz w:val="22"/>
          <w:szCs w:val="22"/>
        </w:rPr>
        <w:t>,</w:t>
      </w:r>
      <w:r w:rsidRPr="00DC4825">
        <w:rPr>
          <w:sz w:val="22"/>
          <w:szCs w:val="22"/>
        </w:rPr>
        <w:t xml:space="preserve"> οφείλεται στην υποχρέωση απόδοσης στο Ελληνικό Δημόσιο </w:t>
      </w:r>
      <w:r w:rsidR="00A26F6C" w:rsidRPr="00A26F6C">
        <w:rPr>
          <w:sz w:val="22"/>
          <w:szCs w:val="22"/>
        </w:rPr>
        <w:t xml:space="preserve">ποσοστού του αποτελέσματος της τρέχουσας χρήσης και αδιάθετου ποσού του αποθεματικού </w:t>
      </w:r>
      <w:r w:rsidRPr="00DC4825">
        <w:rPr>
          <w:sz w:val="22"/>
          <w:szCs w:val="22"/>
        </w:rPr>
        <w:t>παρελθόντων οικονομικών ετών ύψους 107,5 εκατ. ευρώ.</w:t>
      </w:r>
      <w:r w:rsidR="003F07CC">
        <w:rPr>
          <w:sz w:val="22"/>
          <w:szCs w:val="22"/>
        </w:rPr>
        <w:t xml:space="preserve"> </w:t>
      </w:r>
    </w:p>
    <w:p w:rsidR="00D3091B" w:rsidRPr="00DC4825" w:rsidRDefault="00D3091B" w:rsidP="00D3091B">
      <w:pPr>
        <w:jc w:val="both"/>
        <w:rPr>
          <w:b/>
          <w:sz w:val="22"/>
          <w:szCs w:val="22"/>
        </w:rPr>
      </w:pPr>
      <w:r w:rsidRPr="00DC4825">
        <w:rPr>
          <w:sz w:val="22"/>
          <w:szCs w:val="22"/>
        </w:rPr>
        <w:t>Για το έτος 2019 προβλέπεται θετικό αποτέλεσμα ύψους 0,4 εκατ. ευρώ.</w:t>
      </w:r>
    </w:p>
    <w:p w:rsidR="00D3091B" w:rsidRPr="00DC4825" w:rsidRDefault="00D3091B" w:rsidP="00D3091B">
      <w:pPr>
        <w:jc w:val="both"/>
        <w:rPr>
          <w:b/>
          <w:sz w:val="22"/>
          <w:szCs w:val="22"/>
        </w:rPr>
      </w:pPr>
    </w:p>
    <w:p w:rsidR="00D3091B" w:rsidRPr="00DC4825" w:rsidRDefault="00D3091B" w:rsidP="00D3091B">
      <w:pPr>
        <w:contextualSpacing/>
        <w:jc w:val="both"/>
        <w:rPr>
          <w:rFonts w:ascii="Arial Narrow" w:hAnsi="Arial Narrow"/>
          <w:b/>
          <w:i/>
          <w:sz w:val="22"/>
          <w:szCs w:val="22"/>
        </w:rPr>
      </w:pPr>
      <w:r w:rsidRPr="00DC4825">
        <w:rPr>
          <w:rFonts w:ascii="Arial Narrow" w:hAnsi="Arial Narrow"/>
          <w:b/>
          <w:i/>
          <w:sz w:val="22"/>
          <w:szCs w:val="22"/>
        </w:rPr>
        <w:t>Ελληνική Στατιστική Αρχή (ΕΛΣΤΑΤ)</w:t>
      </w:r>
    </w:p>
    <w:p w:rsidR="00D3091B" w:rsidRPr="00DC4825" w:rsidRDefault="00D3091B" w:rsidP="00D3091B">
      <w:pPr>
        <w:jc w:val="both"/>
        <w:rPr>
          <w:sz w:val="22"/>
          <w:szCs w:val="22"/>
        </w:rPr>
      </w:pPr>
    </w:p>
    <w:p w:rsidR="00D3091B" w:rsidRPr="00DC4825" w:rsidRDefault="00D3091B" w:rsidP="00D3091B">
      <w:pPr>
        <w:jc w:val="both"/>
        <w:rPr>
          <w:sz w:val="22"/>
          <w:szCs w:val="22"/>
        </w:rPr>
      </w:pPr>
      <w:r w:rsidRPr="00DC4825">
        <w:rPr>
          <w:sz w:val="22"/>
          <w:szCs w:val="22"/>
        </w:rPr>
        <w:t>Η Ελληνική Στατιστική Αρχή έχει ως σκοπό τη συστηματική παραγωγή επίσημων στατιστικών, καθώς και τη διενέργεια επιστημονικών ερευνών και την κατάρτιση μελετών</w:t>
      </w:r>
      <w:r>
        <w:rPr>
          <w:sz w:val="22"/>
          <w:szCs w:val="22"/>
        </w:rPr>
        <w:t xml:space="preserve">, οι οποίες </w:t>
      </w:r>
      <w:r w:rsidRPr="00DC4825">
        <w:rPr>
          <w:sz w:val="22"/>
          <w:szCs w:val="22"/>
        </w:rPr>
        <w:t xml:space="preserve">αφορούν όλους τους τομείς της δραστηριότητας του </w:t>
      </w:r>
      <w:r>
        <w:rPr>
          <w:sz w:val="22"/>
          <w:szCs w:val="22"/>
        </w:rPr>
        <w:t xml:space="preserve">δημόσιου και του ιδιωτικού τομέα, </w:t>
      </w:r>
      <w:r w:rsidRPr="00DC4825">
        <w:rPr>
          <w:sz w:val="22"/>
          <w:szCs w:val="22"/>
        </w:rPr>
        <w:t>υποστηρίζουν τη διαδικασία λήψης αποφάσεων, χάραξης και αξιολόγησης πολιτικών της Κυβέρνησης και των φορέων του Δημ</w:t>
      </w:r>
      <w:r>
        <w:rPr>
          <w:sz w:val="22"/>
          <w:szCs w:val="22"/>
        </w:rPr>
        <w:t xml:space="preserve">οσίου (δείκτες αξιολόγησης), </w:t>
      </w:r>
      <w:r w:rsidRPr="00DC4825">
        <w:rPr>
          <w:sz w:val="22"/>
          <w:szCs w:val="22"/>
        </w:rPr>
        <w:t>υποβάλλονται σε διεθνείς φορείς σύμφωνα με τ</w:t>
      </w:r>
      <w:r>
        <w:rPr>
          <w:sz w:val="22"/>
          <w:szCs w:val="22"/>
        </w:rPr>
        <w:t xml:space="preserve">ις υποχρεώσεις της χώρας και </w:t>
      </w:r>
      <w:r w:rsidRPr="00DC4825">
        <w:rPr>
          <w:sz w:val="22"/>
          <w:szCs w:val="22"/>
        </w:rPr>
        <w:t>αφορούν στο γενικό κοινό ή σε κατηγορίες χρηστών στατιστικών στοιχείων στο εσωτερικό ή στο εξωτερικό.</w:t>
      </w:r>
    </w:p>
    <w:p w:rsidR="00D3091B" w:rsidRDefault="00D3091B" w:rsidP="00D3091B">
      <w:pPr>
        <w:jc w:val="both"/>
        <w:rPr>
          <w:sz w:val="22"/>
          <w:szCs w:val="22"/>
        </w:rPr>
      </w:pPr>
      <w:r w:rsidRPr="00235814">
        <w:rPr>
          <w:sz w:val="22"/>
          <w:szCs w:val="22"/>
        </w:rPr>
        <w:t>Ο προϋπολογισμός της</w:t>
      </w:r>
      <w:r w:rsidR="003F07CC">
        <w:rPr>
          <w:sz w:val="22"/>
          <w:szCs w:val="22"/>
        </w:rPr>
        <w:t xml:space="preserve"> </w:t>
      </w:r>
      <w:r w:rsidRPr="00235814">
        <w:rPr>
          <w:sz w:val="22"/>
          <w:szCs w:val="22"/>
        </w:rPr>
        <w:t>Αρχής για το 2019</w:t>
      </w:r>
      <w:r w:rsidRPr="00235814">
        <w:rPr>
          <w:sz w:val="22"/>
          <w:szCs w:val="22"/>
          <w:vertAlign w:val="superscript"/>
        </w:rPr>
        <w:t xml:space="preserve"> </w:t>
      </w:r>
      <w:r w:rsidR="0019610E">
        <w:rPr>
          <w:sz w:val="22"/>
          <w:szCs w:val="22"/>
        </w:rPr>
        <w:t>προβλέπεται</w:t>
      </w:r>
      <w:r w:rsidRPr="00235814">
        <w:rPr>
          <w:sz w:val="22"/>
          <w:szCs w:val="22"/>
        </w:rPr>
        <w:t xml:space="preserve"> να είναι </w:t>
      </w:r>
      <w:r>
        <w:rPr>
          <w:sz w:val="22"/>
          <w:szCs w:val="22"/>
        </w:rPr>
        <w:t xml:space="preserve">ισοσκελισμένος. </w:t>
      </w:r>
    </w:p>
    <w:p w:rsidR="00D3091B" w:rsidRDefault="00D3091B" w:rsidP="00D3091B">
      <w:pPr>
        <w:jc w:val="both"/>
        <w:rPr>
          <w:sz w:val="22"/>
          <w:szCs w:val="22"/>
        </w:rPr>
      </w:pPr>
    </w:p>
    <w:p w:rsidR="00D3091B" w:rsidRPr="00DC4825" w:rsidRDefault="00D3091B" w:rsidP="00D3091B">
      <w:pPr>
        <w:contextualSpacing/>
        <w:jc w:val="both"/>
        <w:rPr>
          <w:rFonts w:ascii="Arial Narrow" w:hAnsi="Arial Narrow"/>
          <w:b/>
          <w:i/>
          <w:sz w:val="22"/>
          <w:szCs w:val="22"/>
        </w:rPr>
      </w:pPr>
      <w:r w:rsidRPr="00DC4825">
        <w:rPr>
          <w:rFonts w:ascii="Arial Narrow" w:hAnsi="Arial Narrow"/>
          <w:b/>
          <w:i/>
          <w:sz w:val="22"/>
          <w:szCs w:val="22"/>
        </w:rPr>
        <w:t>Ελληνικό Δημοσιονομικό Συμβούλιο</w:t>
      </w:r>
    </w:p>
    <w:p w:rsidR="00D3091B" w:rsidRPr="00DC4825" w:rsidRDefault="00D3091B" w:rsidP="00D3091B">
      <w:pPr>
        <w:jc w:val="both"/>
        <w:rPr>
          <w:sz w:val="22"/>
          <w:szCs w:val="22"/>
        </w:rPr>
      </w:pPr>
    </w:p>
    <w:p w:rsidR="00D3091B" w:rsidRPr="00DC4825" w:rsidRDefault="00D3091B" w:rsidP="00D3091B">
      <w:pPr>
        <w:jc w:val="both"/>
        <w:rPr>
          <w:sz w:val="22"/>
          <w:szCs w:val="22"/>
        </w:rPr>
      </w:pPr>
      <w:r w:rsidRPr="00DC4825">
        <w:rPr>
          <w:sz w:val="22"/>
          <w:szCs w:val="22"/>
          <w:lang w:val="en-US"/>
        </w:rPr>
        <w:t>T</w:t>
      </w:r>
      <w:r w:rsidRPr="00DC4825">
        <w:rPr>
          <w:sz w:val="22"/>
          <w:szCs w:val="22"/>
        </w:rPr>
        <w:t xml:space="preserve">ο Ελληνικό Δημοσιονομικό Συμβούλιο έχει ως </w:t>
      </w:r>
      <w:r>
        <w:rPr>
          <w:sz w:val="22"/>
          <w:szCs w:val="22"/>
        </w:rPr>
        <w:t>κύριες</w:t>
      </w:r>
      <w:r w:rsidRPr="00DC4825">
        <w:rPr>
          <w:sz w:val="22"/>
          <w:szCs w:val="22"/>
        </w:rPr>
        <w:t xml:space="preserve"> αρμοδιότητες την αξιολόγηση των μακροοικον</w:t>
      </w:r>
      <w:r>
        <w:rPr>
          <w:sz w:val="22"/>
          <w:szCs w:val="22"/>
        </w:rPr>
        <w:t xml:space="preserve">ομικών προβλέψεων, </w:t>
      </w:r>
      <w:r w:rsidRPr="00DC4825">
        <w:rPr>
          <w:sz w:val="22"/>
          <w:szCs w:val="22"/>
        </w:rPr>
        <w:t xml:space="preserve">στις οποίες </w:t>
      </w:r>
      <w:r>
        <w:rPr>
          <w:sz w:val="22"/>
          <w:szCs w:val="22"/>
        </w:rPr>
        <w:t>βασίζονται</w:t>
      </w:r>
      <w:r w:rsidRPr="00DC4825">
        <w:rPr>
          <w:sz w:val="22"/>
          <w:szCs w:val="22"/>
        </w:rPr>
        <w:t xml:space="preserve"> το Μεσοπρόθεσμο Πλαίσιο Δημοσιονομικής Στρατηγικής (ΜΠΔΣ) και ο ετήσιος Κρατικός Προϋπολογισμός, την αξιολόγηση της εφαρμογής των δημοσιονομικών κανόνων που ενσωματώνονται στο εθνικό πλαίσιο δημοσιονομικής διαχείρισης, καθώς επίσης και την παρακολούθηση ως προς τη συμμόρφωση με τους αριθμητικούς δημοσιονομικούς κανόνες. </w:t>
      </w:r>
    </w:p>
    <w:p w:rsidR="00D3091B" w:rsidRPr="00DC4825" w:rsidRDefault="00D3091B" w:rsidP="00D3091B">
      <w:pPr>
        <w:jc w:val="both"/>
        <w:rPr>
          <w:sz w:val="22"/>
          <w:szCs w:val="22"/>
        </w:rPr>
      </w:pPr>
      <w:r w:rsidRPr="00235814">
        <w:rPr>
          <w:sz w:val="22"/>
          <w:szCs w:val="22"/>
        </w:rPr>
        <w:t>Το 2019 προβλέπεται ισοσκελισμένος</w:t>
      </w:r>
      <w:r>
        <w:rPr>
          <w:sz w:val="22"/>
          <w:szCs w:val="22"/>
        </w:rPr>
        <w:t xml:space="preserve"> </w:t>
      </w:r>
      <w:r w:rsidRPr="00235814">
        <w:rPr>
          <w:sz w:val="22"/>
          <w:szCs w:val="22"/>
        </w:rPr>
        <w:t>προϋπολογισμός για την Αρχή</w:t>
      </w:r>
      <w:r w:rsidRPr="00DC4825">
        <w:rPr>
          <w:sz w:val="22"/>
          <w:szCs w:val="22"/>
        </w:rPr>
        <w:t>.</w:t>
      </w:r>
    </w:p>
    <w:p w:rsidR="00DB0C08" w:rsidRDefault="00DB0C08" w:rsidP="00D3091B">
      <w:pPr>
        <w:contextualSpacing/>
        <w:jc w:val="both"/>
        <w:rPr>
          <w:rFonts w:ascii="Arial Narrow" w:hAnsi="Arial Narrow"/>
          <w:b/>
          <w:i/>
          <w:sz w:val="22"/>
          <w:szCs w:val="22"/>
        </w:rPr>
      </w:pPr>
    </w:p>
    <w:p w:rsidR="00D3091B" w:rsidRPr="00DC4825" w:rsidRDefault="00D3091B" w:rsidP="00D3091B">
      <w:pPr>
        <w:contextualSpacing/>
        <w:jc w:val="both"/>
        <w:rPr>
          <w:rFonts w:ascii="Arial Narrow" w:hAnsi="Arial Narrow"/>
          <w:b/>
          <w:i/>
          <w:sz w:val="22"/>
          <w:szCs w:val="22"/>
        </w:rPr>
      </w:pPr>
      <w:r w:rsidRPr="00DC4825">
        <w:rPr>
          <w:rFonts w:ascii="Arial Narrow" w:hAnsi="Arial Narrow"/>
          <w:b/>
          <w:i/>
          <w:sz w:val="22"/>
          <w:szCs w:val="22"/>
        </w:rPr>
        <w:t>Ενιαία Ανεξάρτητη Αρχή Δημοσίων Συμβάσεων (ΕΑΑΔΗΣΥ)</w:t>
      </w:r>
    </w:p>
    <w:p w:rsidR="00D3091B" w:rsidRPr="00DC4825" w:rsidRDefault="00D3091B" w:rsidP="00D3091B">
      <w:pPr>
        <w:jc w:val="both"/>
        <w:rPr>
          <w:sz w:val="22"/>
          <w:szCs w:val="22"/>
        </w:rPr>
      </w:pPr>
    </w:p>
    <w:p w:rsidR="00D3091B" w:rsidRPr="00DC4825" w:rsidRDefault="00D3091B" w:rsidP="00D3091B">
      <w:pPr>
        <w:jc w:val="both"/>
        <w:rPr>
          <w:sz w:val="22"/>
          <w:szCs w:val="22"/>
        </w:rPr>
      </w:pPr>
      <w:r w:rsidRPr="00DC4825">
        <w:rPr>
          <w:sz w:val="22"/>
          <w:szCs w:val="22"/>
        </w:rPr>
        <w:t xml:space="preserve">Η Ενιαία Ανεξάρτητη Αρχή Δημοσίων Συμβάσεων έχει ως βασικό σκοπό τη διασφάλιση της διαφάνειας, της αποτελεσματικότητας, της συνοχής και της εναρμόνισης των διαδικασιών ανάθεσης και εκτέλεσης των δημοσίων συμβάσεων με το εθνικό και </w:t>
      </w:r>
      <w:r w:rsidR="00DB0C08">
        <w:rPr>
          <w:sz w:val="22"/>
          <w:szCs w:val="22"/>
        </w:rPr>
        <w:t xml:space="preserve">το </w:t>
      </w:r>
      <w:r w:rsidRPr="00DC4825">
        <w:rPr>
          <w:sz w:val="22"/>
          <w:szCs w:val="22"/>
        </w:rPr>
        <w:t xml:space="preserve">ευρωπαϊκό δίκαιο, τη διαρκή βελτίωση του νομικού πλαισίου των δημοσίων συμβάσεων, καθώς και τον έλεγχο της τήρησής του από το Δημόσιο και τις αναθέτουσες αρχές. </w:t>
      </w:r>
    </w:p>
    <w:p w:rsidR="00D3091B" w:rsidRPr="00DC4825" w:rsidRDefault="00D3091B" w:rsidP="00D3091B">
      <w:pPr>
        <w:jc w:val="both"/>
        <w:rPr>
          <w:sz w:val="22"/>
          <w:szCs w:val="22"/>
        </w:rPr>
      </w:pPr>
      <w:r w:rsidRPr="00DC4825">
        <w:rPr>
          <w:sz w:val="22"/>
          <w:szCs w:val="22"/>
        </w:rPr>
        <w:t>Για το 2019 η Αρχή προβλέπεται να εμφανίσει έλλειμμα ύψους 1,1 εκατ. ευρώ.</w:t>
      </w:r>
    </w:p>
    <w:p w:rsidR="00D3091B" w:rsidRPr="00DC4825" w:rsidRDefault="00D3091B" w:rsidP="00D3091B">
      <w:pPr>
        <w:jc w:val="both"/>
        <w:rPr>
          <w:b/>
          <w:sz w:val="22"/>
          <w:szCs w:val="22"/>
        </w:rPr>
      </w:pPr>
    </w:p>
    <w:p w:rsidR="00D3091B" w:rsidRPr="00DC4825" w:rsidRDefault="00D3091B" w:rsidP="00D3091B">
      <w:pPr>
        <w:contextualSpacing/>
        <w:jc w:val="both"/>
        <w:rPr>
          <w:rFonts w:ascii="Arial Narrow" w:hAnsi="Arial Narrow"/>
          <w:b/>
          <w:i/>
          <w:sz w:val="22"/>
          <w:szCs w:val="22"/>
        </w:rPr>
      </w:pPr>
      <w:r w:rsidRPr="00DC4825">
        <w:rPr>
          <w:rFonts w:ascii="Arial Narrow" w:hAnsi="Arial Narrow"/>
          <w:b/>
          <w:i/>
          <w:sz w:val="22"/>
          <w:szCs w:val="22"/>
        </w:rPr>
        <w:t>Επιτροπή Ανταγωνισμού</w:t>
      </w:r>
    </w:p>
    <w:p w:rsidR="00D3091B" w:rsidRPr="00DC4825" w:rsidRDefault="00D3091B" w:rsidP="00D3091B">
      <w:pPr>
        <w:jc w:val="both"/>
        <w:rPr>
          <w:sz w:val="22"/>
          <w:szCs w:val="22"/>
        </w:rPr>
      </w:pPr>
    </w:p>
    <w:p w:rsidR="00D3091B" w:rsidRPr="00DC4825" w:rsidRDefault="00D3091B" w:rsidP="00D3091B">
      <w:pPr>
        <w:jc w:val="both"/>
        <w:rPr>
          <w:sz w:val="22"/>
          <w:szCs w:val="22"/>
        </w:rPr>
      </w:pPr>
      <w:r w:rsidRPr="00DC4825">
        <w:rPr>
          <w:sz w:val="22"/>
          <w:szCs w:val="22"/>
        </w:rPr>
        <w:t xml:space="preserve">Η Επιτροπή Ανταγωνισμού έχει ως βασική αποστολή </w:t>
      </w:r>
      <w:r>
        <w:rPr>
          <w:sz w:val="22"/>
          <w:szCs w:val="22"/>
        </w:rPr>
        <w:t>τη διασφάλιση της</w:t>
      </w:r>
      <w:r w:rsidRPr="00DC4825">
        <w:rPr>
          <w:sz w:val="22"/>
          <w:szCs w:val="22"/>
        </w:rPr>
        <w:t xml:space="preserve"> εύρυθμη</w:t>
      </w:r>
      <w:r>
        <w:rPr>
          <w:sz w:val="22"/>
          <w:szCs w:val="22"/>
        </w:rPr>
        <w:t>ς</w:t>
      </w:r>
      <w:r w:rsidRPr="00DC4825">
        <w:rPr>
          <w:sz w:val="22"/>
          <w:szCs w:val="22"/>
        </w:rPr>
        <w:t xml:space="preserve"> λειτουργία</w:t>
      </w:r>
      <w:r>
        <w:rPr>
          <w:sz w:val="22"/>
          <w:szCs w:val="22"/>
        </w:rPr>
        <w:t>ς</w:t>
      </w:r>
      <w:r w:rsidRPr="00DC4825">
        <w:rPr>
          <w:sz w:val="22"/>
          <w:szCs w:val="22"/>
        </w:rPr>
        <w:t xml:space="preserve"> της αγοράς και την εφαρμογή του δικαίου του ανταγωνισμού, που οδηγεί σε μείωση των τιμών, βελτίωση της ποιότητας και του εύρους των παρεχ</w:t>
      </w:r>
      <w:r>
        <w:rPr>
          <w:sz w:val="22"/>
          <w:szCs w:val="22"/>
        </w:rPr>
        <w:t>όμενω</w:t>
      </w:r>
      <w:r w:rsidRPr="00DC4825">
        <w:rPr>
          <w:sz w:val="22"/>
          <w:szCs w:val="22"/>
        </w:rPr>
        <w:t>ν προϊόντων και υπηρεσιών, διεύρυνση των επιλογών για τους καταναλωτές και αύξηση της αγοραστικής τους δύναμης, καθώς και σε ενίσχυση της επιχειρηματικότητας και ανάπτυξη της οικονομίας.</w:t>
      </w:r>
    </w:p>
    <w:p w:rsidR="00D3091B" w:rsidRDefault="00D3091B" w:rsidP="00D3091B">
      <w:pPr>
        <w:jc w:val="both"/>
        <w:rPr>
          <w:b/>
          <w:sz w:val="22"/>
          <w:szCs w:val="22"/>
        </w:rPr>
      </w:pPr>
      <w:r w:rsidRPr="00235814">
        <w:rPr>
          <w:sz w:val="22"/>
          <w:szCs w:val="22"/>
        </w:rPr>
        <w:t>Ο προϋπολογισμός της</w:t>
      </w:r>
      <w:r w:rsidR="003F07CC">
        <w:rPr>
          <w:sz w:val="22"/>
          <w:szCs w:val="22"/>
        </w:rPr>
        <w:t xml:space="preserve"> </w:t>
      </w:r>
      <w:r w:rsidRPr="00235814">
        <w:rPr>
          <w:sz w:val="22"/>
          <w:szCs w:val="22"/>
        </w:rPr>
        <w:t>Αρχής για το 2019</w:t>
      </w:r>
      <w:r w:rsidRPr="00235814">
        <w:rPr>
          <w:sz w:val="22"/>
          <w:szCs w:val="22"/>
          <w:vertAlign w:val="superscript"/>
        </w:rPr>
        <w:t xml:space="preserve"> </w:t>
      </w:r>
      <w:r>
        <w:rPr>
          <w:sz w:val="22"/>
          <w:szCs w:val="22"/>
        </w:rPr>
        <w:t>προβλέπε</w:t>
      </w:r>
      <w:r w:rsidRPr="00235814">
        <w:rPr>
          <w:sz w:val="22"/>
          <w:szCs w:val="22"/>
        </w:rPr>
        <w:t xml:space="preserve">ται να είναι </w:t>
      </w:r>
      <w:r>
        <w:rPr>
          <w:sz w:val="22"/>
          <w:szCs w:val="22"/>
        </w:rPr>
        <w:t>ισοσκελισμένος.</w:t>
      </w:r>
    </w:p>
    <w:p w:rsidR="00D3091B" w:rsidRPr="00DC4825" w:rsidRDefault="00D3091B" w:rsidP="00D3091B">
      <w:pPr>
        <w:jc w:val="both"/>
        <w:rPr>
          <w:b/>
          <w:sz w:val="22"/>
          <w:szCs w:val="22"/>
        </w:rPr>
      </w:pPr>
    </w:p>
    <w:p w:rsidR="00D3091B" w:rsidRPr="00DC4825" w:rsidRDefault="00D3091B" w:rsidP="00D3091B">
      <w:pPr>
        <w:contextualSpacing/>
        <w:jc w:val="both"/>
        <w:rPr>
          <w:rFonts w:ascii="Arial Narrow" w:hAnsi="Arial Narrow"/>
          <w:b/>
          <w:i/>
          <w:sz w:val="22"/>
          <w:szCs w:val="22"/>
        </w:rPr>
      </w:pPr>
      <w:r w:rsidRPr="00DC4825">
        <w:rPr>
          <w:rFonts w:ascii="Arial Narrow" w:hAnsi="Arial Narrow"/>
          <w:b/>
          <w:i/>
          <w:sz w:val="22"/>
          <w:szCs w:val="22"/>
        </w:rPr>
        <w:t>Επιτροπή Εποπτείας και Ελέγχου Παιγνίων (ΕΕΕΠ)</w:t>
      </w:r>
    </w:p>
    <w:p w:rsidR="00D3091B" w:rsidRPr="00DC4825" w:rsidRDefault="00D3091B" w:rsidP="00D3091B">
      <w:pPr>
        <w:jc w:val="both"/>
        <w:rPr>
          <w:bCs/>
          <w:sz w:val="22"/>
          <w:szCs w:val="22"/>
        </w:rPr>
      </w:pPr>
    </w:p>
    <w:p w:rsidR="00D3091B" w:rsidRPr="00DC4825" w:rsidRDefault="00D3091B" w:rsidP="00D3091B">
      <w:pPr>
        <w:jc w:val="both"/>
        <w:rPr>
          <w:bCs/>
          <w:sz w:val="22"/>
          <w:szCs w:val="22"/>
        </w:rPr>
      </w:pPr>
      <w:r w:rsidRPr="00DC4825">
        <w:rPr>
          <w:bCs/>
          <w:sz w:val="22"/>
          <w:szCs w:val="22"/>
        </w:rPr>
        <w:t>Η Επιτροπή Εποπτείας και Ελέγχου Παιγνίων έχει ως αποστολή τη ρύθμιση, την εποπτεία και τον έλεγχο των αγορών παροχής υπηρεσιών διεξαγωγής παιγνίων, τη μέριμνα για την προστασία των παικτών και του κοινωνικού συνόλου, ειδικότερα δε των ανηλίκων και των ευάλωτων ομάδων του πληθυσμού, καθώς και τον έλεγχο της απόδοσης των δημόσιων εσόδων.</w:t>
      </w:r>
    </w:p>
    <w:p w:rsidR="00D3091B" w:rsidRPr="00DC4825" w:rsidRDefault="00D3091B" w:rsidP="00D3091B">
      <w:pPr>
        <w:jc w:val="both"/>
        <w:rPr>
          <w:sz w:val="22"/>
          <w:szCs w:val="22"/>
        </w:rPr>
      </w:pPr>
      <w:r w:rsidRPr="00DC4825">
        <w:rPr>
          <w:sz w:val="22"/>
          <w:szCs w:val="22"/>
        </w:rPr>
        <w:t xml:space="preserve">Για το έτος 2019 προβλέπεται θετικό αποτέλεσμα </w:t>
      </w:r>
      <w:r w:rsidRPr="00DC4825">
        <w:rPr>
          <w:bCs/>
          <w:sz w:val="22"/>
          <w:szCs w:val="22"/>
        </w:rPr>
        <w:t>ύψους 3,9 εκατ. ευρώ</w:t>
      </w:r>
      <w:r>
        <w:rPr>
          <w:bCs/>
          <w:sz w:val="22"/>
          <w:szCs w:val="22"/>
        </w:rPr>
        <w:t xml:space="preserve"> βελτιωμένο κατά 3 εκατ.</w:t>
      </w:r>
      <w:r w:rsidR="000E6ADB">
        <w:rPr>
          <w:bCs/>
          <w:sz w:val="22"/>
          <w:szCs w:val="22"/>
        </w:rPr>
        <w:t xml:space="preserve"> ευρώ</w:t>
      </w:r>
      <w:r>
        <w:rPr>
          <w:bCs/>
          <w:sz w:val="22"/>
          <w:szCs w:val="22"/>
        </w:rPr>
        <w:t xml:space="preserve"> σε σχέση με το 2018.</w:t>
      </w:r>
    </w:p>
    <w:p w:rsidR="00D3091B" w:rsidRPr="00DC4825" w:rsidRDefault="00D3091B" w:rsidP="00D3091B">
      <w:pPr>
        <w:jc w:val="both"/>
        <w:rPr>
          <w:b/>
          <w:sz w:val="22"/>
          <w:szCs w:val="22"/>
        </w:rPr>
      </w:pPr>
    </w:p>
    <w:p w:rsidR="00D3091B" w:rsidRPr="00DC4825" w:rsidRDefault="00D3091B" w:rsidP="00D3091B">
      <w:pPr>
        <w:contextualSpacing/>
        <w:jc w:val="both"/>
        <w:rPr>
          <w:rFonts w:ascii="Arial Narrow" w:hAnsi="Arial Narrow"/>
          <w:b/>
          <w:i/>
          <w:sz w:val="22"/>
          <w:szCs w:val="22"/>
        </w:rPr>
      </w:pPr>
      <w:r w:rsidRPr="00DC4825">
        <w:rPr>
          <w:rFonts w:ascii="Arial Narrow" w:hAnsi="Arial Narrow"/>
          <w:b/>
          <w:i/>
          <w:sz w:val="22"/>
          <w:szCs w:val="22"/>
        </w:rPr>
        <w:t>Ρυθμιστική Αρχή Ενέργειας</w:t>
      </w:r>
      <w:r>
        <w:rPr>
          <w:rFonts w:ascii="Arial Narrow" w:hAnsi="Arial Narrow"/>
          <w:b/>
          <w:i/>
          <w:sz w:val="22"/>
          <w:szCs w:val="22"/>
        </w:rPr>
        <w:t xml:space="preserve"> (ΡΑΕ)</w:t>
      </w:r>
    </w:p>
    <w:p w:rsidR="00D3091B" w:rsidRPr="00DC4825" w:rsidRDefault="00D3091B" w:rsidP="00D3091B">
      <w:pPr>
        <w:rPr>
          <w:rFonts w:ascii="Arial" w:hAnsi="Arial" w:cs="Arial"/>
          <w:b/>
        </w:rPr>
      </w:pPr>
    </w:p>
    <w:p w:rsidR="00D3091B" w:rsidRPr="00981902" w:rsidRDefault="00D3091B" w:rsidP="00D3091B">
      <w:pPr>
        <w:jc w:val="both"/>
        <w:rPr>
          <w:sz w:val="22"/>
          <w:szCs w:val="22"/>
        </w:rPr>
      </w:pPr>
      <w:r w:rsidRPr="00981902">
        <w:rPr>
          <w:sz w:val="22"/>
          <w:szCs w:val="22"/>
        </w:rPr>
        <w:t>Η Ρυθμιστική Αρχή Ενέργειας παρακολουθεί και εποπτεύει τη λειτουργία της αγοράς ενέργειας και γνωμοδοτεί στον Υπου</w:t>
      </w:r>
      <w:r>
        <w:rPr>
          <w:sz w:val="22"/>
          <w:szCs w:val="22"/>
        </w:rPr>
        <w:t>ργό Περιβάλλοντος και Ενέργειας</w:t>
      </w:r>
      <w:r w:rsidRPr="00981902">
        <w:rPr>
          <w:sz w:val="22"/>
          <w:szCs w:val="22"/>
        </w:rPr>
        <w:t xml:space="preserve"> και στις αρμόδιες αρχές </w:t>
      </w:r>
      <w:r w:rsidRPr="00DC4825">
        <w:rPr>
          <w:sz w:val="22"/>
          <w:szCs w:val="22"/>
        </w:rPr>
        <w:t>για τη χορήγηση αδειών στον τομέα της ηλεκτρικής ενέργειας</w:t>
      </w:r>
      <w:r>
        <w:rPr>
          <w:sz w:val="22"/>
          <w:szCs w:val="22"/>
        </w:rPr>
        <w:t>,</w:t>
      </w:r>
      <w:r w:rsidRPr="00DC4825">
        <w:rPr>
          <w:sz w:val="22"/>
          <w:szCs w:val="22"/>
        </w:rPr>
        <w:t xml:space="preserve"> καθώς και </w:t>
      </w:r>
      <w:r w:rsidRPr="00981902">
        <w:rPr>
          <w:sz w:val="22"/>
          <w:szCs w:val="22"/>
        </w:rPr>
        <w:t>για τη λήψη των αναγκαίων μέτρων που αφορούν την τήρηση των κανόνων του ανταγωνισμού και την προστασία των καταναλωτών.</w:t>
      </w:r>
    </w:p>
    <w:p w:rsidR="00D3091B" w:rsidRDefault="00D3091B" w:rsidP="00D3091B">
      <w:pPr>
        <w:jc w:val="both"/>
        <w:rPr>
          <w:rFonts w:ascii="Arial" w:hAnsi="Arial" w:cs="Arial"/>
        </w:rPr>
      </w:pPr>
      <w:r w:rsidRPr="00981902">
        <w:rPr>
          <w:sz w:val="22"/>
          <w:szCs w:val="22"/>
        </w:rPr>
        <w:t>Για το έτος 2019 η Αρχή προβλέπεται να εμφανίσει πλεόνασμα ύψους 2 εκατ. ευρώ</w:t>
      </w:r>
      <w:r w:rsidRPr="00981902">
        <w:rPr>
          <w:rFonts w:ascii="Arial" w:hAnsi="Arial" w:cs="Arial"/>
        </w:rPr>
        <w:t>.</w:t>
      </w:r>
    </w:p>
    <w:p w:rsidR="00D3091B" w:rsidRPr="005F5DB0" w:rsidRDefault="00D3091B" w:rsidP="00D3091B">
      <w:pPr>
        <w:jc w:val="both"/>
        <w:rPr>
          <w:sz w:val="22"/>
          <w:szCs w:val="22"/>
        </w:rPr>
      </w:pPr>
    </w:p>
    <w:p w:rsidR="00D3091B" w:rsidRDefault="00D3091B" w:rsidP="00D3091B">
      <w:pPr>
        <w:contextualSpacing/>
        <w:jc w:val="both"/>
        <w:rPr>
          <w:rFonts w:ascii="Arial Narrow" w:hAnsi="Arial Narrow"/>
          <w:b/>
          <w:i/>
          <w:sz w:val="22"/>
          <w:szCs w:val="22"/>
        </w:rPr>
      </w:pPr>
      <w:r w:rsidRPr="00066C71">
        <w:rPr>
          <w:rFonts w:ascii="Arial Narrow" w:hAnsi="Arial Narrow"/>
          <w:b/>
          <w:i/>
          <w:sz w:val="22"/>
          <w:szCs w:val="22"/>
        </w:rPr>
        <w:t>Ρυθμιστική Αρχή Λιμένων</w:t>
      </w:r>
      <w:r>
        <w:rPr>
          <w:rFonts w:ascii="Arial Narrow" w:hAnsi="Arial Narrow"/>
          <w:b/>
          <w:i/>
          <w:sz w:val="22"/>
          <w:szCs w:val="22"/>
        </w:rPr>
        <w:t xml:space="preserve"> (ΡΑΛ)</w:t>
      </w:r>
    </w:p>
    <w:p w:rsidR="00D3091B" w:rsidRPr="00066C71" w:rsidRDefault="00D3091B" w:rsidP="00D3091B">
      <w:pPr>
        <w:contextualSpacing/>
        <w:jc w:val="both"/>
        <w:rPr>
          <w:rFonts w:ascii="Arial Narrow" w:hAnsi="Arial Narrow"/>
          <w:b/>
          <w:i/>
          <w:sz w:val="22"/>
          <w:szCs w:val="22"/>
        </w:rPr>
      </w:pPr>
    </w:p>
    <w:p w:rsidR="00D3091B" w:rsidRPr="00835488" w:rsidRDefault="00D3091B" w:rsidP="00D3091B">
      <w:pPr>
        <w:jc w:val="both"/>
        <w:rPr>
          <w:sz w:val="22"/>
          <w:szCs w:val="22"/>
        </w:rPr>
      </w:pPr>
      <w:r w:rsidRPr="00835488">
        <w:rPr>
          <w:sz w:val="22"/>
          <w:szCs w:val="22"/>
        </w:rPr>
        <w:t xml:space="preserve">Η Ρυθμιστική Αρχή Λιμένων έχει </w:t>
      </w:r>
      <w:r>
        <w:rPr>
          <w:sz w:val="22"/>
          <w:szCs w:val="22"/>
        </w:rPr>
        <w:t>ως αποστολή</w:t>
      </w:r>
      <w:r w:rsidRPr="00835488">
        <w:rPr>
          <w:sz w:val="22"/>
          <w:szCs w:val="22"/>
        </w:rPr>
        <w:t xml:space="preserve"> την εποπτεία και</w:t>
      </w:r>
      <w:r>
        <w:rPr>
          <w:sz w:val="22"/>
          <w:szCs w:val="22"/>
        </w:rPr>
        <w:t xml:space="preserve"> τη</w:t>
      </w:r>
      <w:r w:rsidRPr="00835488">
        <w:rPr>
          <w:sz w:val="22"/>
          <w:szCs w:val="22"/>
        </w:rPr>
        <w:t xml:space="preserve"> διασφάλιση της νομιμότητας των</w:t>
      </w:r>
      <w:r>
        <w:rPr>
          <w:sz w:val="22"/>
          <w:szCs w:val="22"/>
        </w:rPr>
        <w:t xml:space="preserve"> σχέσεων μεταξύ</w:t>
      </w:r>
      <w:r w:rsidRPr="00835488">
        <w:rPr>
          <w:sz w:val="22"/>
          <w:szCs w:val="22"/>
        </w:rPr>
        <w:t xml:space="preserve"> δημόσιων και ιδιωτικών φορέων τ</w:t>
      </w:r>
      <w:r>
        <w:rPr>
          <w:sz w:val="22"/>
          <w:szCs w:val="22"/>
        </w:rPr>
        <w:t>ου εθνικού λιμενικού συστήματος με έμφαση στην τήρηση της συμβατικής τάξης και την εφαρμογή της νομοθεσίας περί ελεύθερου ανταγωνισμού.</w:t>
      </w:r>
    </w:p>
    <w:p w:rsidR="00D3091B" w:rsidRDefault="00D3091B" w:rsidP="00D3091B">
      <w:pPr>
        <w:jc w:val="both"/>
        <w:rPr>
          <w:sz w:val="22"/>
          <w:szCs w:val="22"/>
        </w:rPr>
      </w:pPr>
      <w:r w:rsidRPr="00235814">
        <w:rPr>
          <w:sz w:val="22"/>
          <w:szCs w:val="22"/>
        </w:rPr>
        <w:t>Ο προϋπολογισμός της</w:t>
      </w:r>
      <w:r w:rsidR="003F07CC">
        <w:rPr>
          <w:sz w:val="22"/>
          <w:szCs w:val="22"/>
        </w:rPr>
        <w:t xml:space="preserve"> </w:t>
      </w:r>
      <w:r w:rsidRPr="00235814">
        <w:rPr>
          <w:sz w:val="22"/>
          <w:szCs w:val="22"/>
        </w:rPr>
        <w:t>Αρχής για το 2019</w:t>
      </w:r>
      <w:r w:rsidRPr="00235814">
        <w:rPr>
          <w:sz w:val="22"/>
          <w:szCs w:val="22"/>
          <w:vertAlign w:val="superscript"/>
        </w:rPr>
        <w:t xml:space="preserve"> </w:t>
      </w:r>
      <w:r w:rsidR="0019610E">
        <w:rPr>
          <w:sz w:val="22"/>
          <w:szCs w:val="22"/>
        </w:rPr>
        <w:t>προβλέπεται</w:t>
      </w:r>
      <w:r w:rsidRPr="00235814">
        <w:rPr>
          <w:sz w:val="22"/>
          <w:szCs w:val="22"/>
        </w:rPr>
        <w:t xml:space="preserve"> να είναι </w:t>
      </w:r>
      <w:r>
        <w:rPr>
          <w:sz w:val="22"/>
          <w:szCs w:val="22"/>
        </w:rPr>
        <w:t xml:space="preserve">ισοσκελισμένος. </w:t>
      </w:r>
    </w:p>
    <w:p w:rsidR="003501BC" w:rsidRDefault="003501BC" w:rsidP="003501BC">
      <w:pPr>
        <w:jc w:val="both"/>
        <w:rPr>
          <w:rFonts w:ascii="Arial Narrow" w:hAnsi="Arial Narrow"/>
          <w:b/>
          <w:color w:val="000080"/>
          <w:sz w:val="22"/>
        </w:rPr>
      </w:pP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843"/>
        <w:gridCol w:w="1701"/>
      </w:tblGrid>
      <w:tr w:rsidR="003501BC" w:rsidRPr="003E6D6E" w:rsidTr="00510E92">
        <w:trPr>
          <w:trHeight w:val="20"/>
          <w:jc w:val="center"/>
        </w:trPr>
        <w:tc>
          <w:tcPr>
            <w:tcW w:w="7054" w:type="dxa"/>
            <w:gridSpan w:val="3"/>
            <w:tcBorders>
              <w:bottom w:val="nil"/>
            </w:tcBorders>
            <w:shd w:val="clear" w:color="auto" w:fill="404040"/>
          </w:tcPr>
          <w:p w:rsidR="003501BC" w:rsidRPr="003E6D6E" w:rsidRDefault="003501BC" w:rsidP="00510E92">
            <w:pPr>
              <w:tabs>
                <w:tab w:val="left" w:pos="567"/>
                <w:tab w:val="num" w:pos="720"/>
              </w:tabs>
              <w:jc w:val="center"/>
              <w:rPr>
                <w:rFonts w:ascii="Arial Narrow" w:hAnsi="Arial Narrow"/>
                <w:b/>
                <w:color w:val="FFFFFF"/>
                <w:sz w:val="22"/>
                <w:szCs w:val="16"/>
              </w:rPr>
            </w:pPr>
            <w:r>
              <w:rPr>
                <w:rFonts w:ascii="Arial Narrow" w:hAnsi="Arial Narrow"/>
                <w:b/>
                <w:color w:val="FFFFFF"/>
                <w:sz w:val="22"/>
                <w:szCs w:val="16"/>
              </w:rPr>
              <w:t>Πίνακας 3</w:t>
            </w:r>
            <w:r w:rsidR="00624B03">
              <w:rPr>
                <w:rFonts w:ascii="Arial Narrow" w:hAnsi="Arial Narrow"/>
                <w:b/>
                <w:color w:val="FFFFFF"/>
                <w:sz w:val="22"/>
                <w:szCs w:val="16"/>
              </w:rPr>
              <w:t>.19</w:t>
            </w:r>
            <w:r w:rsidRPr="003E6D6E">
              <w:rPr>
                <w:rFonts w:ascii="Arial Narrow" w:hAnsi="Arial Narrow"/>
                <w:b/>
                <w:color w:val="FFFFFF"/>
                <w:sz w:val="22"/>
                <w:szCs w:val="16"/>
              </w:rPr>
              <w:t xml:space="preserve">  </w:t>
            </w:r>
            <w:r>
              <w:rPr>
                <w:rFonts w:ascii="Arial Narrow" w:hAnsi="Arial Narrow"/>
                <w:b/>
                <w:color w:val="FFFFFF"/>
                <w:sz w:val="22"/>
                <w:szCs w:val="16"/>
              </w:rPr>
              <w:t>Ισοζύγιο Ανεξάρτητων Διοικητικών Αρχών (ΑΔΑ)</w:t>
            </w:r>
          </w:p>
          <w:p w:rsidR="003501BC" w:rsidRPr="003E6D6E" w:rsidRDefault="003501BC" w:rsidP="00510E92">
            <w:pPr>
              <w:tabs>
                <w:tab w:val="left" w:pos="567"/>
                <w:tab w:val="num" w:pos="720"/>
              </w:tabs>
              <w:jc w:val="center"/>
              <w:rPr>
                <w:rFonts w:ascii="Arial Narrow" w:hAnsi="Arial Narrow"/>
                <w:b/>
                <w:color w:val="FFFFFF"/>
                <w:sz w:val="22"/>
                <w:szCs w:val="16"/>
              </w:rPr>
            </w:pPr>
            <w:r w:rsidRPr="003E6D6E">
              <w:rPr>
                <w:rFonts w:ascii="Arial Narrow" w:hAnsi="Arial Narrow"/>
                <w:b/>
                <w:color w:val="FFFFFF"/>
                <w:sz w:val="22"/>
                <w:szCs w:val="16"/>
              </w:rPr>
              <w:t>(σε εκατ. ευρώ)</w:t>
            </w:r>
          </w:p>
        </w:tc>
      </w:tr>
      <w:tr w:rsidR="003501BC" w:rsidRPr="003E6D6E" w:rsidTr="00510E92">
        <w:trPr>
          <w:trHeight w:val="20"/>
          <w:jc w:val="center"/>
        </w:trPr>
        <w:tc>
          <w:tcPr>
            <w:tcW w:w="7054" w:type="dxa"/>
            <w:gridSpan w:val="3"/>
            <w:tcBorders>
              <w:top w:val="nil"/>
            </w:tcBorders>
          </w:tcPr>
          <w:p w:rsidR="003501BC" w:rsidRPr="003E6D6E" w:rsidRDefault="003501BC" w:rsidP="00510E92">
            <w:pPr>
              <w:tabs>
                <w:tab w:val="left" w:pos="567"/>
                <w:tab w:val="num" w:pos="720"/>
              </w:tabs>
              <w:jc w:val="center"/>
              <w:rPr>
                <w:rFonts w:ascii="Arial Narrow" w:hAnsi="Arial Narrow"/>
                <w:b/>
                <w:sz w:val="16"/>
                <w:szCs w:val="16"/>
              </w:rPr>
            </w:pPr>
          </w:p>
        </w:tc>
      </w:tr>
      <w:tr w:rsidR="003501BC" w:rsidRPr="003E6D6E" w:rsidTr="00510E92">
        <w:trPr>
          <w:trHeight w:val="20"/>
          <w:jc w:val="center"/>
        </w:trPr>
        <w:tc>
          <w:tcPr>
            <w:tcW w:w="3510" w:type="dxa"/>
            <w:tcBorders>
              <w:bottom w:val="single" w:sz="4" w:space="0" w:color="auto"/>
            </w:tcBorders>
          </w:tcPr>
          <w:p w:rsidR="003501BC" w:rsidRPr="003E6D6E" w:rsidRDefault="003501BC" w:rsidP="00510E92">
            <w:pPr>
              <w:tabs>
                <w:tab w:val="left" w:pos="567"/>
                <w:tab w:val="num" w:pos="720"/>
              </w:tabs>
              <w:jc w:val="center"/>
              <w:rPr>
                <w:rFonts w:ascii="Arial Narrow" w:hAnsi="Arial Narrow"/>
                <w:b/>
                <w:sz w:val="16"/>
                <w:szCs w:val="16"/>
              </w:rPr>
            </w:pPr>
          </w:p>
        </w:tc>
        <w:tc>
          <w:tcPr>
            <w:tcW w:w="1843" w:type="dxa"/>
            <w:tcBorders>
              <w:bottom w:val="single" w:sz="4" w:space="0" w:color="auto"/>
            </w:tcBorders>
          </w:tcPr>
          <w:p w:rsidR="003501BC" w:rsidRDefault="003501BC" w:rsidP="00510E92">
            <w:pPr>
              <w:tabs>
                <w:tab w:val="left" w:pos="567"/>
              </w:tabs>
              <w:jc w:val="center"/>
              <w:rPr>
                <w:rFonts w:ascii="Arial Narrow" w:hAnsi="Arial Narrow"/>
                <w:b/>
                <w:sz w:val="16"/>
                <w:szCs w:val="16"/>
              </w:rPr>
            </w:pPr>
            <w:r w:rsidRPr="003E6D6E">
              <w:rPr>
                <w:rFonts w:ascii="Arial Narrow" w:hAnsi="Arial Narrow"/>
                <w:b/>
                <w:sz w:val="16"/>
                <w:szCs w:val="16"/>
              </w:rPr>
              <w:t>201</w:t>
            </w:r>
            <w:r>
              <w:rPr>
                <w:rFonts w:ascii="Arial Narrow" w:hAnsi="Arial Narrow"/>
                <w:b/>
                <w:sz w:val="16"/>
                <w:szCs w:val="16"/>
              </w:rPr>
              <w:t>8</w:t>
            </w:r>
          </w:p>
          <w:p w:rsidR="003501BC" w:rsidRPr="003E6D6E" w:rsidRDefault="003501BC" w:rsidP="00510E92">
            <w:pPr>
              <w:tabs>
                <w:tab w:val="left" w:pos="567"/>
              </w:tabs>
              <w:jc w:val="center"/>
              <w:rPr>
                <w:rFonts w:ascii="Arial Narrow" w:hAnsi="Arial Narrow"/>
                <w:b/>
                <w:sz w:val="16"/>
                <w:szCs w:val="16"/>
              </w:rPr>
            </w:pPr>
            <w:r>
              <w:rPr>
                <w:rFonts w:ascii="Arial Narrow" w:hAnsi="Arial Narrow"/>
                <w:b/>
                <w:sz w:val="16"/>
                <w:szCs w:val="16"/>
              </w:rPr>
              <w:t>Εκτιμήσεις</w:t>
            </w:r>
          </w:p>
        </w:tc>
        <w:tc>
          <w:tcPr>
            <w:tcW w:w="1701" w:type="dxa"/>
            <w:tcBorders>
              <w:bottom w:val="single" w:sz="4" w:space="0" w:color="auto"/>
            </w:tcBorders>
          </w:tcPr>
          <w:p w:rsidR="003501BC" w:rsidRDefault="003501BC" w:rsidP="00510E92">
            <w:pPr>
              <w:tabs>
                <w:tab w:val="left" w:pos="567"/>
              </w:tabs>
              <w:jc w:val="center"/>
              <w:rPr>
                <w:rFonts w:ascii="Arial Narrow" w:hAnsi="Arial Narrow"/>
                <w:b/>
                <w:sz w:val="16"/>
                <w:szCs w:val="16"/>
              </w:rPr>
            </w:pPr>
            <w:r w:rsidRPr="003E6D6E">
              <w:rPr>
                <w:rFonts w:ascii="Arial Narrow" w:hAnsi="Arial Narrow"/>
                <w:b/>
                <w:sz w:val="16"/>
                <w:szCs w:val="16"/>
              </w:rPr>
              <w:t>201</w:t>
            </w:r>
            <w:r>
              <w:rPr>
                <w:rFonts w:ascii="Arial Narrow" w:hAnsi="Arial Narrow"/>
                <w:b/>
                <w:sz w:val="16"/>
                <w:szCs w:val="16"/>
              </w:rPr>
              <w:t>9</w:t>
            </w:r>
          </w:p>
          <w:p w:rsidR="003501BC" w:rsidRPr="003E6D6E" w:rsidRDefault="003501BC" w:rsidP="00510E92">
            <w:pPr>
              <w:tabs>
                <w:tab w:val="left" w:pos="567"/>
              </w:tabs>
              <w:jc w:val="center"/>
              <w:rPr>
                <w:rFonts w:ascii="Arial Narrow" w:hAnsi="Arial Narrow"/>
                <w:b/>
                <w:sz w:val="16"/>
                <w:szCs w:val="16"/>
              </w:rPr>
            </w:pPr>
            <w:r>
              <w:rPr>
                <w:rFonts w:ascii="Arial Narrow" w:hAnsi="Arial Narrow"/>
                <w:b/>
                <w:sz w:val="16"/>
                <w:szCs w:val="16"/>
              </w:rPr>
              <w:t>Προβλέψεις</w:t>
            </w:r>
          </w:p>
        </w:tc>
      </w:tr>
      <w:tr w:rsidR="003501BC" w:rsidRPr="00117933" w:rsidTr="00510E92">
        <w:trPr>
          <w:trHeight w:val="20"/>
          <w:jc w:val="center"/>
        </w:trPr>
        <w:tc>
          <w:tcPr>
            <w:tcW w:w="3510" w:type="dxa"/>
            <w:tcBorders>
              <w:top w:val="nil"/>
              <w:bottom w:val="nil"/>
              <w:right w:val="nil"/>
            </w:tcBorders>
          </w:tcPr>
          <w:p w:rsidR="003501BC" w:rsidRPr="003E6D6E" w:rsidRDefault="003501BC" w:rsidP="00510E92">
            <w:pPr>
              <w:tabs>
                <w:tab w:val="left" w:pos="567"/>
                <w:tab w:val="num" w:pos="720"/>
              </w:tabs>
              <w:jc w:val="both"/>
              <w:rPr>
                <w:rFonts w:ascii="Arial Narrow" w:hAnsi="Arial Narrow"/>
                <w:sz w:val="16"/>
                <w:szCs w:val="16"/>
              </w:rPr>
            </w:pPr>
            <w:r>
              <w:rPr>
                <w:rFonts w:ascii="Arial Narrow" w:hAnsi="Arial Narrow"/>
                <w:sz w:val="16"/>
                <w:szCs w:val="16"/>
              </w:rPr>
              <w:t>Εθνική Αναλογιστική Αρχή</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0</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1</w:t>
            </w:r>
          </w:p>
        </w:tc>
      </w:tr>
      <w:tr w:rsidR="003501BC" w:rsidRPr="00117933" w:rsidTr="00510E92">
        <w:trPr>
          <w:trHeight w:val="20"/>
          <w:jc w:val="center"/>
        </w:trPr>
        <w:tc>
          <w:tcPr>
            <w:tcW w:w="3510" w:type="dxa"/>
            <w:tcBorders>
              <w:top w:val="nil"/>
              <w:bottom w:val="nil"/>
              <w:right w:val="nil"/>
            </w:tcBorders>
          </w:tcPr>
          <w:p w:rsidR="003501BC" w:rsidRPr="003E6D6E" w:rsidRDefault="003501BC" w:rsidP="00510E92">
            <w:pPr>
              <w:tabs>
                <w:tab w:val="left" w:pos="567"/>
                <w:tab w:val="num" w:pos="720"/>
              </w:tabs>
              <w:jc w:val="both"/>
              <w:rPr>
                <w:rFonts w:ascii="Arial Narrow" w:hAnsi="Arial Narrow"/>
                <w:sz w:val="16"/>
                <w:szCs w:val="16"/>
              </w:rPr>
            </w:pPr>
            <w:r>
              <w:rPr>
                <w:rFonts w:ascii="Arial Narrow" w:hAnsi="Arial Narrow"/>
                <w:sz w:val="16"/>
                <w:szCs w:val="16"/>
              </w:rPr>
              <w:t>Εθνική Επιτροπή Τηλεπικοινωνιών και Ταχυδρομείων</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-77</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0</w:t>
            </w:r>
          </w:p>
        </w:tc>
      </w:tr>
      <w:tr w:rsidR="003501BC" w:rsidRPr="00117933" w:rsidTr="00510E92">
        <w:trPr>
          <w:trHeight w:val="20"/>
          <w:jc w:val="center"/>
        </w:trPr>
        <w:tc>
          <w:tcPr>
            <w:tcW w:w="3510" w:type="dxa"/>
            <w:tcBorders>
              <w:top w:val="nil"/>
              <w:bottom w:val="nil"/>
              <w:right w:val="nil"/>
            </w:tcBorders>
          </w:tcPr>
          <w:p w:rsidR="003501BC" w:rsidRDefault="003501BC" w:rsidP="00510E92">
            <w:pPr>
              <w:tabs>
                <w:tab w:val="left" w:pos="567"/>
                <w:tab w:val="num" w:pos="720"/>
              </w:tabs>
              <w:jc w:val="both"/>
              <w:rPr>
                <w:rFonts w:ascii="Arial Narrow" w:hAnsi="Arial Narrow"/>
                <w:sz w:val="16"/>
                <w:szCs w:val="16"/>
              </w:rPr>
            </w:pPr>
            <w:r>
              <w:rPr>
                <w:rFonts w:ascii="Arial Narrow" w:hAnsi="Arial Narrow"/>
                <w:sz w:val="16"/>
                <w:szCs w:val="16"/>
              </w:rPr>
              <w:t>Ελληνική Στατιστική Αρχή</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5</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 xml:space="preserve">0 </w:t>
            </w:r>
          </w:p>
        </w:tc>
      </w:tr>
      <w:tr w:rsidR="003501BC" w:rsidRPr="00117933" w:rsidTr="00510E92">
        <w:trPr>
          <w:trHeight w:val="20"/>
          <w:jc w:val="center"/>
        </w:trPr>
        <w:tc>
          <w:tcPr>
            <w:tcW w:w="3510" w:type="dxa"/>
            <w:tcBorders>
              <w:top w:val="nil"/>
              <w:bottom w:val="nil"/>
              <w:right w:val="nil"/>
            </w:tcBorders>
          </w:tcPr>
          <w:p w:rsidR="003501BC" w:rsidRDefault="003501BC" w:rsidP="00510E92">
            <w:pPr>
              <w:tabs>
                <w:tab w:val="left" w:pos="567"/>
                <w:tab w:val="num" w:pos="720"/>
                <w:tab w:val="right" w:pos="3294"/>
              </w:tabs>
              <w:jc w:val="both"/>
              <w:rPr>
                <w:rFonts w:ascii="Arial Narrow" w:hAnsi="Arial Narrow"/>
                <w:sz w:val="16"/>
                <w:szCs w:val="16"/>
              </w:rPr>
            </w:pPr>
            <w:r>
              <w:rPr>
                <w:rFonts w:ascii="Arial Narrow" w:hAnsi="Arial Narrow"/>
                <w:sz w:val="16"/>
                <w:szCs w:val="16"/>
              </w:rPr>
              <w:t>Ελληνικό Δημοσιονομικό Συμβούλιο</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0</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0</w:t>
            </w:r>
          </w:p>
        </w:tc>
      </w:tr>
      <w:tr w:rsidR="003501BC" w:rsidRPr="00117933" w:rsidTr="00510E92">
        <w:trPr>
          <w:trHeight w:val="20"/>
          <w:jc w:val="center"/>
        </w:trPr>
        <w:tc>
          <w:tcPr>
            <w:tcW w:w="3510" w:type="dxa"/>
            <w:tcBorders>
              <w:top w:val="nil"/>
              <w:bottom w:val="nil"/>
              <w:right w:val="nil"/>
            </w:tcBorders>
          </w:tcPr>
          <w:p w:rsidR="003501BC" w:rsidRDefault="003501BC" w:rsidP="00510E92">
            <w:pPr>
              <w:tabs>
                <w:tab w:val="left" w:pos="567"/>
                <w:tab w:val="num" w:pos="720"/>
              </w:tabs>
              <w:jc w:val="both"/>
              <w:rPr>
                <w:rFonts w:ascii="Arial Narrow" w:hAnsi="Arial Narrow"/>
                <w:sz w:val="16"/>
                <w:szCs w:val="16"/>
              </w:rPr>
            </w:pPr>
            <w:r>
              <w:rPr>
                <w:rFonts w:ascii="Arial Narrow" w:hAnsi="Arial Narrow"/>
                <w:sz w:val="16"/>
                <w:szCs w:val="16"/>
              </w:rPr>
              <w:t>Ενιαία Ανεξάρτητη Αρχή Δημοσίων Συμβάσεων</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-1</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 xml:space="preserve">-1 </w:t>
            </w:r>
          </w:p>
        </w:tc>
      </w:tr>
      <w:tr w:rsidR="003501BC" w:rsidRPr="003D7661" w:rsidTr="00510E92">
        <w:trPr>
          <w:trHeight w:val="20"/>
          <w:jc w:val="center"/>
        </w:trPr>
        <w:tc>
          <w:tcPr>
            <w:tcW w:w="3510" w:type="dxa"/>
            <w:tcBorders>
              <w:top w:val="nil"/>
              <w:bottom w:val="nil"/>
              <w:right w:val="nil"/>
            </w:tcBorders>
          </w:tcPr>
          <w:p w:rsidR="003501BC" w:rsidRPr="003E6D6E" w:rsidRDefault="003501BC" w:rsidP="00510E92">
            <w:pPr>
              <w:tabs>
                <w:tab w:val="left" w:pos="567"/>
                <w:tab w:val="num" w:pos="720"/>
              </w:tabs>
              <w:jc w:val="both"/>
              <w:rPr>
                <w:rFonts w:ascii="Arial Narrow" w:hAnsi="Arial Narrow"/>
                <w:sz w:val="16"/>
                <w:szCs w:val="16"/>
              </w:rPr>
            </w:pPr>
            <w:r>
              <w:rPr>
                <w:rFonts w:ascii="Arial Narrow" w:hAnsi="Arial Narrow"/>
                <w:sz w:val="16"/>
                <w:szCs w:val="16"/>
              </w:rPr>
              <w:t>Επιτροπή Ανταγωνισμού</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-1</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0</w:t>
            </w:r>
          </w:p>
        </w:tc>
      </w:tr>
      <w:tr w:rsidR="003501BC" w:rsidRPr="00117933" w:rsidTr="00510E92">
        <w:trPr>
          <w:trHeight w:val="20"/>
          <w:jc w:val="center"/>
        </w:trPr>
        <w:tc>
          <w:tcPr>
            <w:tcW w:w="3510" w:type="dxa"/>
            <w:tcBorders>
              <w:top w:val="nil"/>
              <w:bottom w:val="nil"/>
              <w:right w:val="nil"/>
            </w:tcBorders>
          </w:tcPr>
          <w:p w:rsidR="003501BC" w:rsidRPr="003E6D6E" w:rsidRDefault="003501BC" w:rsidP="00510E92">
            <w:pPr>
              <w:tabs>
                <w:tab w:val="left" w:pos="567"/>
                <w:tab w:val="num" w:pos="720"/>
                <w:tab w:val="right" w:pos="3294"/>
              </w:tabs>
              <w:jc w:val="both"/>
              <w:rPr>
                <w:rFonts w:ascii="Arial Narrow" w:hAnsi="Arial Narrow"/>
                <w:sz w:val="16"/>
                <w:szCs w:val="16"/>
              </w:rPr>
            </w:pPr>
            <w:r>
              <w:rPr>
                <w:rFonts w:ascii="Arial Narrow" w:hAnsi="Arial Narrow"/>
                <w:sz w:val="16"/>
                <w:szCs w:val="16"/>
              </w:rPr>
              <w:t>Επιτροπή Εποπτείας και Ελέγχου Παιγνίων</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1</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4</w:t>
            </w:r>
          </w:p>
        </w:tc>
      </w:tr>
      <w:tr w:rsidR="003501BC" w:rsidRPr="00117933" w:rsidTr="00510E92">
        <w:trPr>
          <w:trHeight w:val="20"/>
          <w:jc w:val="center"/>
        </w:trPr>
        <w:tc>
          <w:tcPr>
            <w:tcW w:w="3510" w:type="dxa"/>
            <w:tcBorders>
              <w:top w:val="nil"/>
              <w:bottom w:val="nil"/>
              <w:right w:val="nil"/>
            </w:tcBorders>
          </w:tcPr>
          <w:p w:rsidR="003501BC" w:rsidRPr="003E6D6E" w:rsidRDefault="003501BC" w:rsidP="00510E92">
            <w:pPr>
              <w:tabs>
                <w:tab w:val="left" w:pos="567"/>
                <w:tab w:val="num" w:pos="720"/>
              </w:tabs>
              <w:jc w:val="both"/>
              <w:rPr>
                <w:rFonts w:ascii="Arial Narrow" w:hAnsi="Arial Narrow"/>
                <w:sz w:val="16"/>
                <w:szCs w:val="16"/>
              </w:rPr>
            </w:pPr>
            <w:r>
              <w:rPr>
                <w:rFonts w:ascii="Arial Narrow" w:hAnsi="Arial Narrow"/>
                <w:sz w:val="16"/>
                <w:szCs w:val="16"/>
              </w:rPr>
              <w:t>Ρυθμιστική Αρχή Ενέργειας</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2</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2</w:t>
            </w:r>
          </w:p>
        </w:tc>
      </w:tr>
      <w:tr w:rsidR="003501BC" w:rsidRPr="00117933" w:rsidTr="00510E92">
        <w:trPr>
          <w:trHeight w:val="20"/>
          <w:jc w:val="center"/>
        </w:trPr>
        <w:tc>
          <w:tcPr>
            <w:tcW w:w="3510" w:type="dxa"/>
            <w:tcBorders>
              <w:top w:val="nil"/>
              <w:bottom w:val="nil"/>
              <w:right w:val="nil"/>
            </w:tcBorders>
          </w:tcPr>
          <w:p w:rsidR="003501BC" w:rsidRDefault="003501BC" w:rsidP="00510E92">
            <w:pPr>
              <w:tabs>
                <w:tab w:val="left" w:pos="567"/>
                <w:tab w:val="num" w:pos="720"/>
              </w:tabs>
              <w:jc w:val="both"/>
              <w:rPr>
                <w:rFonts w:ascii="Arial Narrow" w:hAnsi="Arial Narrow"/>
                <w:sz w:val="16"/>
                <w:szCs w:val="16"/>
              </w:rPr>
            </w:pPr>
            <w:r>
              <w:rPr>
                <w:rFonts w:ascii="Arial Narrow" w:hAnsi="Arial Narrow"/>
                <w:sz w:val="16"/>
                <w:szCs w:val="16"/>
              </w:rPr>
              <w:t>Ρυθμιστική Αρχή Λιμένων</w:t>
            </w:r>
          </w:p>
        </w:tc>
        <w:tc>
          <w:tcPr>
            <w:tcW w:w="1843" w:type="dxa"/>
            <w:tcBorders>
              <w:top w:val="nil"/>
              <w:left w:val="nil"/>
              <w:bottom w:val="nil"/>
              <w:right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0</w:t>
            </w:r>
          </w:p>
        </w:tc>
        <w:tc>
          <w:tcPr>
            <w:tcW w:w="1701" w:type="dxa"/>
            <w:tcBorders>
              <w:top w:val="nil"/>
              <w:left w:val="nil"/>
              <w:bottom w:val="nil"/>
            </w:tcBorders>
            <w:vAlign w:val="bottom"/>
          </w:tcPr>
          <w:p w:rsidR="003501BC" w:rsidRDefault="003501BC" w:rsidP="00510E92">
            <w:pPr>
              <w:tabs>
                <w:tab w:val="decimal" w:pos="903"/>
              </w:tabs>
              <w:jc w:val="both"/>
              <w:rPr>
                <w:rFonts w:ascii="Arial Narrow" w:hAnsi="Arial Narrow"/>
                <w:color w:val="000000"/>
                <w:sz w:val="16"/>
                <w:szCs w:val="16"/>
              </w:rPr>
            </w:pPr>
            <w:r>
              <w:rPr>
                <w:rFonts w:ascii="Arial Narrow" w:hAnsi="Arial Narrow"/>
                <w:color w:val="000000"/>
                <w:sz w:val="16"/>
                <w:szCs w:val="16"/>
              </w:rPr>
              <w:t>0</w:t>
            </w:r>
          </w:p>
        </w:tc>
      </w:tr>
      <w:tr w:rsidR="003501BC" w:rsidRPr="00134459" w:rsidTr="002A15DA">
        <w:trPr>
          <w:trHeight w:val="20"/>
          <w:jc w:val="center"/>
        </w:trPr>
        <w:tc>
          <w:tcPr>
            <w:tcW w:w="3510" w:type="dxa"/>
            <w:tcBorders>
              <w:top w:val="nil"/>
              <w:bottom w:val="single" w:sz="4" w:space="0" w:color="auto"/>
              <w:right w:val="nil"/>
            </w:tcBorders>
            <w:shd w:val="clear" w:color="auto" w:fill="BFBFBF" w:themeFill="background1" w:themeFillShade="BF"/>
          </w:tcPr>
          <w:p w:rsidR="003501BC" w:rsidRPr="00134459" w:rsidRDefault="003501BC" w:rsidP="00510E92">
            <w:pPr>
              <w:tabs>
                <w:tab w:val="left" w:pos="567"/>
                <w:tab w:val="num" w:pos="720"/>
              </w:tabs>
              <w:spacing w:before="120" w:after="120"/>
              <w:jc w:val="both"/>
              <w:rPr>
                <w:rFonts w:ascii="Arial Narrow" w:hAnsi="Arial Narrow"/>
                <w:b/>
                <w:sz w:val="16"/>
                <w:szCs w:val="16"/>
              </w:rPr>
            </w:pPr>
            <w:r w:rsidRPr="00134459">
              <w:rPr>
                <w:rFonts w:ascii="Arial Narrow" w:hAnsi="Arial Narrow"/>
                <w:b/>
                <w:sz w:val="16"/>
                <w:szCs w:val="16"/>
              </w:rPr>
              <w:t>Ισοζύγιο</w:t>
            </w:r>
          </w:p>
        </w:tc>
        <w:tc>
          <w:tcPr>
            <w:tcW w:w="1843" w:type="dxa"/>
            <w:tcBorders>
              <w:top w:val="nil"/>
              <w:left w:val="nil"/>
              <w:bottom w:val="single" w:sz="4" w:space="0" w:color="auto"/>
              <w:right w:val="nil"/>
            </w:tcBorders>
            <w:shd w:val="clear" w:color="auto" w:fill="BFBFBF" w:themeFill="background1" w:themeFillShade="BF"/>
            <w:vAlign w:val="bottom"/>
          </w:tcPr>
          <w:p w:rsidR="003501BC" w:rsidRPr="00134459" w:rsidRDefault="003501BC" w:rsidP="00510E92">
            <w:pPr>
              <w:tabs>
                <w:tab w:val="decimal" w:pos="903"/>
              </w:tabs>
              <w:spacing w:before="120" w:after="120"/>
              <w:jc w:val="both"/>
              <w:rPr>
                <w:rFonts w:ascii="Arial Narrow" w:hAnsi="Arial Narrow"/>
                <w:b/>
                <w:color w:val="000000"/>
                <w:sz w:val="16"/>
                <w:szCs w:val="16"/>
              </w:rPr>
            </w:pPr>
            <w:r>
              <w:rPr>
                <w:rFonts w:ascii="Arial Narrow" w:hAnsi="Arial Narrow"/>
                <w:b/>
                <w:color w:val="000000"/>
                <w:sz w:val="16"/>
                <w:szCs w:val="16"/>
              </w:rPr>
              <w:t>-70</w:t>
            </w:r>
          </w:p>
        </w:tc>
        <w:tc>
          <w:tcPr>
            <w:tcW w:w="1701" w:type="dxa"/>
            <w:tcBorders>
              <w:top w:val="nil"/>
              <w:left w:val="nil"/>
              <w:bottom w:val="single" w:sz="4" w:space="0" w:color="auto"/>
            </w:tcBorders>
            <w:shd w:val="clear" w:color="auto" w:fill="BFBFBF" w:themeFill="background1" w:themeFillShade="BF"/>
            <w:vAlign w:val="bottom"/>
          </w:tcPr>
          <w:p w:rsidR="003501BC" w:rsidRPr="00134459" w:rsidRDefault="003501BC" w:rsidP="00510E92">
            <w:pPr>
              <w:tabs>
                <w:tab w:val="decimal" w:pos="903"/>
              </w:tabs>
              <w:spacing w:before="120" w:after="120"/>
              <w:jc w:val="both"/>
              <w:rPr>
                <w:rFonts w:ascii="Arial Narrow" w:hAnsi="Arial Narrow"/>
                <w:b/>
                <w:color w:val="000000"/>
                <w:sz w:val="16"/>
                <w:szCs w:val="16"/>
              </w:rPr>
            </w:pPr>
            <w:r>
              <w:rPr>
                <w:rFonts w:ascii="Arial Narrow" w:hAnsi="Arial Narrow"/>
                <w:b/>
                <w:color w:val="000000"/>
                <w:sz w:val="16"/>
                <w:szCs w:val="16"/>
              </w:rPr>
              <w:t>6</w:t>
            </w:r>
          </w:p>
        </w:tc>
      </w:tr>
    </w:tbl>
    <w:p w:rsidR="003501BC" w:rsidRDefault="003501BC" w:rsidP="003501BC">
      <w:pPr>
        <w:jc w:val="both"/>
        <w:rPr>
          <w:rFonts w:ascii="Arial Narrow" w:hAnsi="Arial Narrow"/>
          <w:b/>
          <w:color w:val="000080"/>
          <w:sz w:val="22"/>
        </w:rPr>
      </w:pPr>
    </w:p>
    <w:p w:rsidR="004B3043" w:rsidRPr="004B3043" w:rsidRDefault="004B3043" w:rsidP="004B3043">
      <w:pPr>
        <w:keepNext/>
        <w:jc w:val="both"/>
        <w:outlineLvl w:val="4"/>
        <w:rPr>
          <w:rFonts w:ascii="Arial Narrow" w:hAnsi="Arial Narrow"/>
          <w:b/>
          <w:bCs/>
          <w:color w:val="000080"/>
          <w:szCs w:val="22"/>
        </w:rPr>
      </w:pPr>
      <w:r w:rsidRPr="004B3043">
        <w:rPr>
          <w:rFonts w:ascii="Arial Narrow" w:hAnsi="Arial Narrow"/>
          <w:b/>
          <w:bCs/>
          <w:color w:val="000080"/>
          <w:szCs w:val="22"/>
        </w:rPr>
        <w:t>Ασφαλιστικό Κεφάλαιο Αλληλεγγύης Γενεών (ΑΚΑΓΕ)</w:t>
      </w:r>
    </w:p>
    <w:p w:rsidR="00D57B73" w:rsidRDefault="00D57B73" w:rsidP="00D57B73">
      <w:pPr>
        <w:jc w:val="both"/>
        <w:rPr>
          <w:sz w:val="22"/>
          <w:szCs w:val="22"/>
        </w:rPr>
      </w:pPr>
    </w:p>
    <w:p w:rsidR="00D57B73" w:rsidRPr="00404D75" w:rsidRDefault="00D57B73" w:rsidP="00D57B73">
      <w:pPr>
        <w:jc w:val="both"/>
        <w:rPr>
          <w:sz w:val="22"/>
          <w:szCs w:val="22"/>
        </w:rPr>
      </w:pPr>
      <w:r w:rsidRPr="00404D75">
        <w:rPr>
          <w:sz w:val="22"/>
          <w:szCs w:val="22"/>
        </w:rPr>
        <w:t>Το ΑΚΑΓΕ συστάθηκε με το άρθρο 149 του ν. 3655/2008 με βασικό σκοπό τη δημιουργία αποθεματικών στο πλαίσιο της διασφάλισης των συντάξεων των νέων γενεών.</w:t>
      </w:r>
    </w:p>
    <w:p w:rsidR="00D57B73" w:rsidRDefault="00D57B73" w:rsidP="00D57B73">
      <w:pPr>
        <w:jc w:val="both"/>
        <w:rPr>
          <w:sz w:val="22"/>
          <w:szCs w:val="22"/>
        </w:rPr>
      </w:pPr>
    </w:p>
    <w:p w:rsidR="00D57B73" w:rsidRPr="00404D75" w:rsidRDefault="00DB0C08" w:rsidP="00D57B73">
      <w:pPr>
        <w:jc w:val="both"/>
        <w:rPr>
          <w:sz w:val="20"/>
          <w:szCs w:val="20"/>
        </w:rPr>
      </w:pPr>
      <w:r>
        <w:rPr>
          <w:sz w:val="22"/>
          <w:szCs w:val="22"/>
        </w:rPr>
        <w:t>Οι βασικές πηγές</w:t>
      </w:r>
      <w:r w:rsidR="00FA65C8">
        <w:rPr>
          <w:sz w:val="22"/>
          <w:szCs w:val="22"/>
        </w:rPr>
        <w:t xml:space="preserve"> εσόδων </w:t>
      </w:r>
      <w:r w:rsidR="00D57B73" w:rsidRPr="00404D75">
        <w:rPr>
          <w:sz w:val="22"/>
          <w:szCs w:val="22"/>
        </w:rPr>
        <w:t>του ΑΚΑΓΕ είναι η επιχορήγηση από τον Κρατικό Προϋπολογισμό</w:t>
      </w:r>
      <w:r>
        <w:rPr>
          <w:sz w:val="22"/>
          <w:szCs w:val="22"/>
        </w:rPr>
        <w:t>,</w:t>
      </w:r>
      <w:r w:rsidR="008967F1">
        <w:rPr>
          <w:sz w:val="22"/>
          <w:szCs w:val="22"/>
        </w:rPr>
        <w:t xml:space="preserve"> </w:t>
      </w:r>
      <w:r w:rsidR="00D57B73" w:rsidRPr="00404D75">
        <w:rPr>
          <w:sz w:val="22"/>
          <w:szCs w:val="22"/>
        </w:rPr>
        <w:t xml:space="preserve">καθώς και τα έσοδα από την Εισφορά Αλληλεγγύης Συνταξιούχων (ΕΑΣ) </w:t>
      </w:r>
      <w:r w:rsidR="003D5F9A">
        <w:rPr>
          <w:sz w:val="22"/>
          <w:szCs w:val="22"/>
        </w:rPr>
        <w:t>που προέρχονται από την κύρια και την επικουρική σύνταξη.</w:t>
      </w:r>
    </w:p>
    <w:p w:rsidR="00D57B73" w:rsidRDefault="00D57B73" w:rsidP="00D57B73">
      <w:pPr>
        <w:jc w:val="both"/>
        <w:rPr>
          <w:sz w:val="22"/>
          <w:szCs w:val="22"/>
        </w:rPr>
      </w:pPr>
    </w:p>
    <w:p w:rsidR="00D57B73" w:rsidRPr="00404D75" w:rsidRDefault="00D57B73" w:rsidP="00D57B73">
      <w:pPr>
        <w:jc w:val="both"/>
        <w:rPr>
          <w:sz w:val="22"/>
          <w:szCs w:val="22"/>
        </w:rPr>
      </w:pPr>
      <w:r>
        <w:rPr>
          <w:sz w:val="22"/>
          <w:szCs w:val="22"/>
        </w:rPr>
        <w:t>Τ</w:t>
      </w:r>
      <w:r w:rsidRPr="00404D75">
        <w:rPr>
          <w:sz w:val="22"/>
          <w:szCs w:val="22"/>
        </w:rPr>
        <w:t xml:space="preserve">ο </w:t>
      </w:r>
      <w:r w:rsidR="003D5F9A">
        <w:rPr>
          <w:sz w:val="22"/>
          <w:szCs w:val="22"/>
        </w:rPr>
        <w:t xml:space="preserve">δημοσιονομικό </w:t>
      </w:r>
      <w:r w:rsidRPr="00404D75">
        <w:rPr>
          <w:sz w:val="22"/>
          <w:szCs w:val="22"/>
        </w:rPr>
        <w:t xml:space="preserve">αποτέλεσμα του ΑΚΑΓΕ για το </w:t>
      </w:r>
      <w:r w:rsidR="00B20B25">
        <w:rPr>
          <w:sz w:val="22"/>
          <w:szCs w:val="22"/>
        </w:rPr>
        <w:t>201</w:t>
      </w:r>
      <w:r w:rsidR="003D5F9A">
        <w:rPr>
          <w:sz w:val="22"/>
          <w:szCs w:val="22"/>
        </w:rPr>
        <w:t xml:space="preserve">9 </w:t>
      </w:r>
      <w:r w:rsidR="0019610E">
        <w:rPr>
          <w:sz w:val="22"/>
          <w:szCs w:val="22"/>
        </w:rPr>
        <w:t>προβλέπεται</w:t>
      </w:r>
      <w:r w:rsidR="003D5F9A">
        <w:rPr>
          <w:sz w:val="22"/>
          <w:szCs w:val="22"/>
        </w:rPr>
        <w:t xml:space="preserve"> να διαμορφωθεί σε πλεόνασμα ύψους </w:t>
      </w:r>
      <w:r w:rsidR="00202F08">
        <w:rPr>
          <w:sz w:val="22"/>
          <w:szCs w:val="22"/>
        </w:rPr>
        <w:t>1.378</w:t>
      </w:r>
      <w:r w:rsidR="003D5F9A">
        <w:rPr>
          <w:sz w:val="22"/>
          <w:szCs w:val="22"/>
        </w:rPr>
        <w:t xml:space="preserve"> εκατ. ευρώ, βελτιωμένο έναντι του 2018 κατά </w:t>
      </w:r>
      <w:r w:rsidR="00202F08">
        <w:rPr>
          <w:sz w:val="22"/>
          <w:szCs w:val="22"/>
        </w:rPr>
        <w:t>343</w:t>
      </w:r>
      <w:r w:rsidR="003D5F9A">
        <w:rPr>
          <w:sz w:val="22"/>
          <w:szCs w:val="22"/>
        </w:rPr>
        <w:t xml:space="preserve"> εκατ. ευρώ</w:t>
      </w:r>
      <w:r w:rsidR="00202F08">
        <w:rPr>
          <w:sz w:val="22"/>
          <w:szCs w:val="22"/>
        </w:rPr>
        <w:t>. Η μεταβολή οφείλεται</w:t>
      </w:r>
      <w:r w:rsidR="003D5F9A">
        <w:rPr>
          <w:sz w:val="22"/>
          <w:szCs w:val="22"/>
        </w:rPr>
        <w:t xml:space="preserve"> </w:t>
      </w:r>
      <w:r w:rsidR="00DB0C08">
        <w:rPr>
          <w:sz w:val="22"/>
          <w:szCs w:val="22"/>
        </w:rPr>
        <w:t>σ</w:t>
      </w:r>
      <w:r w:rsidR="00202F08">
        <w:rPr>
          <w:sz w:val="22"/>
          <w:szCs w:val="22"/>
        </w:rPr>
        <w:t>την πρόβλεψη της μη ύπαρξης αναγκαιότητας μεταβίβασης πόρων στους Φορείς Κοινωνικής Ασφάλισης.</w:t>
      </w:r>
    </w:p>
    <w:p w:rsidR="00D57B73" w:rsidRDefault="00D57B73" w:rsidP="00D57B73">
      <w:pPr>
        <w:jc w:val="both"/>
        <w:rPr>
          <w:sz w:val="22"/>
          <w:szCs w:val="22"/>
        </w:rPr>
      </w:pPr>
    </w:p>
    <w:p w:rsidR="00E715E2" w:rsidRDefault="00E715E2" w:rsidP="00D57B73">
      <w:pPr>
        <w:jc w:val="both"/>
        <w:rPr>
          <w:sz w:val="22"/>
          <w:szCs w:val="22"/>
        </w:rPr>
      </w:pP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188"/>
        <w:gridCol w:w="1059"/>
      </w:tblGrid>
      <w:tr w:rsidR="00D91B78" w:rsidRPr="00DD28CB" w:rsidTr="00FF6C69">
        <w:trPr>
          <w:trHeight w:val="20"/>
          <w:jc w:val="center"/>
        </w:trPr>
        <w:tc>
          <w:tcPr>
            <w:tcW w:w="7195" w:type="dxa"/>
            <w:gridSpan w:val="3"/>
            <w:tcBorders>
              <w:top w:val="single" w:sz="4" w:space="0" w:color="auto"/>
              <w:left w:val="single" w:sz="4" w:space="0" w:color="auto"/>
              <w:bottom w:val="nil"/>
              <w:right w:val="single" w:sz="4" w:space="0" w:color="auto"/>
            </w:tcBorders>
            <w:shd w:val="clear" w:color="auto" w:fill="404040"/>
            <w:noWrap/>
            <w:tcMar>
              <w:left w:w="28" w:type="dxa"/>
              <w:right w:w="28" w:type="dxa"/>
            </w:tcMar>
            <w:hideMark/>
          </w:tcPr>
          <w:p w:rsidR="00D91B78" w:rsidRPr="00DD28CB" w:rsidRDefault="00F8198D" w:rsidP="00FF6C69">
            <w:pPr>
              <w:spacing w:before="120"/>
              <w:jc w:val="center"/>
              <w:rPr>
                <w:rFonts w:ascii="Arial Narrow" w:hAnsi="Arial Narrow"/>
                <w:b/>
                <w:color w:val="FFFFFF"/>
                <w:szCs w:val="16"/>
              </w:rPr>
            </w:pPr>
            <w:r>
              <w:rPr>
                <w:rFonts w:ascii="Arial Narrow" w:hAnsi="Arial Narrow"/>
                <w:b/>
                <w:color w:val="FFFFFF"/>
                <w:szCs w:val="16"/>
              </w:rPr>
              <w:t>Πίνακας 3</w:t>
            </w:r>
            <w:r w:rsidR="003F7271">
              <w:rPr>
                <w:rFonts w:ascii="Arial Narrow" w:hAnsi="Arial Narrow"/>
                <w:b/>
                <w:color w:val="FFFFFF"/>
                <w:szCs w:val="16"/>
              </w:rPr>
              <w:t>.20</w:t>
            </w:r>
            <w:r w:rsidR="00D91B78" w:rsidRPr="00DD28CB">
              <w:rPr>
                <w:rFonts w:ascii="Arial Narrow" w:hAnsi="Arial Narrow"/>
                <w:b/>
                <w:color w:val="FFFFFF"/>
                <w:szCs w:val="16"/>
              </w:rPr>
              <w:t xml:space="preserve">  Προϋπολογισμός ΑΚΑΓΕ</w:t>
            </w:r>
          </w:p>
          <w:p w:rsidR="00D91B78" w:rsidRPr="00DD28CB" w:rsidRDefault="00D91B78" w:rsidP="00FF6C69">
            <w:pPr>
              <w:spacing w:after="120"/>
              <w:jc w:val="center"/>
              <w:rPr>
                <w:rFonts w:ascii="Arial Narrow" w:hAnsi="Arial Narrow"/>
                <w:b/>
                <w:color w:val="FFFFFF"/>
                <w:szCs w:val="16"/>
              </w:rPr>
            </w:pPr>
            <w:r w:rsidRPr="00DD28CB">
              <w:rPr>
                <w:rFonts w:ascii="Arial Narrow" w:hAnsi="Arial Narrow"/>
                <w:b/>
                <w:color w:val="FFFFFF"/>
                <w:szCs w:val="16"/>
              </w:rPr>
              <w:t>(σε εκατ. ευρώ)</w:t>
            </w:r>
          </w:p>
        </w:tc>
      </w:tr>
      <w:tr w:rsidR="00D91B78" w:rsidRPr="00DD28CB" w:rsidTr="00FF6C69">
        <w:trPr>
          <w:trHeight w:val="20"/>
          <w:jc w:val="center"/>
        </w:trPr>
        <w:tc>
          <w:tcPr>
            <w:tcW w:w="7195" w:type="dxa"/>
            <w:gridSpan w:val="3"/>
            <w:tcBorders>
              <w:top w:val="nil"/>
              <w:left w:val="single" w:sz="4" w:space="0" w:color="auto"/>
              <w:bottom w:val="nil"/>
              <w:right w:val="single" w:sz="4" w:space="0" w:color="auto"/>
            </w:tcBorders>
            <w:noWrap/>
            <w:tcMar>
              <w:left w:w="28" w:type="dxa"/>
              <w:right w:w="28" w:type="dxa"/>
            </w:tcMar>
          </w:tcPr>
          <w:p w:rsidR="00D91B78" w:rsidRPr="00DD28CB" w:rsidRDefault="00D91B78" w:rsidP="00FF6C69">
            <w:pPr>
              <w:ind w:right="907"/>
              <w:jc w:val="right"/>
              <w:rPr>
                <w:rFonts w:ascii="Arial Narrow" w:hAnsi="Arial Narrow"/>
                <w:sz w:val="16"/>
                <w:szCs w:val="16"/>
              </w:rPr>
            </w:pPr>
          </w:p>
        </w:tc>
      </w:tr>
      <w:tr w:rsidR="00D91B78" w:rsidRPr="00DD28CB" w:rsidTr="00FF6C69">
        <w:trPr>
          <w:trHeight w:val="20"/>
          <w:jc w:val="center"/>
        </w:trPr>
        <w:tc>
          <w:tcPr>
            <w:tcW w:w="49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D91B78" w:rsidRPr="00DD28CB" w:rsidRDefault="00D91B78" w:rsidP="00FF6C69">
            <w:pPr>
              <w:spacing w:before="60" w:after="60" w:line="360" w:lineRule="auto"/>
              <w:jc w:val="both"/>
              <w:rPr>
                <w:rFonts w:ascii="Arial Narrow" w:hAnsi="Arial Narrow"/>
                <w:b/>
                <w:bCs/>
                <w:sz w:val="16"/>
                <w:szCs w:val="16"/>
              </w:rPr>
            </w:pPr>
          </w:p>
        </w:tc>
        <w:tc>
          <w:tcPr>
            <w:tcW w:w="11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D91B78" w:rsidRPr="00DD28CB" w:rsidRDefault="0055535D" w:rsidP="00FF6C69">
            <w:pPr>
              <w:jc w:val="center"/>
              <w:rPr>
                <w:rFonts w:ascii="Arial Narrow" w:hAnsi="Arial Narrow"/>
                <w:b/>
                <w:bCs/>
                <w:sz w:val="16"/>
                <w:szCs w:val="16"/>
              </w:rPr>
            </w:pPr>
            <w:r>
              <w:rPr>
                <w:rFonts w:ascii="Arial Narrow" w:hAnsi="Arial Narrow"/>
                <w:b/>
                <w:bCs/>
                <w:sz w:val="16"/>
                <w:szCs w:val="16"/>
              </w:rPr>
              <w:t>2018</w:t>
            </w:r>
          </w:p>
          <w:p w:rsidR="00D91B78" w:rsidRPr="00DD28CB" w:rsidRDefault="00D91B78" w:rsidP="00FF6C69">
            <w:pPr>
              <w:jc w:val="center"/>
              <w:rPr>
                <w:rFonts w:ascii="Arial Narrow" w:hAnsi="Arial Narrow"/>
                <w:b/>
                <w:bCs/>
                <w:sz w:val="16"/>
                <w:szCs w:val="16"/>
              </w:rPr>
            </w:pPr>
            <w:r w:rsidRPr="00DD28CB">
              <w:rPr>
                <w:rFonts w:ascii="Arial Narrow" w:hAnsi="Arial Narrow"/>
                <w:b/>
                <w:bCs/>
                <w:sz w:val="16"/>
                <w:szCs w:val="16"/>
              </w:rPr>
              <w:t>Εκτιμήσεις</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D91B78" w:rsidRPr="00DD28CB" w:rsidRDefault="0055535D" w:rsidP="00FF6C69">
            <w:pPr>
              <w:jc w:val="center"/>
              <w:rPr>
                <w:rFonts w:ascii="Arial Narrow" w:hAnsi="Arial Narrow"/>
                <w:b/>
                <w:bCs/>
                <w:sz w:val="16"/>
                <w:szCs w:val="16"/>
              </w:rPr>
            </w:pPr>
            <w:r>
              <w:rPr>
                <w:rFonts w:ascii="Arial Narrow" w:hAnsi="Arial Narrow"/>
                <w:b/>
                <w:bCs/>
                <w:sz w:val="16"/>
                <w:szCs w:val="16"/>
              </w:rPr>
              <w:t>2019</w:t>
            </w:r>
          </w:p>
          <w:p w:rsidR="00D91B78" w:rsidRPr="00DD28CB" w:rsidRDefault="00D91B78" w:rsidP="00FF6C69">
            <w:pPr>
              <w:jc w:val="center"/>
              <w:rPr>
                <w:rFonts w:ascii="Arial Narrow" w:hAnsi="Arial Narrow"/>
                <w:b/>
                <w:bCs/>
                <w:sz w:val="16"/>
                <w:szCs w:val="16"/>
              </w:rPr>
            </w:pPr>
            <w:r w:rsidRPr="00DD28CB">
              <w:rPr>
                <w:rFonts w:ascii="Arial Narrow" w:hAnsi="Arial Narrow"/>
                <w:b/>
                <w:bCs/>
                <w:sz w:val="16"/>
                <w:szCs w:val="16"/>
              </w:rPr>
              <w:t>Προβλέψεις</w:t>
            </w:r>
          </w:p>
        </w:tc>
      </w:tr>
      <w:tr w:rsidR="00202F08" w:rsidRPr="00DD28CB" w:rsidTr="00C60D1B">
        <w:trPr>
          <w:trHeight w:val="20"/>
          <w:jc w:val="center"/>
        </w:trPr>
        <w:tc>
          <w:tcPr>
            <w:tcW w:w="4948" w:type="dxa"/>
            <w:tcBorders>
              <w:top w:val="single" w:sz="4" w:space="0" w:color="auto"/>
              <w:left w:val="single" w:sz="4" w:space="0" w:color="auto"/>
              <w:bottom w:val="nil"/>
              <w:right w:val="nil"/>
            </w:tcBorders>
            <w:shd w:val="clear" w:color="auto" w:fill="D9D9D9" w:themeFill="background1" w:themeFillShade="D9"/>
            <w:noWrap/>
            <w:tcMar>
              <w:left w:w="28" w:type="dxa"/>
              <w:right w:w="28" w:type="dxa"/>
            </w:tcMar>
            <w:vAlign w:val="center"/>
            <w:hideMark/>
          </w:tcPr>
          <w:p w:rsidR="00202F08" w:rsidRPr="00DD28CB" w:rsidRDefault="00202F08" w:rsidP="00D91B78">
            <w:pPr>
              <w:spacing w:before="120" w:after="120"/>
              <w:rPr>
                <w:rFonts w:ascii="Arial Narrow" w:hAnsi="Arial Narrow"/>
                <w:b/>
                <w:bCs/>
                <w:sz w:val="16"/>
                <w:szCs w:val="16"/>
              </w:rPr>
            </w:pPr>
            <w:r w:rsidRPr="00DD28CB">
              <w:rPr>
                <w:rFonts w:ascii="Arial Narrow" w:hAnsi="Arial Narrow"/>
                <w:b/>
                <w:bCs/>
                <w:sz w:val="16"/>
                <w:szCs w:val="16"/>
              </w:rPr>
              <w:t>Έσοδα</w:t>
            </w:r>
          </w:p>
        </w:tc>
        <w:tc>
          <w:tcPr>
            <w:tcW w:w="1188" w:type="dxa"/>
            <w:tcBorders>
              <w:top w:val="single" w:sz="4" w:space="0" w:color="auto"/>
              <w:left w:val="nil"/>
              <w:bottom w:val="nil"/>
              <w:right w:val="nil"/>
            </w:tcBorders>
            <w:shd w:val="clear" w:color="auto" w:fill="D9D9D9" w:themeFill="background1" w:themeFillShade="D9"/>
            <w:tcMar>
              <w:left w:w="28" w:type="dxa"/>
              <w:right w:w="28" w:type="dxa"/>
            </w:tcMar>
            <w:vAlign w:val="center"/>
            <w:hideMark/>
          </w:tcPr>
          <w:p w:rsidR="00202F08" w:rsidRPr="00E30C11" w:rsidRDefault="00202F08" w:rsidP="00004244">
            <w:pPr>
              <w:ind w:right="340"/>
              <w:jc w:val="right"/>
              <w:rPr>
                <w:rFonts w:ascii="Arial Narrow" w:hAnsi="Arial Narrow"/>
                <w:b/>
                <w:bCs/>
                <w:color w:val="000000"/>
                <w:sz w:val="16"/>
                <w:szCs w:val="16"/>
              </w:rPr>
            </w:pPr>
            <w:r>
              <w:rPr>
                <w:rFonts w:ascii="Arial Narrow" w:hAnsi="Arial Narrow"/>
                <w:b/>
                <w:bCs/>
                <w:color w:val="000000"/>
                <w:sz w:val="16"/>
                <w:szCs w:val="16"/>
              </w:rPr>
              <w:t>1.470</w:t>
            </w:r>
          </w:p>
        </w:tc>
        <w:tc>
          <w:tcPr>
            <w:tcW w:w="1059" w:type="dxa"/>
            <w:tcBorders>
              <w:top w:val="single" w:sz="4" w:space="0" w:color="auto"/>
              <w:left w:val="nil"/>
              <w:bottom w:val="nil"/>
              <w:right w:val="single" w:sz="4" w:space="0" w:color="auto"/>
            </w:tcBorders>
            <w:shd w:val="clear" w:color="auto" w:fill="D9D9D9" w:themeFill="background1" w:themeFillShade="D9"/>
            <w:tcMar>
              <w:left w:w="28" w:type="dxa"/>
              <w:right w:w="28" w:type="dxa"/>
            </w:tcMar>
            <w:vAlign w:val="center"/>
            <w:hideMark/>
          </w:tcPr>
          <w:p w:rsidR="00202F08" w:rsidRPr="007126DF" w:rsidRDefault="00202F08" w:rsidP="00004244">
            <w:pPr>
              <w:ind w:right="340"/>
              <w:jc w:val="right"/>
              <w:rPr>
                <w:rFonts w:ascii="Arial Narrow" w:hAnsi="Arial Narrow"/>
                <w:b/>
                <w:bCs/>
                <w:color w:val="000000"/>
                <w:sz w:val="16"/>
                <w:szCs w:val="16"/>
              </w:rPr>
            </w:pPr>
            <w:r w:rsidRPr="007126DF">
              <w:rPr>
                <w:rFonts w:ascii="Arial Narrow" w:hAnsi="Arial Narrow"/>
                <w:b/>
                <w:bCs/>
                <w:color w:val="000000"/>
                <w:sz w:val="16"/>
                <w:szCs w:val="16"/>
              </w:rPr>
              <w:t>1.418</w:t>
            </w:r>
          </w:p>
        </w:tc>
      </w:tr>
      <w:tr w:rsidR="00202F08" w:rsidRPr="00DD28CB" w:rsidTr="0055535D">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202F08" w:rsidRPr="00DD28CB" w:rsidRDefault="00202F08" w:rsidP="0019610E">
            <w:pPr>
              <w:rPr>
                <w:rFonts w:ascii="Arial Narrow" w:hAnsi="Arial Narrow"/>
                <w:sz w:val="16"/>
                <w:szCs w:val="16"/>
              </w:rPr>
            </w:pPr>
            <w:r w:rsidRPr="00DD28CB">
              <w:rPr>
                <w:rFonts w:ascii="Arial Narrow" w:hAnsi="Arial Narrow"/>
                <w:sz w:val="16"/>
                <w:szCs w:val="16"/>
              </w:rPr>
              <w:t>Εισφορά αλληλεγγύης συνταξιούχων (κύρια σύνταξη)</w:t>
            </w:r>
          </w:p>
        </w:tc>
        <w:tc>
          <w:tcPr>
            <w:tcW w:w="1188" w:type="dxa"/>
            <w:tcBorders>
              <w:top w:val="nil"/>
              <w:left w:val="nil"/>
              <w:bottom w:val="nil"/>
              <w:right w:val="nil"/>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Pr>
                <w:rFonts w:ascii="Arial Narrow" w:hAnsi="Arial Narrow"/>
                <w:color w:val="000000"/>
                <w:sz w:val="16"/>
                <w:szCs w:val="16"/>
              </w:rPr>
              <w:t>718</w:t>
            </w:r>
          </w:p>
        </w:tc>
        <w:tc>
          <w:tcPr>
            <w:tcW w:w="1059" w:type="dxa"/>
            <w:tcBorders>
              <w:top w:val="nil"/>
              <w:left w:val="nil"/>
              <w:bottom w:val="nil"/>
              <w:right w:val="single" w:sz="4" w:space="0" w:color="auto"/>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630</w:t>
            </w:r>
          </w:p>
        </w:tc>
      </w:tr>
      <w:tr w:rsidR="00202F08" w:rsidRPr="00DD28CB" w:rsidTr="0055535D">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202F08" w:rsidRPr="00DD28CB" w:rsidRDefault="00202F08" w:rsidP="0019610E">
            <w:pPr>
              <w:rPr>
                <w:rFonts w:ascii="Arial Narrow" w:hAnsi="Arial Narrow"/>
                <w:sz w:val="16"/>
                <w:szCs w:val="16"/>
              </w:rPr>
            </w:pPr>
            <w:r w:rsidRPr="00DD28CB">
              <w:rPr>
                <w:rFonts w:ascii="Arial Narrow" w:hAnsi="Arial Narrow"/>
                <w:sz w:val="16"/>
                <w:szCs w:val="16"/>
              </w:rPr>
              <w:t>Εισφορά αλληλεγγύης συνταξιούχων (επικουρική σύνταξη)</w:t>
            </w:r>
          </w:p>
        </w:tc>
        <w:tc>
          <w:tcPr>
            <w:tcW w:w="1188" w:type="dxa"/>
            <w:tcBorders>
              <w:top w:val="nil"/>
              <w:left w:val="nil"/>
              <w:bottom w:val="nil"/>
              <w:right w:val="nil"/>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20</w:t>
            </w:r>
          </w:p>
        </w:tc>
        <w:tc>
          <w:tcPr>
            <w:tcW w:w="1059" w:type="dxa"/>
            <w:tcBorders>
              <w:top w:val="nil"/>
              <w:left w:val="nil"/>
              <w:bottom w:val="nil"/>
              <w:right w:val="single" w:sz="4" w:space="0" w:color="auto"/>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18</w:t>
            </w:r>
          </w:p>
        </w:tc>
      </w:tr>
      <w:tr w:rsidR="00202F08" w:rsidRPr="00DD28CB" w:rsidTr="0055535D">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202F08" w:rsidRPr="00DD28CB" w:rsidRDefault="00202F08" w:rsidP="00202F08">
            <w:pPr>
              <w:rPr>
                <w:rFonts w:ascii="Arial Narrow" w:hAnsi="Arial Narrow"/>
                <w:sz w:val="16"/>
                <w:szCs w:val="16"/>
              </w:rPr>
            </w:pPr>
            <w:r w:rsidRPr="00DD28CB">
              <w:rPr>
                <w:rFonts w:ascii="Arial Narrow" w:hAnsi="Arial Narrow"/>
                <w:sz w:val="16"/>
                <w:szCs w:val="16"/>
              </w:rPr>
              <w:t>Έσοδα από</w:t>
            </w:r>
            <w:r>
              <w:rPr>
                <w:rFonts w:ascii="Arial Narrow" w:hAnsi="Arial Narrow"/>
                <w:sz w:val="16"/>
                <w:szCs w:val="16"/>
              </w:rPr>
              <w:t xml:space="preserve"> τόκους</w:t>
            </w:r>
            <w:r w:rsidR="004F5A57">
              <w:rPr>
                <w:rFonts w:ascii="Arial Narrow" w:hAnsi="Arial Narrow"/>
                <w:sz w:val="16"/>
                <w:szCs w:val="16"/>
              </w:rPr>
              <w:t xml:space="preserve"> και από προσόδους κινητών αξιών</w:t>
            </w:r>
          </w:p>
        </w:tc>
        <w:tc>
          <w:tcPr>
            <w:tcW w:w="1188" w:type="dxa"/>
            <w:tcBorders>
              <w:top w:val="nil"/>
              <w:left w:val="nil"/>
              <w:bottom w:val="nil"/>
              <w:right w:val="nil"/>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210</w:t>
            </w:r>
          </w:p>
        </w:tc>
        <w:tc>
          <w:tcPr>
            <w:tcW w:w="1059" w:type="dxa"/>
            <w:tcBorders>
              <w:top w:val="nil"/>
              <w:left w:val="nil"/>
              <w:bottom w:val="nil"/>
              <w:right w:val="single" w:sz="4" w:space="0" w:color="auto"/>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230</w:t>
            </w:r>
          </w:p>
        </w:tc>
      </w:tr>
      <w:tr w:rsidR="00202F08" w:rsidRPr="00DD28CB" w:rsidTr="0055535D">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202F08" w:rsidRPr="00202F08" w:rsidRDefault="00202F08" w:rsidP="0019610E">
            <w:pPr>
              <w:rPr>
                <w:rFonts w:ascii="Arial Narrow" w:hAnsi="Arial Narrow"/>
                <w:sz w:val="16"/>
                <w:szCs w:val="16"/>
                <w:vertAlign w:val="superscript"/>
              </w:rPr>
            </w:pPr>
            <w:r>
              <w:rPr>
                <w:rFonts w:ascii="Arial Narrow" w:hAnsi="Arial Narrow"/>
                <w:sz w:val="16"/>
                <w:szCs w:val="16"/>
              </w:rPr>
              <w:t>Μεταβιβάσεις</w:t>
            </w:r>
            <w:r w:rsidRPr="00202F08">
              <w:rPr>
                <w:rFonts w:ascii="Arial Narrow" w:hAnsi="Arial Narrow"/>
                <w:sz w:val="16"/>
                <w:szCs w:val="16"/>
              </w:rPr>
              <w:t xml:space="preserve"> από τον κρατικό προϋπολογισμό (ν. 4254/</w:t>
            </w:r>
            <w:r w:rsidR="00DB0C08">
              <w:rPr>
                <w:rFonts w:ascii="Arial Narrow" w:hAnsi="Arial Narrow"/>
                <w:sz w:val="16"/>
                <w:szCs w:val="16"/>
              </w:rPr>
              <w:t>20</w:t>
            </w:r>
            <w:r w:rsidRPr="00202F08">
              <w:rPr>
                <w:rFonts w:ascii="Arial Narrow" w:hAnsi="Arial Narrow"/>
                <w:sz w:val="16"/>
                <w:szCs w:val="16"/>
              </w:rPr>
              <w:t>14)</w:t>
            </w:r>
          </w:p>
        </w:tc>
        <w:tc>
          <w:tcPr>
            <w:tcW w:w="1188" w:type="dxa"/>
            <w:tcBorders>
              <w:top w:val="nil"/>
              <w:left w:val="nil"/>
              <w:bottom w:val="nil"/>
              <w:right w:val="nil"/>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522</w:t>
            </w:r>
          </w:p>
        </w:tc>
        <w:tc>
          <w:tcPr>
            <w:tcW w:w="1059" w:type="dxa"/>
            <w:tcBorders>
              <w:top w:val="nil"/>
              <w:left w:val="nil"/>
              <w:bottom w:val="nil"/>
              <w:right w:val="single" w:sz="4" w:space="0" w:color="auto"/>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540</w:t>
            </w:r>
          </w:p>
        </w:tc>
      </w:tr>
      <w:tr w:rsidR="00202F08" w:rsidRPr="00DD28CB" w:rsidTr="00C60D1B">
        <w:trPr>
          <w:trHeight w:val="488"/>
          <w:jc w:val="center"/>
        </w:trPr>
        <w:tc>
          <w:tcPr>
            <w:tcW w:w="4948" w:type="dxa"/>
            <w:tcBorders>
              <w:top w:val="nil"/>
              <w:left w:val="single" w:sz="4" w:space="0" w:color="auto"/>
              <w:bottom w:val="nil"/>
              <w:right w:val="nil"/>
            </w:tcBorders>
            <w:shd w:val="clear" w:color="auto" w:fill="D9D9D9" w:themeFill="background1" w:themeFillShade="D9"/>
            <w:noWrap/>
            <w:tcMar>
              <w:left w:w="28" w:type="dxa"/>
              <w:right w:w="28" w:type="dxa"/>
            </w:tcMar>
            <w:vAlign w:val="center"/>
            <w:hideMark/>
          </w:tcPr>
          <w:p w:rsidR="00202F08" w:rsidRPr="00DD28CB" w:rsidRDefault="00202F08" w:rsidP="00D91B78">
            <w:pPr>
              <w:spacing w:before="120" w:after="120"/>
              <w:rPr>
                <w:rFonts w:ascii="Arial Narrow" w:hAnsi="Arial Narrow"/>
                <w:b/>
                <w:bCs/>
                <w:sz w:val="16"/>
                <w:szCs w:val="16"/>
              </w:rPr>
            </w:pPr>
            <w:r w:rsidRPr="00DD28CB">
              <w:rPr>
                <w:rFonts w:ascii="Arial Narrow" w:hAnsi="Arial Narrow"/>
                <w:b/>
                <w:bCs/>
                <w:sz w:val="16"/>
                <w:szCs w:val="16"/>
              </w:rPr>
              <w:t>Δαπάνες</w:t>
            </w:r>
          </w:p>
        </w:tc>
        <w:tc>
          <w:tcPr>
            <w:tcW w:w="1188" w:type="dxa"/>
            <w:tcBorders>
              <w:top w:val="nil"/>
              <w:left w:val="nil"/>
              <w:bottom w:val="nil"/>
              <w:right w:val="nil"/>
            </w:tcBorders>
            <w:shd w:val="clear" w:color="auto" w:fill="D9D9D9" w:themeFill="background1" w:themeFillShade="D9"/>
            <w:tcMar>
              <w:left w:w="28" w:type="dxa"/>
              <w:right w:w="28" w:type="dxa"/>
            </w:tcMar>
            <w:vAlign w:val="center"/>
            <w:hideMark/>
          </w:tcPr>
          <w:p w:rsidR="00202F08" w:rsidRPr="007126DF" w:rsidRDefault="00202F08" w:rsidP="00004244">
            <w:pPr>
              <w:ind w:right="340"/>
              <w:jc w:val="right"/>
              <w:rPr>
                <w:rFonts w:ascii="Arial Narrow" w:hAnsi="Arial Narrow"/>
                <w:b/>
                <w:bCs/>
                <w:color w:val="000000"/>
                <w:sz w:val="16"/>
                <w:szCs w:val="16"/>
              </w:rPr>
            </w:pPr>
            <w:r w:rsidRPr="007126DF">
              <w:rPr>
                <w:rFonts w:ascii="Arial Narrow" w:hAnsi="Arial Narrow"/>
                <w:b/>
                <w:bCs/>
                <w:color w:val="000000"/>
                <w:sz w:val="16"/>
                <w:szCs w:val="16"/>
              </w:rPr>
              <w:t>435</w:t>
            </w:r>
          </w:p>
        </w:tc>
        <w:tc>
          <w:tcPr>
            <w:tcW w:w="1059"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202F08" w:rsidRPr="007126DF" w:rsidRDefault="00DB0C08" w:rsidP="00004244">
            <w:pPr>
              <w:ind w:right="340"/>
              <w:jc w:val="right"/>
              <w:rPr>
                <w:rFonts w:ascii="Arial Narrow" w:hAnsi="Arial Narrow"/>
                <w:b/>
                <w:bCs/>
                <w:color w:val="000000"/>
                <w:sz w:val="16"/>
                <w:szCs w:val="16"/>
              </w:rPr>
            </w:pPr>
            <w:r>
              <w:rPr>
                <w:rFonts w:ascii="Arial Narrow" w:hAnsi="Arial Narrow"/>
                <w:b/>
                <w:bCs/>
                <w:color w:val="000000"/>
                <w:sz w:val="16"/>
                <w:szCs w:val="16"/>
              </w:rPr>
              <w:t>40</w:t>
            </w:r>
          </w:p>
        </w:tc>
      </w:tr>
      <w:tr w:rsidR="00202F08" w:rsidRPr="00202F08" w:rsidTr="00D428E0">
        <w:trPr>
          <w:trHeight w:val="227"/>
          <w:jc w:val="center"/>
        </w:trPr>
        <w:tc>
          <w:tcPr>
            <w:tcW w:w="4948" w:type="dxa"/>
            <w:tcBorders>
              <w:top w:val="nil"/>
              <w:left w:val="single" w:sz="4" w:space="0" w:color="auto"/>
              <w:bottom w:val="nil"/>
              <w:right w:val="nil"/>
            </w:tcBorders>
            <w:noWrap/>
            <w:tcMar>
              <w:left w:w="28" w:type="dxa"/>
              <w:right w:w="28" w:type="dxa"/>
            </w:tcMar>
            <w:vAlign w:val="center"/>
            <w:hideMark/>
          </w:tcPr>
          <w:p w:rsidR="00202F08" w:rsidRPr="00202F08" w:rsidRDefault="00202F08" w:rsidP="0019610E">
            <w:pPr>
              <w:rPr>
                <w:rFonts w:ascii="Arial Narrow" w:hAnsi="Arial Narrow"/>
                <w:sz w:val="16"/>
                <w:szCs w:val="16"/>
              </w:rPr>
            </w:pPr>
            <w:r w:rsidRPr="00202F08">
              <w:rPr>
                <w:rFonts w:ascii="Arial Narrow" w:hAnsi="Arial Narrow"/>
                <w:sz w:val="16"/>
                <w:szCs w:val="16"/>
              </w:rPr>
              <w:t>Μεταβιβάσεις σε ΦΚΑ</w:t>
            </w:r>
          </w:p>
        </w:tc>
        <w:tc>
          <w:tcPr>
            <w:tcW w:w="1188" w:type="dxa"/>
            <w:tcBorders>
              <w:top w:val="nil"/>
              <w:left w:val="nil"/>
              <w:bottom w:val="nil"/>
              <w:right w:val="nil"/>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395</w:t>
            </w:r>
          </w:p>
        </w:tc>
        <w:tc>
          <w:tcPr>
            <w:tcW w:w="1059" w:type="dxa"/>
            <w:tcBorders>
              <w:top w:val="nil"/>
              <w:left w:val="nil"/>
              <w:bottom w:val="nil"/>
              <w:right w:val="single" w:sz="4" w:space="0" w:color="auto"/>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Pr>
                <w:rFonts w:ascii="Arial Narrow" w:hAnsi="Arial Narrow"/>
                <w:color w:val="000000"/>
                <w:sz w:val="16"/>
                <w:szCs w:val="16"/>
              </w:rPr>
              <w:t>0</w:t>
            </w:r>
          </w:p>
        </w:tc>
      </w:tr>
      <w:tr w:rsidR="00202F08" w:rsidRPr="00DD28CB" w:rsidTr="00D428E0">
        <w:trPr>
          <w:trHeight w:val="227"/>
          <w:jc w:val="center"/>
        </w:trPr>
        <w:tc>
          <w:tcPr>
            <w:tcW w:w="4948" w:type="dxa"/>
            <w:tcBorders>
              <w:top w:val="nil"/>
              <w:left w:val="single" w:sz="4" w:space="0" w:color="auto"/>
              <w:bottom w:val="single" w:sz="4" w:space="0" w:color="auto"/>
              <w:right w:val="nil"/>
            </w:tcBorders>
            <w:noWrap/>
            <w:tcMar>
              <w:left w:w="28" w:type="dxa"/>
              <w:right w:w="28" w:type="dxa"/>
            </w:tcMar>
            <w:vAlign w:val="center"/>
            <w:hideMark/>
          </w:tcPr>
          <w:p w:rsidR="00202F08" w:rsidRPr="00202F08" w:rsidRDefault="00202F08" w:rsidP="0019610E">
            <w:pPr>
              <w:rPr>
                <w:rFonts w:ascii="Arial Narrow" w:hAnsi="Arial Narrow"/>
                <w:sz w:val="16"/>
                <w:szCs w:val="16"/>
              </w:rPr>
            </w:pPr>
            <w:r w:rsidRPr="00202F08">
              <w:rPr>
                <w:rFonts w:ascii="Arial Narrow" w:hAnsi="Arial Narrow"/>
                <w:sz w:val="16"/>
                <w:szCs w:val="16"/>
              </w:rPr>
              <w:t>Μεταβιβάσεις για το Πρόγραμμα "Βοήθεια στο σπίτι"</w:t>
            </w:r>
          </w:p>
        </w:tc>
        <w:tc>
          <w:tcPr>
            <w:tcW w:w="1188" w:type="dxa"/>
            <w:tcBorders>
              <w:top w:val="nil"/>
              <w:left w:val="nil"/>
              <w:right w:val="nil"/>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40</w:t>
            </w:r>
          </w:p>
        </w:tc>
        <w:tc>
          <w:tcPr>
            <w:tcW w:w="1059" w:type="dxa"/>
            <w:tcBorders>
              <w:top w:val="nil"/>
              <w:left w:val="nil"/>
              <w:right w:val="single" w:sz="4" w:space="0" w:color="auto"/>
            </w:tcBorders>
            <w:tcMar>
              <w:left w:w="28" w:type="dxa"/>
              <w:right w:w="28" w:type="dxa"/>
            </w:tcMar>
            <w:vAlign w:val="center"/>
            <w:hideMark/>
          </w:tcPr>
          <w:p w:rsidR="00202F08" w:rsidRPr="007126DF" w:rsidRDefault="00202F08" w:rsidP="00004244">
            <w:pPr>
              <w:ind w:right="340"/>
              <w:jc w:val="right"/>
              <w:rPr>
                <w:rFonts w:ascii="Arial Narrow" w:hAnsi="Arial Narrow"/>
                <w:color w:val="000000"/>
                <w:sz w:val="16"/>
                <w:szCs w:val="16"/>
              </w:rPr>
            </w:pPr>
            <w:r w:rsidRPr="007126DF">
              <w:rPr>
                <w:rFonts w:ascii="Arial Narrow" w:hAnsi="Arial Narrow"/>
                <w:color w:val="000000"/>
                <w:sz w:val="16"/>
                <w:szCs w:val="16"/>
              </w:rPr>
              <w:t>40</w:t>
            </w:r>
          </w:p>
        </w:tc>
      </w:tr>
      <w:tr w:rsidR="00202F08" w:rsidRPr="00DD28CB" w:rsidTr="00C60D1B">
        <w:trPr>
          <w:trHeight w:val="20"/>
          <w:jc w:val="center"/>
        </w:trPr>
        <w:tc>
          <w:tcPr>
            <w:tcW w:w="4948" w:type="dxa"/>
            <w:tcBorders>
              <w:top w:val="nil"/>
              <w:left w:val="single" w:sz="4" w:space="0" w:color="auto"/>
              <w:bottom w:val="single" w:sz="4" w:space="0" w:color="auto"/>
              <w:right w:val="nil"/>
            </w:tcBorders>
            <w:shd w:val="clear" w:color="auto" w:fill="D9D9D9" w:themeFill="background1" w:themeFillShade="D9"/>
            <w:noWrap/>
            <w:tcMar>
              <w:left w:w="28" w:type="dxa"/>
              <w:right w:w="28" w:type="dxa"/>
            </w:tcMar>
            <w:vAlign w:val="center"/>
            <w:hideMark/>
          </w:tcPr>
          <w:p w:rsidR="00202F08" w:rsidRPr="00DD28CB" w:rsidRDefault="00202F08" w:rsidP="00D91B78">
            <w:pPr>
              <w:spacing w:before="120" w:after="120"/>
              <w:rPr>
                <w:rFonts w:ascii="Arial Narrow" w:hAnsi="Arial Narrow"/>
                <w:b/>
                <w:bCs/>
                <w:sz w:val="16"/>
                <w:szCs w:val="16"/>
              </w:rPr>
            </w:pPr>
            <w:r w:rsidRPr="00DD28CB">
              <w:rPr>
                <w:rFonts w:ascii="Arial Narrow" w:hAnsi="Arial Narrow"/>
                <w:b/>
                <w:bCs/>
                <w:sz w:val="16"/>
                <w:szCs w:val="16"/>
              </w:rPr>
              <w:t>Ισοζύγιο</w:t>
            </w:r>
            <w:r>
              <w:rPr>
                <w:rFonts w:ascii="Arial Narrow" w:hAnsi="Arial Narrow"/>
                <w:b/>
                <w:bCs/>
                <w:sz w:val="16"/>
                <w:szCs w:val="16"/>
              </w:rPr>
              <w:t xml:space="preserve"> (αποτέλεσμα)</w:t>
            </w:r>
          </w:p>
        </w:tc>
        <w:tc>
          <w:tcPr>
            <w:tcW w:w="1188" w:type="dxa"/>
            <w:tcBorders>
              <w:top w:val="single" w:sz="4" w:space="0" w:color="auto"/>
              <w:left w:val="nil"/>
              <w:bottom w:val="single" w:sz="4" w:space="0" w:color="auto"/>
              <w:right w:val="nil"/>
            </w:tcBorders>
            <w:shd w:val="clear" w:color="auto" w:fill="D9D9D9" w:themeFill="background1" w:themeFillShade="D9"/>
            <w:tcMar>
              <w:left w:w="28" w:type="dxa"/>
              <w:right w:w="28" w:type="dxa"/>
            </w:tcMar>
            <w:vAlign w:val="center"/>
            <w:hideMark/>
          </w:tcPr>
          <w:p w:rsidR="00202F08" w:rsidRPr="007126DF" w:rsidRDefault="00202F08" w:rsidP="00004244">
            <w:pPr>
              <w:ind w:right="340"/>
              <w:jc w:val="right"/>
              <w:rPr>
                <w:rFonts w:ascii="Arial Narrow" w:hAnsi="Arial Narrow"/>
                <w:b/>
                <w:bCs/>
                <w:color w:val="000000"/>
                <w:sz w:val="16"/>
                <w:szCs w:val="16"/>
              </w:rPr>
            </w:pPr>
            <w:r>
              <w:rPr>
                <w:rFonts w:ascii="Arial Narrow" w:hAnsi="Arial Narrow"/>
                <w:b/>
                <w:bCs/>
                <w:color w:val="000000"/>
                <w:sz w:val="16"/>
                <w:szCs w:val="16"/>
              </w:rPr>
              <w:t>1.035</w:t>
            </w:r>
          </w:p>
        </w:tc>
        <w:tc>
          <w:tcPr>
            <w:tcW w:w="1059" w:type="dxa"/>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rsidR="00202F08" w:rsidRPr="007126DF" w:rsidRDefault="00202F08" w:rsidP="00004244">
            <w:pPr>
              <w:ind w:right="340"/>
              <w:jc w:val="right"/>
              <w:rPr>
                <w:rFonts w:ascii="Arial Narrow" w:hAnsi="Arial Narrow"/>
                <w:b/>
                <w:bCs/>
                <w:color w:val="000000"/>
                <w:sz w:val="16"/>
                <w:szCs w:val="16"/>
              </w:rPr>
            </w:pPr>
            <w:r>
              <w:rPr>
                <w:rFonts w:ascii="Arial Narrow" w:hAnsi="Arial Narrow"/>
                <w:b/>
                <w:bCs/>
                <w:color w:val="000000"/>
                <w:sz w:val="16"/>
                <w:szCs w:val="16"/>
              </w:rPr>
              <w:t>1.378</w:t>
            </w:r>
          </w:p>
        </w:tc>
      </w:tr>
    </w:tbl>
    <w:p w:rsidR="00D57B73" w:rsidRPr="00404D75" w:rsidRDefault="00D57B73" w:rsidP="00D57B73">
      <w:pPr>
        <w:jc w:val="both"/>
        <w:rPr>
          <w:sz w:val="22"/>
          <w:szCs w:val="22"/>
        </w:rPr>
      </w:pPr>
    </w:p>
    <w:p w:rsidR="00064257" w:rsidRDefault="00064257">
      <w:pPr>
        <w:rPr>
          <w:bCs/>
          <w:sz w:val="22"/>
          <w:szCs w:val="22"/>
        </w:rPr>
      </w:pPr>
    </w:p>
    <w:p w:rsidR="0019610E" w:rsidRPr="00E36FE7" w:rsidRDefault="0019610E" w:rsidP="0019610E">
      <w:pPr>
        <w:shd w:val="clear" w:color="auto" w:fill="BFBFBF" w:themeFill="background1" w:themeFillShade="BF"/>
        <w:jc w:val="both"/>
        <w:rPr>
          <w:rFonts w:ascii="Arial Narrow" w:hAnsi="Arial Narrow"/>
          <w:b/>
          <w:szCs w:val="22"/>
        </w:rPr>
      </w:pPr>
      <w:r>
        <w:rPr>
          <w:rFonts w:ascii="Arial Narrow" w:hAnsi="Arial Narrow"/>
          <w:b/>
          <w:szCs w:val="22"/>
        </w:rPr>
        <w:t>5.2</w:t>
      </w:r>
      <w:r w:rsidRPr="00E36FE7">
        <w:rPr>
          <w:rFonts w:ascii="Arial Narrow" w:hAnsi="Arial Narrow"/>
          <w:b/>
          <w:szCs w:val="22"/>
        </w:rPr>
        <w:tab/>
      </w:r>
      <w:r w:rsidRPr="0019610E">
        <w:rPr>
          <w:rFonts w:ascii="Arial Narrow" w:hAnsi="Arial Narrow"/>
          <w:b/>
          <w:szCs w:val="22"/>
        </w:rPr>
        <w:t>Δημόσιες Επιχειρήσεις και Οργανισμοί</w:t>
      </w:r>
    </w:p>
    <w:p w:rsidR="0019610E" w:rsidRDefault="0019610E">
      <w:pPr>
        <w:rPr>
          <w:bCs/>
          <w:sz w:val="22"/>
          <w:szCs w:val="22"/>
        </w:rPr>
      </w:pPr>
    </w:p>
    <w:p w:rsidR="00355779" w:rsidRPr="00B34E73" w:rsidRDefault="00355779" w:rsidP="00355779">
      <w:pPr>
        <w:jc w:val="both"/>
        <w:rPr>
          <w:color w:val="000000"/>
          <w:sz w:val="22"/>
          <w:szCs w:val="22"/>
        </w:rPr>
      </w:pPr>
      <w:r w:rsidRPr="00B34E73">
        <w:rPr>
          <w:color w:val="000000"/>
          <w:sz w:val="22"/>
          <w:szCs w:val="22"/>
        </w:rPr>
        <w:t xml:space="preserve">Στον υποτομέα </w:t>
      </w:r>
      <w:r>
        <w:rPr>
          <w:color w:val="000000"/>
          <w:sz w:val="22"/>
          <w:szCs w:val="22"/>
        </w:rPr>
        <w:t xml:space="preserve">των νομικών προσώπων της Κεντρικής Κυβέρνησης </w:t>
      </w:r>
      <w:r w:rsidRPr="00B34E73">
        <w:rPr>
          <w:color w:val="000000"/>
          <w:sz w:val="22"/>
          <w:szCs w:val="22"/>
        </w:rPr>
        <w:t xml:space="preserve">περιλαμβάνονται </w:t>
      </w:r>
      <w:r>
        <w:rPr>
          <w:color w:val="000000"/>
          <w:sz w:val="22"/>
          <w:szCs w:val="22"/>
        </w:rPr>
        <w:t xml:space="preserve">και </w:t>
      </w:r>
      <w:r w:rsidRPr="00B34E73">
        <w:rPr>
          <w:color w:val="000000"/>
          <w:sz w:val="22"/>
          <w:szCs w:val="22"/>
        </w:rPr>
        <w:t xml:space="preserve">οι προϋπολογισμοί των επαναταξινομημένων Δημόσιων Επιχειρήσεων και Οργανισμών, </w:t>
      </w:r>
      <w:r>
        <w:rPr>
          <w:color w:val="000000"/>
          <w:sz w:val="22"/>
          <w:szCs w:val="22"/>
        </w:rPr>
        <w:t>του ΕΛΕΓΕΠ</w:t>
      </w:r>
      <w:r w:rsidRPr="00475880">
        <w:rPr>
          <w:color w:val="000000"/>
          <w:sz w:val="22"/>
          <w:szCs w:val="22"/>
        </w:rPr>
        <w:t xml:space="preserve">, </w:t>
      </w:r>
      <w:r>
        <w:rPr>
          <w:color w:val="000000"/>
          <w:sz w:val="22"/>
          <w:szCs w:val="22"/>
        </w:rPr>
        <w:t>καθώς και των πέντε (5) συμβάσεων παραχώρησης αυτοκινητοδρόμων</w:t>
      </w:r>
      <w:r w:rsidRPr="00B34E73">
        <w:rPr>
          <w:color w:val="000000"/>
          <w:sz w:val="22"/>
          <w:szCs w:val="22"/>
        </w:rPr>
        <w:t>.</w:t>
      </w:r>
      <w:r>
        <w:rPr>
          <w:color w:val="000000"/>
          <w:sz w:val="22"/>
          <w:szCs w:val="22"/>
        </w:rPr>
        <w:t xml:space="preserve"> </w:t>
      </w:r>
      <w:r w:rsidRPr="00B34E73">
        <w:rPr>
          <w:color w:val="000000"/>
          <w:sz w:val="22"/>
          <w:szCs w:val="22"/>
        </w:rPr>
        <w:t>Οι φορείς αυτοί</w:t>
      </w:r>
      <w:r>
        <w:rPr>
          <w:color w:val="000000"/>
          <w:sz w:val="22"/>
          <w:szCs w:val="22"/>
        </w:rPr>
        <w:t>,</w:t>
      </w:r>
      <w:r w:rsidRPr="00B34E73">
        <w:rPr>
          <w:color w:val="000000"/>
          <w:sz w:val="22"/>
          <w:szCs w:val="22"/>
        </w:rPr>
        <w:t xml:space="preserve"> ανά Υπουργείο</w:t>
      </w:r>
      <w:r>
        <w:rPr>
          <w:color w:val="000000"/>
          <w:sz w:val="22"/>
          <w:szCs w:val="22"/>
        </w:rPr>
        <w:t>,</w:t>
      </w:r>
      <w:r w:rsidRPr="00B34E73">
        <w:rPr>
          <w:color w:val="000000"/>
          <w:sz w:val="22"/>
          <w:szCs w:val="22"/>
        </w:rPr>
        <w:t xml:space="preserve"> εμφανίζονται στον πίνακα </w:t>
      </w:r>
      <w:r w:rsidR="003F7271">
        <w:rPr>
          <w:color w:val="000000"/>
          <w:sz w:val="22"/>
          <w:szCs w:val="22"/>
        </w:rPr>
        <w:t>3.21</w:t>
      </w:r>
      <w:r w:rsidRPr="00225D16">
        <w:rPr>
          <w:color w:val="000000"/>
          <w:sz w:val="22"/>
          <w:szCs w:val="22"/>
        </w:rPr>
        <w:t>.</w:t>
      </w:r>
    </w:p>
    <w:p w:rsidR="00355779" w:rsidRPr="00F64770" w:rsidRDefault="00355779" w:rsidP="00355779">
      <w:pPr>
        <w:jc w:val="both"/>
        <w:rPr>
          <w:sz w:val="22"/>
          <w:szCs w:val="22"/>
        </w:rPr>
      </w:pPr>
    </w:p>
    <w:tbl>
      <w:tblPr>
        <w:tblW w:w="8190" w:type="dxa"/>
        <w:jc w:val="center"/>
        <w:tblBorders>
          <w:top w:val="single" w:sz="4" w:space="0" w:color="auto"/>
          <w:left w:val="single" w:sz="4" w:space="0" w:color="auto"/>
          <w:bottom w:val="single" w:sz="4" w:space="0" w:color="auto"/>
          <w:right w:val="single" w:sz="4" w:space="0" w:color="auto"/>
        </w:tblBorders>
        <w:tblLook w:val="04A0"/>
      </w:tblPr>
      <w:tblGrid>
        <w:gridCol w:w="429"/>
        <w:gridCol w:w="7761"/>
      </w:tblGrid>
      <w:tr w:rsidR="00355779" w:rsidTr="00355779">
        <w:trPr>
          <w:trHeight w:val="170"/>
          <w:jc w:val="center"/>
        </w:trPr>
        <w:tc>
          <w:tcPr>
            <w:tcW w:w="8190" w:type="dxa"/>
            <w:gridSpan w:val="2"/>
            <w:tcBorders>
              <w:top w:val="single" w:sz="4" w:space="0" w:color="auto"/>
              <w:left w:val="single" w:sz="4" w:space="0" w:color="auto"/>
              <w:bottom w:val="nil"/>
              <w:right w:val="single" w:sz="4" w:space="0" w:color="auto"/>
            </w:tcBorders>
            <w:shd w:val="clear" w:color="auto" w:fill="404040" w:themeFill="text1" w:themeFillTint="BF"/>
            <w:hideMark/>
          </w:tcPr>
          <w:p w:rsidR="00355779" w:rsidRDefault="00355779" w:rsidP="00355779">
            <w:pPr>
              <w:jc w:val="center"/>
              <w:rPr>
                <w:rFonts w:ascii="Arial Narrow" w:hAnsi="Arial Narrow"/>
                <w:b/>
                <w:bCs/>
                <w:sz w:val="16"/>
                <w:szCs w:val="16"/>
              </w:rPr>
            </w:pPr>
            <w:r>
              <w:rPr>
                <w:rFonts w:ascii="Arial Narrow" w:hAnsi="Arial Narrow" w:cs="Segoe UI"/>
                <w:b/>
                <w:bCs/>
                <w:color w:val="FFFFFF" w:themeColor="background1"/>
                <w:szCs w:val="16"/>
              </w:rPr>
              <w:t xml:space="preserve">Πίνακας </w:t>
            </w:r>
            <w:r w:rsidR="003F7271">
              <w:rPr>
                <w:rFonts w:ascii="Arial Narrow" w:hAnsi="Arial Narrow" w:cs="Segoe UI"/>
                <w:b/>
                <w:bCs/>
                <w:color w:val="FFFFFF" w:themeColor="background1"/>
                <w:szCs w:val="16"/>
              </w:rPr>
              <w:t>3.21</w:t>
            </w:r>
            <w:r>
              <w:rPr>
                <w:rFonts w:ascii="Arial Narrow" w:hAnsi="Arial Narrow" w:cs="Segoe UI"/>
                <w:b/>
                <w:bCs/>
                <w:color w:val="FFFFFF" w:themeColor="background1"/>
                <w:szCs w:val="16"/>
              </w:rPr>
              <w:t xml:space="preserve">   ΔΕΚΟ ανά Υπουργείο</w:t>
            </w:r>
          </w:p>
        </w:tc>
      </w:tr>
      <w:tr w:rsidR="00355779" w:rsidRPr="003A156E" w:rsidTr="00355779">
        <w:trPr>
          <w:trHeight w:val="113"/>
          <w:jc w:val="center"/>
        </w:trPr>
        <w:tc>
          <w:tcPr>
            <w:tcW w:w="8190" w:type="dxa"/>
            <w:gridSpan w:val="2"/>
            <w:tcBorders>
              <w:top w:val="nil"/>
              <w:left w:val="single" w:sz="4" w:space="0" w:color="auto"/>
              <w:bottom w:val="nil"/>
              <w:right w:val="single" w:sz="4" w:space="0" w:color="auto"/>
            </w:tcBorders>
            <w:hideMark/>
          </w:tcPr>
          <w:p w:rsidR="00355779" w:rsidRPr="003A156E" w:rsidRDefault="00355779" w:rsidP="00355779">
            <w:pPr>
              <w:spacing w:line="235" w:lineRule="auto"/>
              <w:rPr>
                <w:rFonts w:ascii="Arial Narrow" w:eastAsiaTheme="minorEastAsia" w:hAnsi="Arial Narrow" w:cstheme="minorBidi"/>
                <w:sz w:val="16"/>
                <w:szCs w:val="22"/>
              </w:rPr>
            </w:pP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1</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Υπουργείο Διοικητικής Ανασυγκρότησης</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Κοινωνία της Πληροφορίας (ΚτΠ) ΑΕ</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2</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 xml:space="preserve">Υπουργείο Εθνικής Άμυνας </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Pr="008205A3"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Ελληνικά Αμυντικά Συστήματα (ΕΑΣ) ΑΒΕΕ</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3</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 xml:space="preserve">Υπουργείο Υγείας </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Κέντρο Ελέγχου και Πρόληψης Νοσημάτων (ΚΕΕΛΠΝΟ)</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4</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Υπουργείο Οικονομικών</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Ελληνική Αεροπορική Βιομηχανία (ΕΑΒ) ΑΕ</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5</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Υπουργείο Αγροτικής Ανάπτυξης και Τροφίμων</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Οργανισμός Ελληνικών Γεωργικών Ασφαλίσεων (ΕΛΓΑ)</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Οργανισμός Πληρωμών και Ελέγχου Κοινοτικών Ενισχύσεων Προσανατολισμού και Εγγυήσεων (ΟΠΕΚΕΠΕ)</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Ειδικός Λογαριασμός Εγγυήσεων Γεωργικών Προϊόντων (ΕΛΕΓΕΠ)</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6</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Υπουργείο Περιβάλλοντος και Ενέργειας</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Πράσινο Ταμείο</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7</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Υπουργείο Οικονομίας και Ανάπτυξης</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Μονάδα Οργάνωσης της Διαχείρισης Αναπτυξιακών Προγραμμάτων (ΜΟΔ) ΑΕ</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8</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Υπουργείο Υποδομών και Μεταφορών</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ΑΤΤΙΚΟ ΜΕΤΡΟ ΑΕ</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ΟΣΕ ΑΕ</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ΕΡΓΟΣΕ ΑΕ</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 xml:space="preserve">Ελληνική Εταιρεία Συντήρησης Σιδηροδρομικού Τροχαίου Υλικού (ΕΕΣΣΤΥ) ΑΕ </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Οργανισμός Αστικών Συγκοινωνιών Αθηνών (ΟΑΣΑ) ΑΕ</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 xml:space="preserve">Οδικές Συγκοινωνίες (ΟΣΥ) ΑΕ </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Σταθερές Συγκοινωνίες (ΣΤΑΣΥ) ΑΕ</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 xml:space="preserve">ΕΓΝΑΤΙΑ ΟΔΟΣ ΑΕ </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Pr="008205A3"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Οργανισμός Αστικών Συγκοινωνιών Θεσσαλονίκης (ΟΑΣΘ)</w:t>
            </w:r>
            <w:r w:rsidRPr="008205A3">
              <w:rPr>
                <w:rFonts w:ascii="Arial Narrow" w:hAnsi="Arial Narrow"/>
                <w:i/>
                <w:iCs/>
                <w:sz w:val="16"/>
                <w:szCs w:val="16"/>
              </w:rPr>
              <w:t xml:space="preserve"> </w:t>
            </w:r>
            <w:r>
              <w:rPr>
                <w:rFonts w:ascii="Arial Narrow" w:hAnsi="Arial Narrow"/>
                <w:i/>
                <w:iCs/>
                <w:sz w:val="16"/>
                <w:szCs w:val="16"/>
              </w:rPr>
              <w:t xml:space="preserve">υπό εκκαθάριση </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Συμβάσεις παραχώρησης αυτοκινητοδρόμων</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9</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Υπουργείο Τουρισμού</w:t>
            </w:r>
          </w:p>
        </w:tc>
      </w:tr>
      <w:tr w:rsidR="00355779" w:rsidTr="00355779">
        <w:trPr>
          <w:trHeight w:val="113"/>
          <w:jc w:val="center"/>
        </w:trPr>
        <w:tc>
          <w:tcPr>
            <w:tcW w:w="429" w:type="dxa"/>
            <w:tcBorders>
              <w:top w:val="nil"/>
              <w:left w:val="single" w:sz="4" w:space="0" w:color="auto"/>
              <w:bottom w:val="nil"/>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nil"/>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Ελληνικός Οργανισμός Τουρισμού (ΕΟΤ)</w:t>
            </w:r>
          </w:p>
        </w:tc>
      </w:tr>
      <w:tr w:rsidR="00355779" w:rsidTr="00C60D1B">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355779" w:rsidRDefault="00355779" w:rsidP="00355779">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10</w:t>
            </w:r>
          </w:p>
        </w:tc>
        <w:tc>
          <w:tcPr>
            <w:tcW w:w="7761"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spacing w:line="228" w:lineRule="auto"/>
              <w:contextualSpacing/>
              <w:rPr>
                <w:rFonts w:ascii="Arial Narrow" w:hAnsi="Arial Narrow"/>
                <w:b/>
                <w:bCs/>
                <w:sz w:val="16"/>
                <w:szCs w:val="16"/>
              </w:rPr>
            </w:pPr>
            <w:r>
              <w:rPr>
                <w:rFonts w:ascii="Arial Narrow" w:hAnsi="Arial Narrow"/>
                <w:b/>
                <w:bCs/>
                <w:sz w:val="16"/>
                <w:szCs w:val="16"/>
              </w:rPr>
              <w:t>Υπουργείο Ψηφιακής Πολιτικής, Τηλεπικοινωνιών και Ενημέρωσης</w:t>
            </w:r>
          </w:p>
        </w:tc>
      </w:tr>
      <w:tr w:rsidR="00355779" w:rsidTr="00355779">
        <w:trPr>
          <w:trHeight w:val="113"/>
          <w:jc w:val="center"/>
        </w:trPr>
        <w:tc>
          <w:tcPr>
            <w:tcW w:w="429" w:type="dxa"/>
            <w:tcBorders>
              <w:top w:val="nil"/>
              <w:left w:val="single" w:sz="4" w:space="0" w:color="auto"/>
              <w:bottom w:val="single" w:sz="4" w:space="0" w:color="auto"/>
              <w:right w:val="nil"/>
            </w:tcBorders>
            <w:hideMark/>
          </w:tcPr>
          <w:p w:rsidR="00355779" w:rsidRDefault="00355779" w:rsidP="00355779">
            <w:pPr>
              <w:spacing w:line="228" w:lineRule="auto"/>
              <w:contextualSpacing/>
              <w:rPr>
                <w:rFonts w:asciiTheme="minorHAnsi" w:eastAsiaTheme="minorEastAsia" w:hAnsiTheme="minorHAnsi" w:cstheme="minorBidi"/>
                <w:sz w:val="22"/>
                <w:szCs w:val="22"/>
              </w:rPr>
            </w:pPr>
          </w:p>
        </w:tc>
        <w:tc>
          <w:tcPr>
            <w:tcW w:w="7761" w:type="dxa"/>
            <w:tcBorders>
              <w:top w:val="nil"/>
              <w:left w:val="nil"/>
              <w:bottom w:val="single" w:sz="4" w:space="0" w:color="auto"/>
              <w:right w:val="single" w:sz="4" w:space="0" w:color="auto"/>
            </w:tcBorders>
            <w:vAlign w:val="center"/>
            <w:hideMark/>
          </w:tcPr>
          <w:p w:rsidR="00355779" w:rsidRDefault="00355779" w:rsidP="00355779">
            <w:pPr>
              <w:spacing w:line="228" w:lineRule="auto"/>
              <w:contextualSpacing/>
              <w:rPr>
                <w:rFonts w:ascii="Arial Narrow" w:hAnsi="Arial Narrow"/>
                <w:i/>
                <w:iCs/>
                <w:sz w:val="16"/>
                <w:szCs w:val="16"/>
              </w:rPr>
            </w:pPr>
            <w:r>
              <w:rPr>
                <w:rFonts w:ascii="Arial Narrow" w:hAnsi="Arial Narrow"/>
                <w:i/>
                <w:iCs/>
                <w:sz w:val="16"/>
                <w:szCs w:val="16"/>
              </w:rPr>
              <w:t>Ελληνική Ραδιοφωνία Τηλεόραση (ΕΡΤ) ΑΕ</w:t>
            </w:r>
          </w:p>
        </w:tc>
      </w:tr>
    </w:tbl>
    <w:p w:rsidR="00355779" w:rsidRPr="00064BC0" w:rsidRDefault="00355779" w:rsidP="00355779">
      <w:pPr>
        <w:jc w:val="both"/>
        <w:rPr>
          <w:sz w:val="22"/>
          <w:szCs w:val="22"/>
        </w:rPr>
      </w:pPr>
    </w:p>
    <w:p w:rsidR="00355779" w:rsidRDefault="00355779" w:rsidP="00355779">
      <w:pPr>
        <w:jc w:val="both"/>
        <w:rPr>
          <w:sz w:val="22"/>
          <w:szCs w:val="22"/>
        </w:rPr>
      </w:pPr>
      <w:r w:rsidRPr="002441AA">
        <w:rPr>
          <w:sz w:val="22"/>
          <w:szCs w:val="22"/>
        </w:rPr>
        <w:t xml:space="preserve">Στον πίνακα </w:t>
      </w:r>
      <w:r w:rsidR="003F7271">
        <w:rPr>
          <w:sz w:val="22"/>
          <w:szCs w:val="22"/>
        </w:rPr>
        <w:t>3.22</w:t>
      </w:r>
      <w:r w:rsidRPr="002441AA">
        <w:rPr>
          <w:sz w:val="22"/>
          <w:szCs w:val="22"/>
        </w:rPr>
        <w:t xml:space="preserve"> </w:t>
      </w:r>
      <w:r w:rsidRPr="00423E51">
        <w:rPr>
          <w:sz w:val="22"/>
          <w:szCs w:val="22"/>
        </w:rPr>
        <w:t>αποτυπώνονται τα συνολικά οικονομικά μεγέθη των προϋπολογισμών των ανωτέρω φορέων για τα έτη</w:t>
      </w:r>
      <w:r w:rsidRPr="002441AA">
        <w:rPr>
          <w:sz w:val="22"/>
          <w:szCs w:val="22"/>
        </w:rPr>
        <w:t xml:space="preserve"> 2018 και 2019, ενώ στον </w:t>
      </w:r>
      <w:r w:rsidRPr="00225D16">
        <w:rPr>
          <w:sz w:val="22"/>
          <w:szCs w:val="22"/>
        </w:rPr>
        <w:t xml:space="preserve">πίνακα </w:t>
      </w:r>
      <w:r w:rsidR="003F7271">
        <w:rPr>
          <w:sz w:val="22"/>
          <w:szCs w:val="22"/>
        </w:rPr>
        <w:t>3.23</w:t>
      </w:r>
      <w:r w:rsidRPr="002441AA">
        <w:rPr>
          <w:sz w:val="22"/>
          <w:szCs w:val="22"/>
        </w:rPr>
        <w:t xml:space="preserve"> απεικονίζεται το ισοζύγιό τους ανά υπουργείο, σύμφωνα με την μεθοδολογία Ε</w:t>
      </w:r>
      <w:r w:rsidRPr="002441AA">
        <w:rPr>
          <w:sz w:val="22"/>
          <w:szCs w:val="22"/>
          <w:lang w:val="en-US"/>
        </w:rPr>
        <w:t>S</w:t>
      </w:r>
      <w:r w:rsidRPr="002441AA">
        <w:rPr>
          <w:sz w:val="22"/>
          <w:szCs w:val="22"/>
        </w:rPr>
        <w:t>Α.</w:t>
      </w:r>
    </w:p>
    <w:p w:rsidR="00355779" w:rsidRPr="002441AA" w:rsidRDefault="00355779" w:rsidP="00355779">
      <w:pPr>
        <w:jc w:val="both"/>
        <w:rPr>
          <w:sz w:val="22"/>
          <w:szCs w:val="22"/>
        </w:rPr>
      </w:pPr>
      <w:r w:rsidRPr="00F4508B">
        <w:rPr>
          <w:sz w:val="22"/>
          <w:szCs w:val="22"/>
          <w:highlight w:val="cyan"/>
        </w:rPr>
        <w:t xml:space="preserve"> </w:t>
      </w:r>
    </w:p>
    <w:tbl>
      <w:tblPr>
        <w:tblW w:w="7550"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1412"/>
        <w:gridCol w:w="1288"/>
      </w:tblGrid>
      <w:tr w:rsidR="00355779" w:rsidRPr="00D30E0A" w:rsidTr="00355779">
        <w:tc>
          <w:tcPr>
            <w:tcW w:w="7550" w:type="dxa"/>
            <w:gridSpan w:val="3"/>
            <w:tcBorders>
              <w:top w:val="single" w:sz="4" w:space="0" w:color="auto"/>
              <w:bottom w:val="nil"/>
            </w:tcBorders>
            <w:shd w:val="clear" w:color="auto" w:fill="404040"/>
            <w:noWrap/>
          </w:tcPr>
          <w:p w:rsidR="00355779" w:rsidRPr="00D30E0A" w:rsidRDefault="00355779" w:rsidP="00355779">
            <w:pPr>
              <w:jc w:val="center"/>
              <w:rPr>
                <w:rFonts w:ascii="Arial Narrow" w:hAnsi="Arial Narrow"/>
                <w:b/>
                <w:color w:val="FFFFFF"/>
                <w:szCs w:val="16"/>
              </w:rPr>
            </w:pPr>
            <w:r w:rsidRPr="00D30E0A">
              <w:rPr>
                <w:rFonts w:ascii="Arial Narrow" w:hAnsi="Arial Narrow"/>
                <w:b/>
                <w:color w:val="FFFFFF"/>
                <w:szCs w:val="16"/>
              </w:rPr>
              <w:t xml:space="preserve">Πίνακας </w:t>
            </w:r>
            <w:r w:rsidR="003F7271">
              <w:rPr>
                <w:rFonts w:ascii="Arial Narrow" w:hAnsi="Arial Narrow"/>
                <w:b/>
                <w:color w:val="FFFFFF"/>
                <w:szCs w:val="16"/>
              </w:rPr>
              <w:t>3.22</w:t>
            </w:r>
            <w:r w:rsidRPr="00D30E0A">
              <w:rPr>
                <w:rFonts w:ascii="Arial Narrow" w:hAnsi="Arial Narrow"/>
                <w:b/>
                <w:color w:val="FFFFFF"/>
                <w:szCs w:val="16"/>
              </w:rPr>
              <w:t xml:space="preserve">  Προϋπολογισμός ΔΕΚΟ κατά Ε</w:t>
            </w:r>
            <w:r w:rsidRPr="00D30E0A">
              <w:rPr>
                <w:rFonts w:ascii="Arial Narrow" w:hAnsi="Arial Narrow"/>
                <w:b/>
                <w:color w:val="FFFFFF"/>
                <w:szCs w:val="16"/>
                <w:lang w:val="en-US"/>
              </w:rPr>
              <w:t>SA</w:t>
            </w:r>
          </w:p>
          <w:p w:rsidR="00355779" w:rsidRPr="00D30E0A" w:rsidRDefault="00355779" w:rsidP="00355779">
            <w:pPr>
              <w:jc w:val="center"/>
              <w:rPr>
                <w:rFonts w:ascii="Arial Narrow" w:hAnsi="Arial Narrow"/>
                <w:b/>
                <w:color w:val="FFFFFF"/>
                <w:szCs w:val="16"/>
              </w:rPr>
            </w:pPr>
            <w:r w:rsidRPr="00D30E0A">
              <w:rPr>
                <w:rFonts w:ascii="Arial Narrow" w:hAnsi="Arial Narrow"/>
                <w:b/>
                <w:color w:val="FFFFFF"/>
                <w:szCs w:val="16"/>
              </w:rPr>
              <w:t>(σε εκατ. ευρώ)</w:t>
            </w:r>
          </w:p>
        </w:tc>
      </w:tr>
      <w:tr w:rsidR="00355779" w:rsidRPr="00D30E0A" w:rsidTr="00355779">
        <w:tc>
          <w:tcPr>
            <w:tcW w:w="7550" w:type="dxa"/>
            <w:gridSpan w:val="3"/>
            <w:tcBorders>
              <w:top w:val="nil"/>
              <w:bottom w:val="nil"/>
            </w:tcBorders>
            <w:shd w:val="clear" w:color="auto" w:fill="auto"/>
            <w:noWrap/>
          </w:tcPr>
          <w:p w:rsidR="00355779" w:rsidRPr="00D30E0A" w:rsidRDefault="00355779" w:rsidP="00355779">
            <w:pPr>
              <w:ind w:right="907"/>
              <w:jc w:val="right"/>
              <w:rPr>
                <w:rFonts w:ascii="Arial Narrow" w:hAnsi="Arial Narrow"/>
                <w:sz w:val="12"/>
                <w:szCs w:val="16"/>
                <w:highlight w:val="yellow"/>
              </w:rPr>
            </w:pPr>
          </w:p>
        </w:tc>
      </w:tr>
      <w:tr w:rsidR="00355779" w:rsidRPr="00D30E0A" w:rsidTr="00355779">
        <w:tc>
          <w:tcPr>
            <w:tcW w:w="4850" w:type="dxa"/>
            <w:tcBorders>
              <w:bottom w:val="single" w:sz="4" w:space="0" w:color="auto"/>
            </w:tcBorders>
            <w:shd w:val="clear" w:color="auto" w:fill="auto"/>
            <w:noWrap/>
          </w:tcPr>
          <w:p w:rsidR="00355779" w:rsidRPr="00D30E0A" w:rsidRDefault="00355779" w:rsidP="00355779">
            <w:pPr>
              <w:ind w:right="170"/>
              <w:jc w:val="both"/>
              <w:rPr>
                <w:rFonts w:ascii="Arial Narrow" w:hAnsi="Arial Narrow"/>
                <w:b/>
                <w:bCs/>
                <w:sz w:val="16"/>
                <w:szCs w:val="16"/>
                <w:highlight w:val="yellow"/>
              </w:rPr>
            </w:pPr>
          </w:p>
        </w:tc>
        <w:tc>
          <w:tcPr>
            <w:tcW w:w="1412" w:type="dxa"/>
            <w:tcBorders>
              <w:bottom w:val="single" w:sz="4" w:space="0" w:color="auto"/>
            </w:tcBorders>
            <w:shd w:val="clear" w:color="auto" w:fill="auto"/>
          </w:tcPr>
          <w:p w:rsidR="00355779" w:rsidRPr="007631AC" w:rsidRDefault="00355779" w:rsidP="00355779">
            <w:pPr>
              <w:jc w:val="center"/>
              <w:rPr>
                <w:rFonts w:ascii="Arial Narrow" w:hAnsi="Arial Narrow"/>
                <w:b/>
                <w:bCs/>
                <w:sz w:val="16"/>
                <w:szCs w:val="16"/>
                <w:lang w:val="en-US"/>
              </w:rPr>
            </w:pPr>
            <w:r w:rsidRPr="007631AC">
              <w:rPr>
                <w:rFonts w:ascii="Arial Narrow" w:hAnsi="Arial Narrow"/>
                <w:b/>
                <w:bCs/>
                <w:sz w:val="16"/>
                <w:szCs w:val="16"/>
              </w:rPr>
              <w:t>2018</w:t>
            </w:r>
          </w:p>
          <w:p w:rsidR="00355779" w:rsidRPr="007631AC" w:rsidRDefault="00355779" w:rsidP="00355779">
            <w:pPr>
              <w:jc w:val="center"/>
              <w:rPr>
                <w:rFonts w:ascii="Arial Narrow" w:hAnsi="Arial Narrow"/>
                <w:b/>
                <w:bCs/>
                <w:sz w:val="16"/>
                <w:szCs w:val="16"/>
              </w:rPr>
            </w:pPr>
            <w:r w:rsidRPr="007631AC">
              <w:rPr>
                <w:rFonts w:ascii="Arial Narrow" w:hAnsi="Arial Narrow"/>
                <w:b/>
                <w:bCs/>
                <w:sz w:val="16"/>
                <w:szCs w:val="16"/>
              </w:rPr>
              <w:t>Εκτιμήσεις</w:t>
            </w:r>
          </w:p>
        </w:tc>
        <w:tc>
          <w:tcPr>
            <w:tcW w:w="1288" w:type="dxa"/>
            <w:tcBorders>
              <w:bottom w:val="single" w:sz="4" w:space="0" w:color="auto"/>
            </w:tcBorders>
            <w:shd w:val="clear" w:color="auto" w:fill="auto"/>
          </w:tcPr>
          <w:p w:rsidR="00355779" w:rsidRPr="007631AC" w:rsidRDefault="00355779" w:rsidP="00355779">
            <w:pPr>
              <w:jc w:val="center"/>
              <w:rPr>
                <w:rFonts w:ascii="Arial Narrow" w:hAnsi="Arial Narrow"/>
                <w:b/>
                <w:bCs/>
                <w:sz w:val="16"/>
                <w:szCs w:val="16"/>
                <w:lang w:val="en-US"/>
              </w:rPr>
            </w:pPr>
            <w:r w:rsidRPr="007631AC">
              <w:rPr>
                <w:rFonts w:ascii="Arial Narrow" w:hAnsi="Arial Narrow"/>
                <w:b/>
                <w:bCs/>
                <w:sz w:val="16"/>
                <w:szCs w:val="16"/>
              </w:rPr>
              <w:t>2019</w:t>
            </w:r>
          </w:p>
          <w:p w:rsidR="00355779" w:rsidRPr="007631AC" w:rsidRDefault="00355779" w:rsidP="00355779">
            <w:pPr>
              <w:jc w:val="center"/>
              <w:rPr>
                <w:rFonts w:ascii="Arial Narrow" w:hAnsi="Arial Narrow"/>
                <w:b/>
                <w:bCs/>
                <w:sz w:val="16"/>
                <w:szCs w:val="16"/>
              </w:rPr>
            </w:pPr>
            <w:r w:rsidRPr="007631AC">
              <w:rPr>
                <w:rFonts w:ascii="Arial Narrow" w:hAnsi="Arial Narrow"/>
                <w:b/>
                <w:bCs/>
                <w:sz w:val="16"/>
                <w:szCs w:val="16"/>
              </w:rPr>
              <w:t>Προβλέψεις</w:t>
            </w:r>
          </w:p>
        </w:tc>
      </w:tr>
      <w:tr w:rsidR="00355779" w:rsidRPr="00D30E0A" w:rsidTr="005170C4">
        <w:tc>
          <w:tcPr>
            <w:tcW w:w="4850" w:type="dxa"/>
            <w:tcBorders>
              <w:bottom w:val="nil"/>
              <w:right w:val="nil"/>
            </w:tcBorders>
            <w:shd w:val="clear" w:color="auto" w:fill="D9D9D9" w:themeFill="background1" w:themeFillShade="D9"/>
            <w:noWrap/>
            <w:vAlign w:val="center"/>
          </w:tcPr>
          <w:p w:rsidR="00355779" w:rsidRPr="007631AC" w:rsidRDefault="00355779" w:rsidP="00355779">
            <w:pPr>
              <w:spacing w:line="228" w:lineRule="auto"/>
              <w:rPr>
                <w:rFonts w:ascii="Arial Narrow" w:hAnsi="Arial Narrow"/>
                <w:b/>
                <w:bCs/>
                <w:sz w:val="16"/>
                <w:szCs w:val="16"/>
              </w:rPr>
            </w:pPr>
            <w:r w:rsidRPr="007631AC">
              <w:rPr>
                <w:rFonts w:ascii="Arial Narrow" w:hAnsi="Arial Narrow"/>
                <w:b/>
                <w:bCs/>
                <w:sz w:val="16"/>
                <w:szCs w:val="16"/>
              </w:rPr>
              <w:t>Έσοδα</w:t>
            </w:r>
          </w:p>
        </w:tc>
        <w:tc>
          <w:tcPr>
            <w:tcW w:w="1412" w:type="dxa"/>
            <w:tcBorders>
              <w:left w:val="nil"/>
              <w:bottom w:val="nil"/>
              <w:right w:val="nil"/>
            </w:tcBorders>
            <w:shd w:val="clear" w:color="auto" w:fill="D9D9D9" w:themeFill="background1" w:themeFillShade="D9"/>
            <w:vAlign w:val="center"/>
          </w:tcPr>
          <w:p w:rsidR="00355779" w:rsidRPr="007631AC" w:rsidRDefault="00355779" w:rsidP="008319D3">
            <w:pPr>
              <w:spacing w:line="228" w:lineRule="auto"/>
              <w:ind w:right="397"/>
              <w:jc w:val="right"/>
              <w:rPr>
                <w:rFonts w:ascii="Arial Narrow" w:hAnsi="Arial Narrow"/>
                <w:b/>
                <w:bCs/>
                <w:color w:val="000000"/>
                <w:sz w:val="16"/>
                <w:szCs w:val="16"/>
                <w:lang w:val="en-US"/>
              </w:rPr>
            </w:pPr>
            <w:r w:rsidRPr="007631AC">
              <w:rPr>
                <w:rFonts w:ascii="Arial Narrow" w:hAnsi="Arial Narrow"/>
                <w:b/>
                <w:bCs/>
                <w:color w:val="000000"/>
                <w:sz w:val="16"/>
                <w:szCs w:val="16"/>
              </w:rPr>
              <w:t>3.452</w:t>
            </w:r>
          </w:p>
        </w:tc>
        <w:tc>
          <w:tcPr>
            <w:tcW w:w="1288" w:type="dxa"/>
            <w:tcBorders>
              <w:left w:val="nil"/>
              <w:bottom w:val="nil"/>
            </w:tcBorders>
            <w:shd w:val="clear" w:color="auto" w:fill="D9D9D9" w:themeFill="background1" w:themeFillShade="D9"/>
            <w:vAlign w:val="center"/>
          </w:tcPr>
          <w:p w:rsidR="00355779" w:rsidRPr="009B56E6" w:rsidRDefault="00355779" w:rsidP="00355779">
            <w:pPr>
              <w:spacing w:line="228" w:lineRule="auto"/>
              <w:ind w:right="376"/>
              <w:jc w:val="right"/>
              <w:rPr>
                <w:rFonts w:ascii="Arial Narrow" w:hAnsi="Arial Narrow"/>
                <w:b/>
                <w:bCs/>
                <w:color w:val="000000"/>
                <w:sz w:val="16"/>
                <w:szCs w:val="16"/>
              </w:rPr>
            </w:pPr>
            <w:r w:rsidRPr="009B56E6">
              <w:rPr>
                <w:rFonts w:ascii="Arial Narrow" w:hAnsi="Arial Narrow"/>
                <w:b/>
                <w:bCs/>
                <w:color w:val="000000"/>
                <w:sz w:val="16"/>
                <w:szCs w:val="16"/>
              </w:rPr>
              <w:t>2.988</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Έσοδα από πωλήσεις</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lang w:val="en-US"/>
              </w:rPr>
            </w:pPr>
            <w:r w:rsidRPr="007631AC">
              <w:rPr>
                <w:rFonts w:ascii="Arial Narrow" w:hAnsi="Arial Narrow"/>
                <w:color w:val="000000"/>
                <w:sz w:val="16"/>
                <w:szCs w:val="16"/>
              </w:rPr>
              <w:t>1.073</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1.185</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Έσοδα από τόκους</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lang w:val="en-US"/>
              </w:rPr>
            </w:pPr>
            <w:r w:rsidRPr="007631AC">
              <w:rPr>
                <w:rFonts w:ascii="Arial Narrow" w:hAnsi="Arial Narrow"/>
                <w:color w:val="000000"/>
                <w:sz w:val="16"/>
                <w:szCs w:val="16"/>
              </w:rPr>
              <w:t>118</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90</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Μεταβιβάσεις από Τακτικό Προϋπολογισμό</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lang w:val="en-US"/>
              </w:rPr>
            </w:pPr>
            <w:r w:rsidRPr="007631AC">
              <w:rPr>
                <w:rFonts w:ascii="Arial Narrow" w:hAnsi="Arial Narrow"/>
                <w:color w:val="000000"/>
                <w:sz w:val="16"/>
                <w:szCs w:val="16"/>
              </w:rPr>
              <w:t>365</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392</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Μεταβιβάσεις από ΠΔΕ</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lang w:val="en-US"/>
              </w:rPr>
            </w:pPr>
            <w:r w:rsidRPr="007631AC">
              <w:rPr>
                <w:rFonts w:ascii="Arial Narrow" w:hAnsi="Arial Narrow"/>
                <w:color w:val="000000"/>
                <w:sz w:val="16"/>
                <w:szCs w:val="16"/>
              </w:rPr>
              <w:t>1.424</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844</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Λοιπά έσοδα</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lang w:val="en-US"/>
              </w:rPr>
            </w:pPr>
            <w:r w:rsidRPr="007631AC">
              <w:rPr>
                <w:rFonts w:ascii="Arial Narrow" w:hAnsi="Arial Narrow"/>
                <w:color w:val="000000"/>
                <w:sz w:val="16"/>
                <w:szCs w:val="16"/>
              </w:rPr>
              <w:t>472</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478</w:t>
            </w:r>
          </w:p>
        </w:tc>
      </w:tr>
      <w:tr w:rsidR="00355779" w:rsidRPr="00D30E0A" w:rsidTr="005170C4">
        <w:tc>
          <w:tcPr>
            <w:tcW w:w="4850" w:type="dxa"/>
            <w:tcBorders>
              <w:top w:val="nil"/>
              <w:bottom w:val="nil"/>
              <w:right w:val="nil"/>
            </w:tcBorders>
            <w:shd w:val="clear" w:color="auto" w:fill="D9D9D9" w:themeFill="background1" w:themeFillShade="D9"/>
            <w:noWrap/>
            <w:vAlign w:val="center"/>
          </w:tcPr>
          <w:p w:rsidR="00355779" w:rsidRPr="007631AC" w:rsidRDefault="00355779" w:rsidP="00355779">
            <w:pPr>
              <w:spacing w:line="228" w:lineRule="auto"/>
              <w:rPr>
                <w:rFonts w:ascii="Arial Narrow" w:hAnsi="Arial Narrow"/>
                <w:b/>
                <w:bCs/>
                <w:sz w:val="16"/>
                <w:szCs w:val="16"/>
              </w:rPr>
            </w:pPr>
            <w:r w:rsidRPr="007631AC">
              <w:rPr>
                <w:rFonts w:ascii="Arial Narrow" w:hAnsi="Arial Narrow"/>
                <w:b/>
                <w:bCs/>
                <w:sz w:val="16"/>
                <w:szCs w:val="16"/>
              </w:rPr>
              <w:t xml:space="preserve">Δαπάνες </w:t>
            </w:r>
          </w:p>
        </w:tc>
        <w:tc>
          <w:tcPr>
            <w:tcW w:w="1412" w:type="dxa"/>
            <w:tcBorders>
              <w:top w:val="nil"/>
              <w:left w:val="nil"/>
              <w:bottom w:val="nil"/>
              <w:right w:val="nil"/>
            </w:tcBorders>
            <w:shd w:val="clear" w:color="auto" w:fill="D9D9D9" w:themeFill="background1" w:themeFillShade="D9"/>
            <w:vAlign w:val="center"/>
          </w:tcPr>
          <w:p w:rsidR="00355779" w:rsidRPr="007631AC" w:rsidRDefault="00355779" w:rsidP="008319D3">
            <w:pPr>
              <w:spacing w:line="228" w:lineRule="auto"/>
              <w:ind w:right="397"/>
              <w:jc w:val="right"/>
              <w:rPr>
                <w:rFonts w:ascii="Arial Narrow" w:hAnsi="Arial Narrow"/>
                <w:b/>
                <w:bCs/>
                <w:color w:val="000000"/>
                <w:sz w:val="16"/>
                <w:szCs w:val="16"/>
                <w:lang w:val="en-US"/>
              </w:rPr>
            </w:pPr>
            <w:r>
              <w:rPr>
                <w:rFonts w:ascii="Arial Narrow" w:hAnsi="Arial Narrow"/>
                <w:b/>
                <w:bCs/>
                <w:color w:val="000000"/>
                <w:sz w:val="16"/>
                <w:szCs w:val="16"/>
              </w:rPr>
              <w:t>2.826</w:t>
            </w:r>
          </w:p>
        </w:tc>
        <w:tc>
          <w:tcPr>
            <w:tcW w:w="1288" w:type="dxa"/>
            <w:tcBorders>
              <w:top w:val="nil"/>
              <w:left w:val="nil"/>
              <w:bottom w:val="nil"/>
            </w:tcBorders>
            <w:shd w:val="clear" w:color="auto" w:fill="D9D9D9" w:themeFill="background1" w:themeFillShade="D9"/>
            <w:vAlign w:val="center"/>
          </w:tcPr>
          <w:p w:rsidR="00355779" w:rsidRPr="009B56E6" w:rsidRDefault="00355779" w:rsidP="00355779">
            <w:pPr>
              <w:spacing w:line="228" w:lineRule="auto"/>
              <w:ind w:right="376"/>
              <w:jc w:val="right"/>
              <w:rPr>
                <w:rFonts w:ascii="Arial Narrow" w:hAnsi="Arial Narrow"/>
                <w:b/>
                <w:bCs/>
                <w:color w:val="000000"/>
                <w:sz w:val="16"/>
                <w:szCs w:val="16"/>
              </w:rPr>
            </w:pPr>
            <w:r w:rsidRPr="009B56E6">
              <w:rPr>
                <w:rFonts w:ascii="Arial Narrow" w:hAnsi="Arial Narrow"/>
                <w:b/>
                <w:bCs/>
                <w:color w:val="000000"/>
                <w:sz w:val="16"/>
                <w:szCs w:val="16"/>
              </w:rPr>
              <w:t>2.939</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Αμοιβές  προσωπικού</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lang w:val="en-US"/>
              </w:rPr>
            </w:pPr>
            <w:r w:rsidRPr="007631AC">
              <w:rPr>
                <w:rFonts w:ascii="Arial Narrow" w:hAnsi="Arial Narrow"/>
                <w:color w:val="000000"/>
                <w:sz w:val="16"/>
                <w:szCs w:val="16"/>
              </w:rPr>
              <w:t>597</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589</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Τόκοι</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lang w:val="en-US"/>
              </w:rPr>
            </w:pPr>
            <w:r w:rsidRPr="007631AC">
              <w:rPr>
                <w:rFonts w:ascii="Arial Narrow" w:hAnsi="Arial Narrow"/>
                <w:color w:val="000000"/>
                <w:sz w:val="16"/>
                <w:szCs w:val="16"/>
              </w:rPr>
              <w:t>381</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331</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Δαπάνες επενδύσεων</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rPr>
            </w:pPr>
            <w:r w:rsidRPr="007631AC">
              <w:rPr>
                <w:rFonts w:ascii="Arial Narrow" w:hAnsi="Arial Narrow"/>
                <w:color w:val="000000"/>
                <w:sz w:val="16"/>
                <w:szCs w:val="16"/>
              </w:rPr>
              <w:t>735</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878</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sz w:val="16"/>
                <w:szCs w:val="16"/>
              </w:rPr>
            </w:pPr>
            <w:r w:rsidRPr="007631AC">
              <w:rPr>
                <w:rFonts w:ascii="Arial Narrow" w:hAnsi="Arial Narrow"/>
                <w:sz w:val="16"/>
                <w:szCs w:val="16"/>
              </w:rPr>
              <w:t>Λοιπές δαπάνες</w:t>
            </w: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color w:val="000000"/>
                <w:sz w:val="16"/>
                <w:szCs w:val="16"/>
              </w:rPr>
            </w:pPr>
            <w:r w:rsidRPr="007631AC">
              <w:rPr>
                <w:rFonts w:ascii="Arial Narrow" w:hAnsi="Arial Narrow"/>
                <w:color w:val="000000"/>
                <w:sz w:val="16"/>
                <w:szCs w:val="16"/>
              </w:rPr>
              <w:t>1.</w:t>
            </w:r>
            <w:r w:rsidRPr="007631AC">
              <w:rPr>
                <w:rFonts w:ascii="Arial Narrow" w:hAnsi="Arial Narrow"/>
                <w:color w:val="000000"/>
                <w:sz w:val="16"/>
                <w:szCs w:val="16"/>
                <w:lang w:val="en-US"/>
              </w:rPr>
              <w:t>1</w:t>
            </w:r>
            <w:r w:rsidRPr="007631AC">
              <w:rPr>
                <w:rFonts w:ascii="Arial Narrow" w:hAnsi="Arial Narrow"/>
                <w:color w:val="000000"/>
                <w:sz w:val="16"/>
                <w:szCs w:val="16"/>
              </w:rPr>
              <w:t>12</w:t>
            </w: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6"/>
                <w:szCs w:val="16"/>
              </w:rPr>
            </w:pPr>
            <w:r w:rsidRPr="009B56E6">
              <w:rPr>
                <w:rFonts w:ascii="Arial Narrow" w:hAnsi="Arial Narrow"/>
                <w:color w:val="000000"/>
                <w:sz w:val="16"/>
                <w:szCs w:val="16"/>
              </w:rPr>
              <w:t>1.142</w:t>
            </w:r>
          </w:p>
        </w:tc>
      </w:tr>
      <w:tr w:rsidR="00355779" w:rsidRPr="00D30E0A" w:rsidTr="005170C4">
        <w:tc>
          <w:tcPr>
            <w:tcW w:w="4850" w:type="dxa"/>
            <w:tcBorders>
              <w:top w:val="nil"/>
              <w:bottom w:val="nil"/>
              <w:right w:val="nil"/>
            </w:tcBorders>
            <w:shd w:val="clear" w:color="auto" w:fill="D9D9D9" w:themeFill="background1" w:themeFillShade="D9"/>
            <w:noWrap/>
            <w:vAlign w:val="center"/>
          </w:tcPr>
          <w:p w:rsidR="00355779" w:rsidRPr="007631AC" w:rsidRDefault="00355779" w:rsidP="00355779">
            <w:pPr>
              <w:spacing w:line="228" w:lineRule="auto"/>
              <w:rPr>
                <w:rFonts w:ascii="Arial Narrow" w:hAnsi="Arial Narrow"/>
                <w:b/>
                <w:bCs/>
                <w:sz w:val="16"/>
                <w:szCs w:val="16"/>
              </w:rPr>
            </w:pPr>
            <w:r w:rsidRPr="007631AC">
              <w:rPr>
                <w:rFonts w:ascii="Arial Narrow" w:hAnsi="Arial Narrow"/>
                <w:b/>
                <w:bCs/>
                <w:sz w:val="16"/>
                <w:szCs w:val="16"/>
              </w:rPr>
              <w:t>Ισοζύγιο (προ καταπτώσεων εγγυήσεων)</w:t>
            </w:r>
          </w:p>
        </w:tc>
        <w:tc>
          <w:tcPr>
            <w:tcW w:w="1412" w:type="dxa"/>
            <w:tcBorders>
              <w:top w:val="nil"/>
              <w:left w:val="nil"/>
              <w:bottom w:val="nil"/>
              <w:right w:val="nil"/>
            </w:tcBorders>
            <w:shd w:val="clear" w:color="auto" w:fill="D9D9D9" w:themeFill="background1" w:themeFillShade="D9"/>
            <w:vAlign w:val="center"/>
          </w:tcPr>
          <w:p w:rsidR="00355779" w:rsidRPr="007631AC" w:rsidRDefault="00355779" w:rsidP="008319D3">
            <w:pPr>
              <w:spacing w:line="228" w:lineRule="auto"/>
              <w:ind w:right="397"/>
              <w:jc w:val="right"/>
              <w:rPr>
                <w:rFonts w:ascii="Arial Narrow" w:hAnsi="Arial Narrow"/>
                <w:b/>
                <w:bCs/>
                <w:color w:val="000000"/>
                <w:sz w:val="16"/>
                <w:szCs w:val="16"/>
                <w:highlight w:val="yellow"/>
              </w:rPr>
            </w:pPr>
            <w:r w:rsidRPr="007631AC">
              <w:rPr>
                <w:rFonts w:ascii="Arial Narrow" w:hAnsi="Arial Narrow"/>
                <w:b/>
                <w:bCs/>
                <w:color w:val="000000"/>
                <w:sz w:val="16"/>
                <w:szCs w:val="16"/>
              </w:rPr>
              <w:t xml:space="preserve">626 </w:t>
            </w:r>
          </w:p>
        </w:tc>
        <w:tc>
          <w:tcPr>
            <w:tcW w:w="1288" w:type="dxa"/>
            <w:tcBorders>
              <w:top w:val="nil"/>
              <w:left w:val="nil"/>
              <w:bottom w:val="nil"/>
            </w:tcBorders>
            <w:shd w:val="clear" w:color="auto" w:fill="D9D9D9" w:themeFill="background1" w:themeFillShade="D9"/>
            <w:vAlign w:val="center"/>
          </w:tcPr>
          <w:p w:rsidR="00355779" w:rsidRPr="009B56E6" w:rsidRDefault="00355779" w:rsidP="00355779">
            <w:pPr>
              <w:spacing w:line="228" w:lineRule="auto"/>
              <w:ind w:right="376"/>
              <w:jc w:val="right"/>
              <w:rPr>
                <w:rFonts w:ascii="Arial Narrow" w:hAnsi="Arial Narrow"/>
                <w:b/>
                <w:bCs/>
                <w:color w:val="000000"/>
                <w:sz w:val="16"/>
                <w:szCs w:val="16"/>
              </w:rPr>
            </w:pPr>
            <w:r w:rsidRPr="009B56E6">
              <w:rPr>
                <w:rFonts w:ascii="Arial Narrow" w:hAnsi="Arial Narrow"/>
                <w:b/>
                <w:bCs/>
                <w:color w:val="000000"/>
                <w:sz w:val="16"/>
                <w:szCs w:val="16"/>
              </w:rPr>
              <w:t>49</w:t>
            </w:r>
          </w:p>
        </w:tc>
      </w:tr>
      <w:tr w:rsidR="00355779" w:rsidRPr="00D30E0A" w:rsidTr="00355779">
        <w:tc>
          <w:tcPr>
            <w:tcW w:w="4850" w:type="dxa"/>
            <w:tcBorders>
              <w:top w:val="nil"/>
              <w:bottom w:val="nil"/>
              <w:right w:val="nil"/>
            </w:tcBorders>
            <w:shd w:val="clear" w:color="auto" w:fill="auto"/>
            <w:noWrap/>
            <w:vAlign w:val="center"/>
          </w:tcPr>
          <w:p w:rsidR="00355779" w:rsidRPr="00D30E0A" w:rsidRDefault="00355779" w:rsidP="00355779">
            <w:pPr>
              <w:spacing w:line="228" w:lineRule="auto"/>
              <w:rPr>
                <w:rFonts w:ascii="Arial Narrow" w:hAnsi="Arial Narrow"/>
                <w:sz w:val="12"/>
                <w:szCs w:val="16"/>
                <w:highlight w:val="yellow"/>
              </w:rPr>
            </w:pPr>
          </w:p>
        </w:tc>
        <w:tc>
          <w:tcPr>
            <w:tcW w:w="1412" w:type="dxa"/>
            <w:tcBorders>
              <w:top w:val="nil"/>
              <w:left w:val="nil"/>
              <w:bottom w:val="nil"/>
              <w:right w:val="nil"/>
            </w:tcBorders>
            <w:shd w:val="clear" w:color="auto" w:fill="auto"/>
            <w:vAlign w:val="center"/>
          </w:tcPr>
          <w:p w:rsidR="00355779" w:rsidRPr="00D30E0A" w:rsidRDefault="00355779" w:rsidP="008319D3">
            <w:pPr>
              <w:spacing w:line="228" w:lineRule="auto"/>
              <w:ind w:right="397"/>
              <w:jc w:val="right"/>
              <w:rPr>
                <w:rFonts w:ascii="Arial Narrow" w:hAnsi="Arial Narrow"/>
                <w:color w:val="000000"/>
                <w:sz w:val="12"/>
                <w:szCs w:val="16"/>
                <w:highlight w:val="yellow"/>
              </w:rPr>
            </w:pP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color w:val="000000"/>
                <w:sz w:val="12"/>
                <w:szCs w:val="16"/>
              </w:rPr>
            </w:pPr>
            <w:r w:rsidRPr="009B56E6">
              <w:rPr>
                <w:rFonts w:ascii="Arial Narrow" w:hAnsi="Arial Narrow"/>
                <w:color w:val="000000"/>
                <w:sz w:val="12"/>
                <w:szCs w:val="16"/>
              </w:rPr>
              <w:t> </w:t>
            </w:r>
          </w:p>
        </w:tc>
      </w:tr>
      <w:tr w:rsidR="00355779" w:rsidRPr="00D30E0A" w:rsidTr="005170C4">
        <w:tc>
          <w:tcPr>
            <w:tcW w:w="4850" w:type="dxa"/>
            <w:tcBorders>
              <w:top w:val="nil"/>
              <w:bottom w:val="nil"/>
              <w:right w:val="nil"/>
            </w:tcBorders>
            <w:shd w:val="clear" w:color="auto" w:fill="D9D9D9" w:themeFill="background1" w:themeFillShade="D9"/>
            <w:noWrap/>
            <w:vAlign w:val="center"/>
          </w:tcPr>
          <w:p w:rsidR="00355779" w:rsidRPr="007631AC" w:rsidRDefault="00355779" w:rsidP="00355779">
            <w:pPr>
              <w:spacing w:line="228" w:lineRule="auto"/>
              <w:rPr>
                <w:rFonts w:ascii="Arial Narrow" w:hAnsi="Arial Narrow"/>
                <w:b/>
                <w:bCs/>
                <w:sz w:val="16"/>
                <w:szCs w:val="16"/>
              </w:rPr>
            </w:pPr>
            <w:r w:rsidRPr="007631AC">
              <w:rPr>
                <w:rFonts w:ascii="Arial Narrow" w:hAnsi="Arial Narrow"/>
                <w:b/>
                <w:bCs/>
                <w:sz w:val="16"/>
                <w:szCs w:val="16"/>
              </w:rPr>
              <w:t>Έσοδα από το κράτος (καταπτώσεις εγγυήσεων</w:t>
            </w:r>
            <w:r>
              <w:rPr>
                <w:rFonts w:ascii="Arial Narrow" w:hAnsi="Arial Narrow"/>
                <w:b/>
                <w:bCs/>
                <w:sz w:val="16"/>
                <w:szCs w:val="16"/>
              </w:rPr>
              <w:t>*)</w:t>
            </w:r>
          </w:p>
        </w:tc>
        <w:tc>
          <w:tcPr>
            <w:tcW w:w="1412" w:type="dxa"/>
            <w:tcBorders>
              <w:top w:val="nil"/>
              <w:left w:val="nil"/>
              <w:bottom w:val="nil"/>
              <w:right w:val="nil"/>
            </w:tcBorders>
            <w:shd w:val="clear" w:color="auto" w:fill="D9D9D9" w:themeFill="background1" w:themeFillShade="D9"/>
            <w:vAlign w:val="center"/>
          </w:tcPr>
          <w:p w:rsidR="00355779" w:rsidRPr="007631AC" w:rsidRDefault="00355779" w:rsidP="008319D3">
            <w:pPr>
              <w:spacing w:line="228" w:lineRule="auto"/>
              <w:ind w:right="397"/>
              <w:jc w:val="right"/>
              <w:rPr>
                <w:rFonts w:ascii="Arial Narrow" w:hAnsi="Arial Narrow"/>
                <w:b/>
                <w:bCs/>
                <w:color w:val="000000"/>
                <w:sz w:val="16"/>
                <w:szCs w:val="16"/>
                <w:lang w:val="en-US"/>
              </w:rPr>
            </w:pPr>
            <w:r w:rsidRPr="007631AC">
              <w:rPr>
                <w:rFonts w:ascii="Arial Narrow" w:hAnsi="Arial Narrow"/>
                <w:b/>
                <w:bCs/>
                <w:color w:val="000000"/>
                <w:sz w:val="16"/>
                <w:szCs w:val="16"/>
              </w:rPr>
              <w:t>924</w:t>
            </w:r>
          </w:p>
        </w:tc>
        <w:tc>
          <w:tcPr>
            <w:tcW w:w="1288" w:type="dxa"/>
            <w:tcBorders>
              <w:top w:val="nil"/>
              <w:left w:val="nil"/>
              <w:bottom w:val="nil"/>
            </w:tcBorders>
            <w:shd w:val="clear" w:color="auto" w:fill="D9D9D9" w:themeFill="background1" w:themeFillShade="D9"/>
            <w:vAlign w:val="center"/>
          </w:tcPr>
          <w:p w:rsidR="00355779" w:rsidRPr="009B56E6" w:rsidRDefault="00355779" w:rsidP="00355779">
            <w:pPr>
              <w:spacing w:line="228" w:lineRule="auto"/>
              <w:ind w:right="376"/>
              <w:jc w:val="right"/>
              <w:rPr>
                <w:rFonts w:ascii="Arial Narrow" w:hAnsi="Arial Narrow"/>
                <w:b/>
                <w:bCs/>
                <w:color w:val="000000"/>
                <w:sz w:val="16"/>
                <w:szCs w:val="16"/>
              </w:rPr>
            </w:pPr>
            <w:r w:rsidRPr="009B56E6">
              <w:rPr>
                <w:rFonts w:ascii="Arial Narrow" w:hAnsi="Arial Narrow"/>
                <w:b/>
                <w:bCs/>
                <w:color w:val="000000"/>
                <w:sz w:val="16"/>
                <w:szCs w:val="16"/>
              </w:rPr>
              <w:t>365</w:t>
            </w:r>
          </w:p>
        </w:tc>
      </w:tr>
      <w:tr w:rsidR="00355779" w:rsidRPr="00D30E0A" w:rsidTr="00355779">
        <w:tc>
          <w:tcPr>
            <w:tcW w:w="4850" w:type="dxa"/>
            <w:tcBorders>
              <w:top w:val="nil"/>
              <w:bottom w:val="nil"/>
              <w:right w:val="nil"/>
            </w:tcBorders>
            <w:shd w:val="clear" w:color="auto" w:fill="auto"/>
            <w:noWrap/>
            <w:vAlign w:val="center"/>
          </w:tcPr>
          <w:p w:rsidR="00355779" w:rsidRPr="007631AC" w:rsidRDefault="00355779" w:rsidP="00355779">
            <w:pPr>
              <w:spacing w:line="228" w:lineRule="auto"/>
              <w:rPr>
                <w:rFonts w:ascii="Arial Narrow" w:hAnsi="Arial Narrow"/>
                <w:b/>
                <w:bCs/>
                <w:sz w:val="16"/>
                <w:szCs w:val="16"/>
              </w:rPr>
            </w:pPr>
          </w:p>
        </w:tc>
        <w:tc>
          <w:tcPr>
            <w:tcW w:w="1412" w:type="dxa"/>
            <w:tcBorders>
              <w:top w:val="nil"/>
              <w:left w:val="nil"/>
              <w:bottom w:val="nil"/>
              <w:right w:val="nil"/>
            </w:tcBorders>
            <w:shd w:val="clear" w:color="auto" w:fill="auto"/>
            <w:vAlign w:val="center"/>
          </w:tcPr>
          <w:p w:rsidR="00355779" w:rsidRPr="007631AC" w:rsidRDefault="00355779" w:rsidP="008319D3">
            <w:pPr>
              <w:spacing w:line="228" w:lineRule="auto"/>
              <w:ind w:right="397"/>
              <w:jc w:val="right"/>
              <w:rPr>
                <w:rFonts w:ascii="Arial Narrow" w:hAnsi="Arial Narrow"/>
                <w:b/>
                <w:bCs/>
                <w:color w:val="000000"/>
                <w:sz w:val="16"/>
                <w:szCs w:val="16"/>
              </w:rPr>
            </w:pPr>
          </w:p>
        </w:tc>
        <w:tc>
          <w:tcPr>
            <w:tcW w:w="1288" w:type="dxa"/>
            <w:tcBorders>
              <w:top w:val="nil"/>
              <w:left w:val="nil"/>
              <w:bottom w:val="nil"/>
            </w:tcBorders>
            <w:shd w:val="clear" w:color="auto" w:fill="auto"/>
            <w:vAlign w:val="center"/>
          </w:tcPr>
          <w:p w:rsidR="00355779" w:rsidRPr="009B56E6" w:rsidRDefault="00355779" w:rsidP="00355779">
            <w:pPr>
              <w:spacing w:line="228" w:lineRule="auto"/>
              <w:ind w:right="376"/>
              <w:jc w:val="right"/>
              <w:rPr>
                <w:rFonts w:ascii="Arial Narrow" w:hAnsi="Arial Narrow"/>
                <w:b/>
                <w:bCs/>
                <w:color w:val="000000"/>
                <w:sz w:val="16"/>
                <w:szCs w:val="16"/>
              </w:rPr>
            </w:pPr>
          </w:p>
        </w:tc>
      </w:tr>
      <w:tr w:rsidR="00355779" w:rsidRPr="00D30E0A" w:rsidTr="005170C4">
        <w:trPr>
          <w:trHeight w:val="195"/>
        </w:trPr>
        <w:tc>
          <w:tcPr>
            <w:tcW w:w="4850" w:type="dxa"/>
            <w:tcBorders>
              <w:top w:val="nil"/>
              <w:bottom w:val="single" w:sz="4" w:space="0" w:color="auto"/>
              <w:right w:val="nil"/>
            </w:tcBorders>
            <w:shd w:val="clear" w:color="auto" w:fill="D9D9D9" w:themeFill="background1" w:themeFillShade="D9"/>
            <w:noWrap/>
            <w:vAlign w:val="center"/>
          </w:tcPr>
          <w:p w:rsidR="00355779" w:rsidRPr="007631AC" w:rsidRDefault="00355779" w:rsidP="00355779">
            <w:pPr>
              <w:spacing w:line="228" w:lineRule="auto"/>
              <w:rPr>
                <w:rFonts w:ascii="Arial Narrow" w:hAnsi="Arial Narrow"/>
                <w:b/>
                <w:bCs/>
                <w:sz w:val="16"/>
                <w:szCs w:val="16"/>
              </w:rPr>
            </w:pPr>
            <w:r w:rsidRPr="007631AC">
              <w:rPr>
                <w:rFonts w:ascii="Arial Narrow" w:hAnsi="Arial Narrow"/>
                <w:b/>
                <w:bCs/>
                <w:sz w:val="16"/>
                <w:szCs w:val="16"/>
              </w:rPr>
              <w:t xml:space="preserve">Ισοζύγιο κατά </w:t>
            </w:r>
            <w:r w:rsidRPr="007631AC">
              <w:rPr>
                <w:rFonts w:ascii="Arial Narrow" w:hAnsi="Arial Narrow"/>
                <w:b/>
                <w:bCs/>
                <w:sz w:val="16"/>
                <w:szCs w:val="16"/>
                <w:lang w:val="en-GB"/>
              </w:rPr>
              <w:t>ESA</w:t>
            </w:r>
            <w:r w:rsidRPr="007631AC">
              <w:rPr>
                <w:rFonts w:ascii="Arial Narrow" w:hAnsi="Arial Narrow"/>
                <w:b/>
                <w:bCs/>
                <w:sz w:val="16"/>
                <w:szCs w:val="16"/>
              </w:rPr>
              <w:t xml:space="preserve"> (με καταπτώσεις εγγυήσεων) </w:t>
            </w:r>
          </w:p>
        </w:tc>
        <w:tc>
          <w:tcPr>
            <w:tcW w:w="1412" w:type="dxa"/>
            <w:tcBorders>
              <w:top w:val="nil"/>
              <w:left w:val="nil"/>
              <w:bottom w:val="single" w:sz="4" w:space="0" w:color="auto"/>
              <w:right w:val="nil"/>
            </w:tcBorders>
            <w:shd w:val="clear" w:color="auto" w:fill="D9D9D9" w:themeFill="background1" w:themeFillShade="D9"/>
            <w:vAlign w:val="center"/>
          </w:tcPr>
          <w:p w:rsidR="00355779" w:rsidRPr="007631AC" w:rsidRDefault="00355779" w:rsidP="008319D3">
            <w:pPr>
              <w:spacing w:line="228" w:lineRule="auto"/>
              <w:ind w:right="397"/>
              <w:jc w:val="right"/>
              <w:rPr>
                <w:rFonts w:ascii="Arial Narrow" w:hAnsi="Arial Narrow"/>
                <w:b/>
                <w:bCs/>
                <w:color w:val="000000"/>
                <w:sz w:val="16"/>
                <w:szCs w:val="16"/>
              </w:rPr>
            </w:pPr>
            <w:r w:rsidRPr="007631AC">
              <w:rPr>
                <w:rFonts w:ascii="Arial Narrow" w:hAnsi="Arial Narrow"/>
                <w:b/>
                <w:bCs/>
                <w:color w:val="000000"/>
                <w:sz w:val="16"/>
                <w:szCs w:val="16"/>
              </w:rPr>
              <w:t>1.550</w:t>
            </w:r>
          </w:p>
        </w:tc>
        <w:tc>
          <w:tcPr>
            <w:tcW w:w="1288" w:type="dxa"/>
            <w:tcBorders>
              <w:top w:val="nil"/>
              <w:left w:val="nil"/>
              <w:bottom w:val="single" w:sz="4" w:space="0" w:color="auto"/>
            </w:tcBorders>
            <w:shd w:val="clear" w:color="auto" w:fill="D9D9D9" w:themeFill="background1" w:themeFillShade="D9"/>
            <w:vAlign w:val="center"/>
          </w:tcPr>
          <w:p w:rsidR="00355779" w:rsidRPr="009B56E6" w:rsidRDefault="00355779" w:rsidP="00355779">
            <w:pPr>
              <w:spacing w:line="228" w:lineRule="auto"/>
              <w:ind w:right="376"/>
              <w:jc w:val="right"/>
              <w:rPr>
                <w:rFonts w:ascii="Arial Narrow" w:hAnsi="Arial Narrow"/>
                <w:b/>
                <w:bCs/>
                <w:color w:val="000000"/>
                <w:sz w:val="16"/>
                <w:szCs w:val="16"/>
              </w:rPr>
            </w:pPr>
            <w:r w:rsidRPr="009B56E6">
              <w:rPr>
                <w:rFonts w:ascii="Arial Narrow" w:hAnsi="Arial Narrow"/>
                <w:b/>
                <w:bCs/>
                <w:color w:val="000000"/>
                <w:sz w:val="16"/>
                <w:szCs w:val="16"/>
              </w:rPr>
              <w:t>414</w:t>
            </w:r>
          </w:p>
        </w:tc>
      </w:tr>
    </w:tbl>
    <w:p w:rsidR="00355779" w:rsidRPr="00BA195B" w:rsidRDefault="00355779" w:rsidP="00355779">
      <w:pPr>
        <w:tabs>
          <w:tab w:val="left" w:pos="709"/>
          <w:tab w:val="left" w:pos="851"/>
        </w:tabs>
        <w:spacing w:line="228" w:lineRule="auto"/>
        <w:ind w:left="851" w:right="709" w:hanging="709"/>
        <w:jc w:val="both"/>
        <w:rPr>
          <w:rFonts w:ascii="Arial Narrow" w:hAnsi="Arial Narrow"/>
          <w:color w:val="000000"/>
          <w:sz w:val="16"/>
          <w:szCs w:val="16"/>
        </w:rPr>
      </w:pPr>
      <w:r w:rsidRPr="002441AA">
        <w:rPr>
          <w:rFonts w:ascii="Arial Narrow" w:hAnsi="Arial Narrow"/>
          <w:color w:val="000000"/>
          <w:sz w:val="16"/>
          <w:szCs w:val="16"/>
        </w:rPr>
        <w:t xml:space="preserve">               </w:t>
      </w:r>
      <w:r>
        <w:rPr>
          <w:rFonts w:ascii="Arial Narrow" w:hAnsi="Arial Narrow"/>
          <w:color w:val="000000"/>
          <w:sz w:val="16"/>
          <w:szCs w:val="16"/>
        </w:rPr>
        <w:t>*</w:t>
      </w:r>
      <w:r w:rsidRPr="002441AA">
        <w:rPr>
          <w:rFonts w:ascii="Arial Narrow" w:hAnsi="Arial Narrow"/>
          <w:color w:val="000000"/>
          <w:sz w:val="16"/>
          <w:szCs w:val="16"/>
        </w:rPr>
        <w:t xml:space="preserve"> </w:t>
      </w:r>
      <w:r>
        <w:rPr>
          <w:rFonts w:ascii="Arial Narrow" w:hAnsi="Arial Narrow"/>
          <w:color w:val="000000"/>
          <w:sz w:val="16"/>
          <w:szCs w:val="16"/>
        </w:rPr>
        <w:t xml:space="preserve">Οι καταπτώσεις εγγυήσεων </w:t>
      </w:r>
      <w:r w:rsidRPr="00BA195B">
        <w:rPr>
          <w:rFonts w:ascii="Arial Narrow" w:hAnsi="Arial Narrow"/>
          <w:color w:val="000000"/>
          <w:sz w:val="16"/>
          <w:szCs w:val="16"/>
        </w:rPr>
        <w:t>είναι σε ακαθάριστη βάση.</w:t>
      </w:r>
    </w:p>
    <w:p w:rsidR="00355779" w:rsidRPr="00D416FE" w:rsidRDefault="00355779" w:rsidP="00355779">
      <w:pPr>
        <w:rPr>
          <w:sz w:val="22"/>
          <w:highlight w:val="yellow"/>
        </w:rPr>
      </w:pPr>
    </w:p>
    <w:p w:rsidR="00355779" w:rsidRPr="00D416FE" w:rsidRDefault="00355779" w:rsidP="00355779">
      <w:pPr>
        <w:rPr>
          <w:sz w:val="22"/>
          <w:highlight w:val="yellow"/>
        </w:rPr>
      </w:pPr>
    </w:p>
    <w:tbl>
      <w:tblPr>
        <w:tblW w:w="8510" w:type="dxa"/>
        <w:jc w:val="center"/>
        <w:tblBorders>
          <w:top w:val="single" w:sz="4" w:space="0" w:color="auto"/>
          <w:left w:val="single" w:sz="4" w:space="0" w:color="auto"/>
          <w:bottom w:val="single" w:sz="4" w:space="0" w:color="auto"/>
          <w:right w:val="single" w:sz="4" w:space="0" w:color="auto"/>
        </w:tblBorders>
        <w:tblLook w:val="04A0"/>
      </w:tblPr>
      <w:tblGrid>
        <w:gridCol w:w="462"/>
        <w:gridCol w:w="4788"/>
        <w:gridCol w:w="1701"/>
        <w:gridCol w:w="1559"/>
      </w:tblGrid>
      <w:tr w:rsidR="00355779" w:rsidTr="00355779">
        <w:trPr>
          <w:trHeight w:val="170"/>
          <w:jc w:val="center"/>
        </w:trPr>
        <w:tc>
          <w:tcPr>
            <w:tcW w:w="8510" w:type="dxa"/>
            <w:gridSpan w:val="4"/>
            <w:tcBorders>
              <w:top w:val="single" w:sz="4" w:space="0" w:color="auto"/>
              <w:left w:val="single" w:sz="4" w:space="0" w:color="auto"/>
              <w:bottom w:val="nil"/>
              <w:right w:val="single" w:sz="4" w:space="0" w:color="auto"/>
            </w:tcBorders>
            <w:shd w:val="clear" w:color="auto" w:fill="404040" w:themeFill="text1" w:themeFillTint="BF"/>
            <w:vAlign w:val="center"/>
            <w:hideMark/>
          </w:tcPr>
          <w:p w:rsidR="00355779" w:rsidRDefault="00355779" w:rsidP="00355779">
            <w:pPr>
              <w:jc w:val="center"/>
              <w:rPr>
                <w:rFonts w:ascii="Arial Narrow" w:hAnsi="Arial Narrow" w:cs="Segoe UI"/>
                <w:b/>
                <w:bCs/>
                <w:color w:val="FFFFFF" w:themeColor="background1"/>
                <w:szCs w:val="16"/>
              </w:rPr>
            </w:pPr>
            <w:r>
              <w:rPr>
                <w:rFonts w:ascii="Arial Narrow" w:hAnsi="Arial Narrow" w:cs="Segoe UI"/>
                <w:b/>
                <w:bCs/>
                <w:color w:val="FFFFFF" w:themeColor="background1"/>
                <w:szCs w:val="16"/>
              </w:rPr>
              <w:t xml:space="preserve">Πίνακας </w:t>
            </w:r>
            <w:r w:rsidR="003F7271">
              <w:rPr>
                <w:rFonts w:ascii="Arial Narrow" w:hAnsi="Arial Narrow" w:cs="Segoe UI"/>
                <w:b/>
                <w:bCs/>
                <w:color w:val="FFFFFF" w:themeColor="background1"/>
                <w:szCs w:val="16"/>
              </w:rPr>
              <w:t>3.23</w:t>
            </w:r>
            <w:r>
              <w:rPr>
                <w:rFonts w:ascii="Arial Narrow" w:hAnsi="Arial Narrow" w:cs="Segoe UI"/>
                <w:b/>
                <w:bCs/>
                <w:color w:val="FFFFFF" w:themeColor="background1"/>
                <w:szCs w:val="16"/>
              </w:rPr>
              <w:t xml:space="preserve">  Ισοζύγιο ΔΕΚΟ ανά Υπουργείο κατά </w:t>
            </w:r>
            <w:r>
              <w:rPr>
                <w:rFonts w:ascii="Arial Narrow" w:hAnsi="Arial Narrow" w:cs="Segoe UI"/>
                <w:b/>
                <w:bCs/>
                <w:color w:val="FFFFFF" w:themeColor="background1"/>
                <w:szCs w:val="16"/>
                <w:lang w:val="en-US"/>
              </w:rPr>
              <w:t>ESA</w:t>
            </w:r>
            <w:r w:rsidRPr="0026045D">
              <w:rPr>
                <w:rFonts w:ascii="Arial Narrow" w:hAnsi="Arial Narrow" w:cs="Segoe UI"/>
                <w:b/>
                <w:bCs/>
                <w:color w:val="FFFFFF" w:themeColor="background1"/>
                <w:szCs w:val="16"/>
              </w:rPr>
              <w:t xml:space="preserve"> </w:t>
            </w:r>
          </w:p>
          <w:p w:rsidR="00355779" w:rsidRDefault="00355779" w:rsidP="00355779">
            <w:pPr>
              <w:jc w:val="center"/>
              <w:rPr>
                <w:rFonts w:ascii="Arial Narrow" w:hAnsi="Arial Narrow" w:cs="Segoe UI"/>
                <w:b/>
                <w:bCs/>
                <w:color w:val="FFFFFF" w:themeColor="background1"/>
                <w:szCs w:val="16"/>
              </w:rPr>
            </w:pPr>
            <w:r>
              <w:rPr>
                <w:rFonts w:ascii="Arial Narrow" w:hAnsi="Arial Narrow" w:cs="Segoe UI"/>
                <w:b/>
                <w:bCs/>
                <w:color w:val="FFFFFF" w:themeColor="background1"/>
                <w:szCs w:val="16"/>
              </w:rPr>
              <w:t>(σε εκατ. ευρώ)</w:t>
            </w:r>
          </w:p>
        </w:tc>
      </w:tr>
      <w:tr w:rsidR="00355779" w:rsidTr="00355779">
        <w:trPr>
          <w:trHeight w:val="170"/>
          <w:jc w:val="center"/>
        </w:trPr>
        <w:tc>
          <w:tcPr>
            <w:tcW w:w="8510" w:type="dxa"/>
            <w:gridSpan w:val="4"/>
            <w:tcBorders>
              <w:top w:val="nil"/>
              <w:left w:val="single" w:sz="4" w:space="0" w:color="auto"/>
              <w:bottom w:val="single" w:sz="4" w:space="0" w:color="auto"/>
              <w:right w:val="single" w:sz="4" w:space="0" w:color="auto"/>
            </w:tcBorders>
            <w:vAlign w:val="center"/>
            <w:hideMark/>
          </w:tcPr>
          <w:p w:rsidR="00355779" w:rsidRDefault="00355779" w:rsidP="00355779">
            <w:pPr>
              <w:rPr>
                <w:rFonts w:asciiTheme="minorHAnsi" w:eastAsiaTheme="minorEastAsia" w:hAnsiTheme="minorHAnsi" w:cstheme="minorBidi"/>
                <w:sz w:val="22"/>
                <w:szCs w:val="22"/>
              </w:rPr>
            </w:pPr>
          </w:p>
        </w:tc>
      </w:tr>
      <w:tr w:rsidR="00355779" w:rsidTr="00355779">
        <w:trPr>
          <w:trHeight w:val="170"/>
          <w:jc w:val="center"/>
        </w:trPr>
        <w:tc>
          <w:tcPr>
            <w:tcW w:w="5250" w:type="dxa"/>
            <w:gridSpan w:val="2"/>
            <w:tcBorders>
              <w:top w:val="single" w:sz="4" w:space="0" w:color="auto"/>
              <w:left w:val="single" w:sz="4" w:space="0" w:color="auto"/>
              <w:bottom w:val="single" w:sz="4" w:space="0" w:color="auto"/>
              <w:right w:val="single" w:sz="4" w:space="0" w:color="auto"/>
            </w:tcBorders>
            <w:vAlign w:val="center"/>
            <w:hideMark/>
          </w:tcPr>
          <w:p w:rsidR="00355779" w:rsidRDefault="00355779" w:rsidP="00355779">
            <w:pPr>
              <w:rPr>
                <w:rFonts w:ascii="Arial Narrow" w:hAnsi="Arial Narrow" w:cs="Segoe UI"/>
                <w:b/>
                <w:bCs/>
                <w:sz w:val="16"/>
                <w:szCs w:val="16"/>
              </w:rPr>
            </w:pPr>
            <w:r>
              <w:rPr>
                <w:rFonts w:ascii="Arial Narrow" w:hAnsi="Arial Narrow" w:cs="Segoe UI"/>
                <w:b/>
                <w:bCs/>
                <w:sz w:val="16"/>
                <w:szCs w:val="16"/>
              </w:rPr>
              <w:t> </w:t>
            </w:r>
          </w:p>
          <w:p w:rsidR="00355779" w:rsidRDefault="00355779" w:rsidP="00355779">
            <w:pPr>
              <w:rPr>
                <w:rFonts w:ascii="Arial Narrow" w:hAnsi="Arial Narrow" w:cs="Segoe UI"/>
                <w:b/>
                <w:bCs/>
                <w:sz w:val="16"/>
                <w:szCs w:val="16"/>
              </w:rPr>
            </w:pPr>
            <w:r>
              <w:rPr>
                <w:rFonts w:ascii="Arial Narrow" w:hAnsi="Arial Narrow" w:cs="Segoe UI"/>
                <w:b/>
                <w:bCs/>
                <w:sz w:val="16"/>
                <w:szCs w:val="16"/>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779" w:rsidRDefault="00355779" w:rsidP="00355779">
            <w:pPr>
              <w:jc w:val="center"/>
              <w:rPr>
                <w:rFonts w:ascii="Arial Narrow" w:hAnsi="Arial Narrow" w:cs="Segoe UI"/>
                <w:b/>
                <w:bCs/>
                <w:sz w:val="16"/>
                <w:szCs w:val="16"/>
                <w:lang w:val="en-US"/>
              </w:rPr>
            </w:pPr>
            <w:r>
              <w:rPr>
                <w:rFonts w:ascii="Arial Narrow" w:hAnsi="Arial Narrow" w:cs="Segoe UI"/>
                <w:b/>
                <w:bCs/>
                <w:sz w:val="16"/>
                <w:szCs w:val="16"/>
              </w:rPr>
              <w:t>201</w:t>
            </w:r>
            <w:r>
              <w:rPr>
                <w:rFonts w:ascii="Arial Narrow" w:hAnsi="Arial Narrow" w:cs="Segoe UI"/>
                <w:b/>
                <w:bCs/>
                <w:sz w:val="16"/>
                <w:szCs w:val="16"/>
                <w:lang w:val="en-US"/>
              </w:rPr>
              <w:t>8</w:t>
            </w:r>
          </w:p>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Εκτιμήσεις</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5779" w:rsidRDefault="00355779" w:rsidP="00355779">
            <w:pPr>
              <w:jc w:val="center"/>
              <w:rPr>
                <w:rFonts w:ascii="Arial Narrow" w:hAnsi="Arial Narrow" w:cs="Segoe UI"/>
                <w:b/>
                <w:bCs/>
                <w:sz w:val="16"/>
                <w:szCs w:val="16"/>
                <w:lang w:val="en-US"/>
              </w:rPr>
            </w:pPr>
            <w:r>
              <w:rPr>
                <w:rFonts w:ascii="Arial Narrow" w:hAnsi="Arial Narrow" w:cs="Segoe UI"/>
                <w:b/>
                <w:bCs/>
                <w:sz w:val="16"/>
                <w:szCs w:val="16"/>
              </w:rPr>
              <w:t>201</w:t>
            </w:r>
            <w:r>
              <w:rPr>
                <w:rFonts w:ascii="Arial Narrow" w:hAnsi="Arial Narrow" w:cs="Segoe UI"/>
                <w:b/>
                <w:bCs/>
                <w:sz w:val="16"/>
                <w:szCs w:val="16"/>
                <w:lang w:val="en-US"/>
              </w:rPr>
              <w:t>9</w:t>
            </w:r>
          </w:p>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Προβλέψεις</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1</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Υπουργείο Διοικητικής Ανασυγκρότησης</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0</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2</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 xml:space="preserve">Υπουργείο Εθνικής Άμυνας </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44</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32</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-5</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-7</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Pr="000F3E7A" w:rsidRDefault="00355779" w:rsidP="00355779">
            <w:pPr>
              <w:ind w:right="589"/>
              <w:jc w:val="right"/>
              <w:rPr>
                <w:rFonts w:ascii="Arial Narrow" w:hAnsi="Arial Narrow"/>
                <w:i/>
                <w:iCs/>
                <w:sz w:val="16"/>
                <w:szCs w:val="16"/>
                <w:lang w:val="en-US"/>
              </w:rPr>
            </w:pPr>
            <w:r>
              <w:rPr>
                <w:rFonts w:ascii="Arial Narrow" w:hAnsi="Arial Narrow"/>
                <w:i/>
                <w:iCs/>
                <w:sz w:val="16"/>
                <w:szCs w:val="16"/>
                <w:lang w:val="en-US"/>
              </w:rPr>
              <w:t>50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38</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3</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 xml:space="preserve">Υπουργείο Υγείας </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-4</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-4</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4</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Υπουργείο Οικονομικών</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43</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10</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-15</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10</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58</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5</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Υπουργείο Αγροτικής Ανάπτυξης και Τροφίμων</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-44</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27</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-44</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27</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6</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Υπουργείο Περιβάλλοντος και Ενέργειας</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220</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177</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220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177</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7</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Υπουργείο Οικονομίας και Ανάπτυξης</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0</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8</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Υπουργείο Υποδομών και Μεταφορών</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lang w:val="en-US"/>
              </w:rPr>
            </w:pPr>
            <w:r>
              <w:rPr>
                <w:rFonts w:ascii="Arial Narrow" w:hAnsi="Arial Narrow"/>
                <w:b/>
                <w:bCs/>
                <w:color w:val="000000"/>
                <w:sz w:val="16"/>
                <w:szCs w:val="16"/>
                <w:lang w:val="en-US"/>
              </w:rPr>
              <w:t>1.265</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1</w:t>
            </w:r>
            <w:r>
              <w:rPr>
                <w:rFonts w:ascii="Arial Narrow" w:hAnsi="Arial Narrow"/>
                <w:b/>
                <w:bCs/>
                <w:color w:val="000000"/>
                <w:sz w:val="16"/>
                <w:szCs w:val="16"/>
                <w:lang w:val="en-US"/>
              </w:rPr>
              <w:t>39</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lang w:val="en-US"/>
              </w:rPr>
            </w:pPr>
            <w:r>
              <w:rPr>
                <w:rFonts w:ascii="Arial Narrow" w:hAnsi="Arial Narrow"/>
                <w:i/>
                <w:iCs/>
                <w:sz w:val="16"/>
                <w:szCs w:val="16"/>
                <w:lang w:val="en-US"/>
              </w:rPr>
              <w:t>448</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w:t>
            </w:r>
            <w:r>
              <w:rPr>
                <w:rFonts w:ascii="Arial Narrow" w:hAnsi="Arial Narrow"/>
                <w:i/>
                <w:iCs/>
                <w:sz w:val="16"/>
                <w:szCs w:val="16"/>
                <w:lang w:val="en-US"/>
              </w:rPr>
              <w:t>187</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816</w:t>
            </w:r>
          </w:p>
        </w:tc>
        <w:tc>
          <w:tcPr>
            <w:tcW w:w="1559" w:type="dxa"/>
            <w:tcBorders>
              <w:top w:val="nil"/>
              <w:left w:val="nil"/>
              <w:bottom w:val="nil"/>
              <w:right w:val="single" w:sz="4" w:space="0" w:color="auto"/>
            </w:tcBorders>
            <w:vAlign w:val="center"/>
            <w:hideMark/>
          </w:tcPr>
          <w:p w:rsidR="00355779" w:rsidRPr="000F3E7A" w:rsidRDefault="00355779" w:rsidP="00355779">
            <w:pPr>
              <w:ind w:right="589"/>
              <w:jc w:val="right"/>
              <w:rPr>
                <w:rFonts w:ascii="Arial Narrow" w:hAnsi="Arial Narrow"/>
                <w:i/>
                <w:iCs/>
                <w:sz w:val="16"/>
                <w:szCs w:val="16"/>
                <w:lang w:val="en-US"/>
              </w:rPr>
            </w:pPr>
            <w:r>
              <w:rPr>
                <w:rFonts w:ascii="Arial Narrow" w:hAnsi="Arial Narrow"/>
                <w:i/>
                <w:iCs/>
                <w:sz w:val="16"/>
                <w:szCs w:val="16"/>
              </w:rPr>
              <w:t>32</w:t>
            </w:r>
            <w:r>
              <w:rPr>
                <w:rFonts w:ascii="Arial Narrow" w:hAnsi="Arial Narrow"/>
                <w:i/>
                <w:iCs/>
                <w:sz w:val="16"/>
                <w:szCs w:val="16"/>
                <w:lang w:val="en-US"/>
              </w:rPr>
              <w:t>7</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9</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Υπουργείο Τουρισμού</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17</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5</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17</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5</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jc w:val="center"/>
              <w:rPr>
                <w:rFonts w:ascii="Arial Narrow" w:hAnsi="Arial Narrow" w:cs="Segoe UI"/>
                <w:b/>
                <w:bCs/>
                <w:sz w:val="16"/>
                <w:szCs w:val="16"/>
              </w:rPr>
            </w:pPr>
            <w:r>
              <w:rPr>
                <w:rFonts w:ascii="Arial Narrow" w:hAnsi="Arial Narrow" w:cs="Segoe UI"/>
                <w:b/>
                <w:bCs/>
                <w:sz w:val="16"/>
                <w:szCs w:val="16"/>
              </w:rPr>
              <w:t>10</w:t>
            </w: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Υπουργείο Ψηφιακής Πολιτικής, Τηλεπικοινωνιών και Ενημέρωσης</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8</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rPr>
            </w:pPr>
            <w:r>
              <w:rPr>
                <w:rFonts w:ascii="Arial Narrow" w:hAnsi="Arial Narrow"/>
                <w:b/>
                <w:bCs/>
                <w:color w:val="000000"/>
                <w:sz w:val="16"/>
                <w:szCs w:val="16"/>
              </w:rPr>
              <w:t>24</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Ισοζύγιο</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8</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24</w:t>
            </w:r>
          </w:p>
        </w:tc>
      </w:tr>
      <w:tr w:rsidR="00355779" w:rsidTr="002409EA">
        <w:trPr>
          <w:trHeight w:val="198"/>
          <w:jc w:val="center"/>
        </w:trPr>
        <w:tc>
          <w:tcPr>
            <w:tcW w:w="462" w:type="dxa"/>
            <w:tcBorders>
              <w:top w:val="nil"/>
              <w:left w:val="single" w:sz="4" w:space="0" w:color="auto"/>
              <w:bottom w:val="nil"/>
              <w:right w:val="nil"/>
            </w:tcBorders>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vAlign w:val="center"/>
            <w:hideMark/>
          </w:tcPr>
          <w:p w:rsidR="00355779" w:rsidRDefault="00355779" w:rsidP="00355779">
            <w:pPr>
              <w:rPr>
                <w:rFonts w:ascii="Arial Narrow" w:hAnsi="Arial Narrow"/>
                <w:i/>
                <w:iCs/>
                <w:sz w:val="16"/>
                <w:szCs w:val="16"/>
              </w:rPr>
            </w:pPr>
            <w:r>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355779" w:rsidRDefault="00355779" w:rsidP="00355779">
            <w:pPr>
              <w:ind w:right="589"/>
              <w:jc w:val="right"/>
              <w:rPr>
                <w:rFonts w:ascii="Arial Narrow" w:hAnsi="Arial Narrow"/>
                <w:i/>
                <w:iCs/>
                <w:sz w:val="16"/>
                <w:szCs w:val="16"/>
              </w:rPr>
            </w:pPr>
            <w:r>
              <w:rPr>
                <w:rFonts w:ascii="Arial Narrow" w:hAnsi="Arial Narrow"/>
                <w:i/>
                <w:iCs/>
                <w:sz w:val="16"/>
                <w:szCs w:val="16"/>
              </w:rPr>
              <w:t>0</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Σύνολο Υπουργείων κατά ESA (με καταπτώσεις εγγυήσεων)</w:t>
            </w:r>
          </w:p>
        </w:tc>
        <w:tc>
          <w:tcPr>
            <w:tcW w:w="1701" w:type="dxa"/>
            <w:tcBorders>
              <w:top w:val="nil"/>
              <w:left w:val="nil"/>
              <w:bottom w:val="nil"/>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lang w:val="en-US"/>
              </w:rPr>
            </w:pPr>
            <w:r>
              <w:rPr>
                <w:rFonts w:ascii="Arial Narrow" w:hAnsi="Arial Narrow"/>
                <w:b/>
                <w:bCs/>
                <w:color w:val="000000"/>
                <w:sz w:val="16"/>
                <w:szCs w:val="16"/>
                <w:lang w:val="en-US"/>
              </w:rPr>
              <w:t>1.550</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Pr="000F3E7A" w:rsidRDefault="00355779" w:rsidP="00355779">
            <w:pPr>
              <w:ind w:right="589"/>
              <w:jc w:val="right"/>
              <w:rPr>
                <w:rFonts w:ascii="Arial Narrow" w:hAnsi="Arial Narrow"/>
                <w:b/>
                <w:bCs/>
                <w:color w:val="000000"/>
                <w:sz w:val="16"/>
                <w:szCs w:val="16"/>
                <w:lang w:val="en-US"/>
              </w:rPr>
            </w:pPr>
            <w:r>
              <w:rPr>
                <w:rFonts w:ascii="Arial Narrow" w:hAnsi="Arial Narrow"/>
                <w:b/>
                <w:bCs/>
                <w:color w:val="000000"/>
                <w:sz w:val="16"/>
                <w:szCs w:val="16"/>
                <w:lang w:val="en-US"/>
              </w:rPr>
              <w:t>414</w:t>
            </w:r>
          </w:p>
        </w:tc>
      </w:tr>
      <w:tr w:rsidR="00355779" w:rsidTr="002409EA">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nil"/>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Ισοζύγιο (προ καταπτώσεων εγγυήσεων)</w:t>
            </w:r>
          </w:p>
        </w:tc>
        <w:tc>
          <w:tcPr>
            <w:tcW w:w="1701" w:type="dxa"/>
            <w:tcBorders>
              <w:top w:val="nil"/>
              <w:left w:val="nil"/>
              <w:bottom w:val="nil"/>
              <w:right w:val="nil"/>
            </w:tcBorders>
            <w:shd w:val="clear" w:color="auto" w:fill="D9D9D9" w:themeFill="background1" w:themeFillShade="D9"/>
            <w:vAlign w:val="center"/>
            <w:hideMark/>
          </w:tcPr>
          <w:p w:rsidR="00355779" w:rsidRPr="00AC77CE" w:rsidRDefault="00355779" w:rsidP="00355779">
            <w:pPr>
              <w:ind w:right="589"/>
              <w:jc w:val="right"/>
              <w:rPr>
                <w:rFonts w:ascii="Arial Narrow" w:hAnsi="Arial Narrow"/>
                <w:b/>
                <w:bCs/>
                <w:color w:val="000000"/>
                <w:sz w:val="16"/>
                <w:szCs w:val="16"/>
                <w:lang w:val="en-US"/>
              </w:rPr>
            </w:pPr>
            <w:r w:rsidRPr="00AC77CE">
              <w:rPr>
                <w:rFonts w:ascii="Arial Narrow" w:hAnsi="Arial Narrow"/>
                <w:b/>
                <w:bCs/>
                <w:color w:val="000000"/>
                <w:sz w:val="16"/>
                <w:szCs w:val="16"/>
                <w:lang w:val="en-US"/>
              </w:rPr>
              <w:t>62</w:t>
            </w:r>
            <w:r>
              <w:rPr>
                <w:rFonts w:ascii="Arial Narrow" w:hAnsi="Arial Narrow"/>
                <w:b/>
                <w:bCs/>
                <w:color w:val="000000"/>
                <w:sz w:val="16"/>
                <w:szCs w:val="16"/>
                <w:lang w:val="en-US"/>
              </w:rPr>
              <w:t>6</w:t>
            </w:r>
          </w:p>
        </w:tc>
        <w:tc>
          <w:tcPr>
            <w:tcW w:w="1559" w:type="dxa"/>
            <w:tcBorders>
              <w:top w:val="nil"/>
              <w:left w:val="nil"/>
              <w:bottom w:val="nil"/>
              <w:right w:val="single" w:sz="4" w:space="0" w:color="auto"/>
            </w:tcBorders>
            <w:shd w:val="clear" w:color="auto" w:fill="D9D9D9" w:themeFill="background1" w:themeFillShade="D9"/>
            <w:vAlign w:val="center"/>
            <w:hideMark/>
          </w:tcPr>
          <w:p w:rsidR="00355779" w:rsidRPr="00826080" w:rsidRDefault="00355779" w:rsidP="00355779">
            <w:pPr>
              <w:ind w:right="589"/>
              <w:jc w:val="right"/>
              <w:rPr>
                <w:rFonts w:ascii="Arial Narrow" w:hAnsi="Arial Narrow"/>
                <w:b/>
                <w:bCs/>
                <w:sz w:val="16"/>
                <w:szCs w:val="16"/>
              </w:rPr>
            </w:pPr>
            <w:r>
              <w:rPr>
                <w:rFonts w:ascii="Arial Narrow" w:hAnsi="Arial Narrow"/>
                <w:b/>
                <w:bCs/>
                <w:sz w:val="16"/>
                <w:szCs w:val="16"/>
                <w:lang w:val="en-US"/>
              </w:rPr>
              <w:t>49</w:t>
            </w:r>
          </w:p>
        </w:tc>
      </w:tr>
      <w:tr w:rsidR="00355779" w:rsidTr="002409EA">
        <w:trPr>
          <w:trHeight w:val="198"/>
          <w:jc w:val="center"/>
        </w:trPr>
        <w:tc>
          <w:tcPr>
            <w:tcW w:w="462" w:type="dxa"/>
            <w:tcBorders>
              <w:top w:val="nil"/>
              <w:left w:val="single" w:sz="4" w:space="0" w:color="auto"/>
              <w:bottom w:val="single" w:sz="4" w:space="0" w:color="auto"/>
              <w:right w:val="nil"/>
            </w:tcBorders>
            <w:shd w:val="clear" w:color="auto" w:fill="D9D9D9" w:themeFill="background1" w:themeFillShade="D9"/>
            <w:hideMark/>
          </w:tcPr>
          <w:p w:rsidR="00355779" w:rsidRDefault="00355779" w:rsidP="00355779">
            <w:pPr>
              <w:rPr>
                <w:rFonts w:asciiTheme="minorHAnsi" w:eastAsiaTheme="minorEastAsia" w:hAnsiTheme="minorHAnsi" w:cstheme="minorBidi"/>
                <w:sz w:val="22"/>
                <w:szCs w:val="22"/>
              </w:rPr>
            </w:pPr>
          </w:p>
        </w:tc>
        <w:tc>
          <w:tcPr>
            <w:tcW w:w="4788" w:type="dxa"/>
            <w:tcBorders>
              <w:top w:val="nil"/>
              <w:left w:val="nil"/>
              <w:bottom w:val="single" w:sz="4" w:space="0" w:color="auto"/>
              <w:right w:val="nil"/>
            </w:tcBorders>
            <w:shd w:val="clear" w:color="auto" w:fill="D9D9D9" w:themeFill="background1" w:themeFillShade="D9"/>
            <w:vAlign w:val="center"/>
            <w:hideMark/>
          </w:tcPr>
          <w:p w:rsidR="00355779" w:rsidRDefault="00355779" w:rsidP="00355779">
            <w:pPr>
              <w:rPr>
                <w:rFonts w:ascii="Arial Narrow" w:hAnsi="Arial Narrow"/>
                <w:b/>
                <w:bCs/>
                <w:sz w:val="16"/>
                <w:szCs w:val="16"/>
              </w:rPr>
            </w:pPr>
            <w:r>
              <w:rPr>
                <w:rFonts w:ascii="Arial Narrow" w:hAnsi="Arial Narrow"/>
                <w:b/>
                <w:bCs/>
                <w:sz w:val="16"/>
                <w:szCs w:val="16"/>
              </w:rPr>
              <w:t>Λοιπές εθνικολογιστικές προσαρμογές (καταπτώσεις εγγυήσεων)</w:t>
            </w:r>
          </w:p>
        </w:tc>
        <w:tc>
          <w:tcPr>
            <w:tcW w:w="1701" w:type="dxa"/>
            <w:tcBorders>
              <w:top w:val="nil"/>
              <w:left w:val="nil"/>
              <w:bottom w:val="single" w:sz="4" w:space="0" w:color="auto"/>
              <w:right w:val="nil"/>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lang w:val="en-US"/>
              </w:rPr>
            </w:pPr>
            <w:r>
              <w:rPr>
                <w:rFonts w:ascii="Arial Narrow" w:hAnsi="Arial Narrow"/>
                <w:b/>
                <w:bCs/>
                <w:color w:val="000000"/>
                <w:sz w:val="16"/>
                <w:szCs w:val="16"/>
                <w:lang w:val="en-US"/>
              </w:rPr>
              <w:t>924</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355779" w:rsidRDefault="00355779" w:rsidP="00355779">
            <w:pPr>
              <w:ind w:right="589"/>
              <w:jc w:val="right"/>
              <w:rPr>
                <w:rFonts w:ascii="Arial Narrow" w:hAnsi="Arial Narrow"/>
                <w:b/>
                <w:bCs/>
                <w:color w:val="000000"/>
                <w:sz w:val="16"/>
                <w:szCs w:val="16"/>
                <w:lang w:val="en-US"/>
              </w:rPr>
            </w:pPr>
            <w:r>
              <w:rPr>
                <w:rFonts w:ascii="Arial Narrow" w:hAnsi="Arial Narrow"/>
                <w:b/>
                <w:bCs/>
                <w:color w:val="000000"/>
                <w:sz w:val="16"/>
                <w:szCs w:val="16"/>
                <w:lang w:val="en-US"/>
              </w:rPr>
              <w:t>365</w:t>
            </w:r>
          </w:p>
        </w:tc>
      </w:tr>
    </w:tbl>
    <w:p w:rsidR="00355779" w:rsidRDefault="00355779" w:rsidP="00355779">
      <w:pPr>
        <w:rPr>
          <w:sz w:val="22"/>
          <w:highlight w:val="yellow"/>
        </w:rPr>
      </w:pPr>
    </w:p>
    <w:p w:rsidR="00355779" w:rsidRDefault="00355779" w:rsidP="00355779">
      <w:pPr>
        <w:jc w:val="both"/>
        <w:rPr>
          <w:sz w:val="22"/>
        </w:rPr>
      </w:pPr>
      <w:r w:rsidRPr="008D4359">
        <w:rPr>
          <w:sz w:val="22"/>
        </w:rPr>
        <w:t xml:space="preserve">Όπως προκύπτει από τα στοιχεία του ανωτέρω </w:t>
      </w:r>
      <w:r w:rsidRPr="007A3332">
        <w:rPr>
          <w:sz w:val="22"/>
        </w:rPr>
        <w:t xml:space="preserve">πίνακα </w:t>
      </w:r>
      <w:r w:rsidR="003F7271" w:rsidRPr="003F7271">
        <w:rPr>
          <w:sz w:val="22"/>
        </w:rPr>
        <w:t>3.23</w:t>
      </w:r>
      <w:r>
        <w:rPr>
          <w:sz w:val="22"/>
        </w:rPr>
        <w:t xml:space="preserve"> το ισοζύγιο</w:t>
      </w:r>
      <w:r w:rsidRPr="007A3332">
        <w:rPr>
          <w:sz w:val="22"/>
        </w:rPr>
        <w:t xml:space="preserve"> </w:t>
      </w:r>
      <w:r>
        <w:rPr>
          <w:sz w:val="22"/>
        </w:rPr>
        <w:t>των ΔΕΚΟ</w:t>
      </w:r>
      <w:r w:rsidRPr="007A3332">
        <w:rPr>
          <w:sz w:val="22"/>
        </w:rPr>
        <w:t xml:space="preserve"> </w:t>
      </w:r>
      <w:r>
        <w:rPr>
          <w:sz w:val="22"/>
        </w:rPr>
        <w:t>κατά Ε</w:t>
      </w:r>
      <w:r>
        <w:rPr>
          <w:sz w:val="22"/>
          <w:lang w:val="en-US"/>
        </w:rPr>
        <w:t>SA</w:t>
      </w:r>
      <w:r w:rsidRPr="007A3332">
        <w:rPr>
          <w:sz w:val="22"/>
        </w:rPr>
        <w:t xml:space="preserve"> </w:t>
      </w:r>
      <w:r>
        <w:rPr>
          <w:sz w:val="22"/>
        </w:rPr>
        <w:t>(με καταπτώσεις εγγυήσεων)</w:t>
      </w:r>
      <w:r w:rsidRPr="007A3332">
        <w:rPr>
          <w:sz w:val="22"/>
        </w:rPr>
        <w:t>,</w:t>
      </w:r>
      <w:r>
        <w:rPr>
          <w:sz w:val="22"/>
        </w:rPr>
        <w:t xml:space="preserve"> </w:t>
      </w:r>
      <w:r w:rsidRPr="008D4359">
        <w:rPr>
          <w:sz w:val="22"/>
        </w:rPr>
        <w:t xml:space="preserve">προβλέπεται σε πλεόνασμα ύψους </w:t>
      </w:r>
      <w:r w:rsidRPr="007A3332">
        <w:rPr>
          <w:sz w:val="22"/>
        </w:rPr>
        <w:t>414</w:t>
      </w:r>
      <w:r w:rsidRPr="008D4359">
        <w:rPr>
          <w:sz w:val="22"/>
        </w:rPr>
        <w:t xml:space="preserve"> εκατ. ευρώ στο έτος 2019, έναντι </w:t>
      </w:r>
      <w:r w:rsidRPr="00E91E76">
        <w:rPr>
          <w:sz w:val="22"/>
        </w:rPr>
        <w:t>πλεονάσματος ύψους 1.5</w:t>
      </w:r>
      <w:r w:rsidRPr="007A3332">
        <w:rPr>
          <w:sz w:val="22"/>
        </w:rPr>
        <w:t>50</w:t>
      </w:r>
      <w:r w:rsidRPr="00E91E76">
        <w:rPr>
          <w:sz w:val="22"/>
        </w:rPr>
        <w:t xml:space="preserve"> εκατ.</w:t>
      </w:r>
      <w:r>
        <w:rPr>
          <w:sz w:val="22"/>
        </w:rPr>
        <w:t xml:space="preserve"> </w:t>
      </w:r>
      <w:r w:rsidRPr="008D4359">
        <w:rPr>
          <w:sz w:val="22"/>
        </w:rPr>
        <w:t xml:space="preserve">ευρώ των εκτιμήσεων του έτους 2018. </w:t>
      </w:r>
    </w:p>
    <w:p w:rsidR="00355779" w:rsidRDefault="00355779" w:rsidP="00355779">
      <w:pPr>
        <w:jc w:val="both"/>
        <w:rPr>
          <w:sz w:val="22"/>
        </w:rPr>
      </w:pPr>
    </w:p>
    <w:p w:rsidR="00355779" w:rsidRDefault="00355779" w:rsidP="00355779">
      <w:pPr>
        <w:jc w:val="both"/>
        <w:rPr>
          <w:sz w:val="22"/>
        </w:rPr>
      </w:pPr>
      <w:r w:rsidRPr="00E91E76">
        <w:rPr>
          <w:sz w:val="22"/>
        </w:rPr>
        <w:t>Η μείωση αυτή προκύπτει ως συνδυαστικό αποτέλεσμα της διαμόρφωσης στο έτος 2019 του ποσού των καταπτώσεων εγγυήσεων σε πολύ χαμηλότερα επίπεδα έναντι του έτους 2018 (36</w:t>
      </w:r>
      <w:r w:rsidRPr="00031C6D">
        <w:rPr>
          <w:sz w:val="22"/>
        </w:rPr>
        <w:t>5</w:t>
      </w:r>
      <w:r w:rsidRPr="00E91E76">
        <w:rPr>
          <w:sz w:val="22"/>
        </w:rPr>
        <w:t xml:space="preserve"> εκατ. ευρώ στο έτος 2019, έναντι 92</w:t>
      </w:r>
      <w:r w:rsidRPr="00031C6D">
        <w:rPr>
          <w:sz w:val="22"/>
        </w:rPr>
        <w:t>4</w:t>
      </w:r>
      <w:r w:rsidRPr="00E91E76">
        <w:rPr>
          <w:sz w:val="22"/>
        </w:rPr>
        <w:t xml:space="preserve"> εκατ. ευρώ στο έτος 2018), καθώς και των εκτιμώμενων αυξημένων μεταβιβάσεων από το ΠΔΕ προς τις ΔΕΚΟ του Υπουργείου Υποδομών και Μεταφορών κατά το έτος 2018.</w:t>
      </w:r>
    </w:p>
    <w:p w:rsidR="00355779" w:rsidRPr="008D4359" w:rsidRDefault="00355779" w:rsidP="00355779">
      <w:pPr>
        <w:jc w:val="both"/>
        <w:rPr>
          <w:sz w:val="22"/>
        </w:rPr>
      </w:pPr>
    </w:p>
    <w:p w:rsidR="00355779" w:rsidRPr="00EE7BDA" w:rsidRDefault="00355779" w:rsidP="00355779">
      <w:pPr>
        <w:jc w:val="both"/>
        <w:rPr>
          <w:sz w:val="22"/>
        </w:rPr>
      </w:pPr>
      <w:r w:rsidRPr="009B56E6">
        <w:rPr>
          <w:sz w:val="22"/>
        </w:rPr>
        <w:t>Κύριες πηγές εσόδων των ανωτέρω φορέων, αποτελούν τα έσοδα από πωλήσεις υπηρεσιών, οι επιχορηγήσεις του ΠΔΕ για την υλοποίηση επενδυτικών δαπανών, ιδιαίτερα στους τομείς των μεταφορών, των υποδομών, της πληροφορικής, των επικοινωνιών και των νέων τεχνολογιών.</w:t>
      </w:r>
    </w:p>
    <w:p w:rsidR="00355779" w:rsidRPr="00EE7BDA" w:rsidRDefault="00355779" w:rsidP="00355779">
      <w:pPr>
        <w:jc w:val="both"/>
        <w:rPr>
          <w:sz w:val="22"/>
        </w:rPr>
      </w:pPr>
    </w:p>
    <w:p w:rsidR="00355779" w:rsidRPr="00EE7BDA" w:rsidRDefault="00355779" w:rsidP="00355779">
      <w:pPr>
        <w:jc w:val="both"/>
        <w:rPr>
          <w:sz w:val="22"/>
        </w:rPr>
      </w:pPr>
      <w:r w:rsidRPr="00EE7BDA">
        <w:rPr>
          <w:sz w:val="22"/>
        </w:rPr>
        <w:t>Η ανάλυση των ΔΕΚΟ ανά Υπουργείο, έχει ως εξής:</w:t>
      </w:r>
    </w:p>
    <w:p w:rsidR="00355779" w:rsidRPr="00EE7BDA" w:rsidRDefault="00355779" w:rsidP="00355779">
      <w:pPr>
        <w:jc w:val="both"/>
        <w:rPr>
          <w:sz w:val="22"/>
        </w:rPr>
      </w:pPr>
    </w:p>
    <w:p w:rsidR="00355779" w:rsidRDefault="00355779" w:rsidP="006556BD">
      <w:pPr>
        <w:numPr>
          <w:ilvl w:val="0"/>
          <w:numId w:val="10"/>
        </w:numPr>
        <w:ind w:left="284" w:hanging="284"/>
        <w:jc w:val="both"/>
        <w:rPr>
          <w:sz w:val="22"/>
        </w:rPr>
      </w:pPr>
      <w:r w:rsidRPr="00F70929">
        <w:rPr>
          <w:sz w:val="22"/>
        </w:rPr>
        <w:t xml:space="preserve">Στο Υπουργείο Διοικητικής Ανασυγκρότησης, περιλαμβάνεται η «Κοινωνία της Πληροφορίας (ΚτΠ) ΑΕ», η οποία έχει καταστεί φορέας υλοποίησης και διαχειριστής της παραγωγικής λειτουργίας των έργων </w:t>
      </w:r>
      <w:r>
        <w:rPr>
          <w:sz w:val="22"/>
        </w:rPr>
        <w:t>τα οποία</w:t>
      </w:r>
      <w:r w:rsidRPr="00F70929">
        <w:rPr>
          <w:sz w:val="22"/>
        </w:rPr>
        <w:t xml:space="preserve"> </w:t>
      </w:r>
      <w:r>
        <w:rPr>
          <w:sz w:val="22"/>
        </w:rPr>
        <w:t>υλοποιήθηκαν στο</w:t>
      </w:r>
      <w:r w:rsidRPr="00F70929">
        <w:rPr>
          <w:sz w:val="22"/>
        </w:rPr>
        <w:t xml:space="preserve"> πλαίσι</w:t>
      </w:r>
      <w:r>
        <w:rPr>
          <w:sz w:val="22"/>
        </w:rPr>
        <w:t>ο</w:t>
      </w:r>
      <w:r w:rsidRPr="00F70929">
        <w:rPr>
          <w:sz w:val="22"/>
        </w:rPr>
        <w:t xml:space="preserve"> προηγούμενων προγραμματικών περιόδων</w:t>
      </w:r>
      <w:r>
        <w:rPr>
          <w:sz w:val="22"/>
        </w:rPr>
        <w:t xml:space="preserve">.  Η εταιρεία </w:t>
      </w:r>
      <w:r w:rsidRPr="00F70929">
        <w:rPr>
          <w:sz w:val="22"/>
        </w:rPr>
        <w:t>λειτουργεί ως φορέας που με οριζόντιο τρόπο καλύπτει</w:t>
      </w:r>
      <w:r>
        <w:rPr>
          <w:sz w:val="22"/>
        </w:rPr>
        <w:t xml:space="preserve"> κοινές ανάγκες των φορέων του Δ</w:t>
      </w:r>
      <w:r w:rsidRPr="00F70929">
        <w:rPr>
          <w:sz w:val="22"/>
        </w:rPr>
        <w:t>ημοσίου σε υποδομές πληροφορικής και επικοινωνιών, επιτυγχάνοντας έτσι σημαντικές οικονομίες κλίμακας για το</w:t>
      </w:r>
      <w:r>
        <w:rPr>
          <w:sz w:val="22"/>
        </w:rPr>
        <w:t>ν</w:t>
      </w:r>
      <w:r w:rsidRPr="00F70929">
        <w:rPr>
          <w:sz w:val="22"/>
        </w:rPr>
        <w:t xml:space="preserve"> δημόσιο τομέα</w:t>
      </w:r>
      <w:r>
        <w:rPr>
          <w:sz w:val="22"/>
        </w:rPr>
        <w:t xml:space="preserve"> και </w:t>
      </w:r>
      <w:r w:rsidRPr="00F70929">
        <w:rPr>
          <w:sz w:val="22"/>
        </w:rPr>
        <w:t>παρουσιάζει ισοσκελισμένο προϋπολογισμό στα έτη 2018 και 2019.</w:t>
      </w:r>
    </w:p>
    <w:p w:rsidR="00355779" w:rsidRDefault="00355779" w:rsidP="00355779">
      <w:pPr>
        <w:ind w:left="284"/>
        <w:jc w:val="both"/>
        <w:rPr>
          <w:sz w:val="22"/>
        </w:rPr>
      </w:pPr>
    </w:p>
    <w:p w:rsidR="00355779" w:rsidRPr="00C61300" w:rsidRDefault="00355779" w:rsidP="006556BD">
      <w:pPr>
        <w:numPr>
          <w:ilvl w:val="0"/>
          <w:numId w:val="10"/>
        </w:numPr>
        <w:ind w:left="284" w:hanging="284"/>
        <w:jc w:val="both"/>
        <w:rPr>
          <w:sz w:val="22"/>
        </w:rPr>
      </w:pPr>
      <w:r>
        <w:rPr>
          <w:sz w:val="22"/>
        </w:rPr>
        <w:t>Στο Υπουργείο Εθνικής Άμυνας</w:t>
      </w:r>
      <w:r w:rsidRPr="00C61300">
        <w:rPr>
          <w:sz w:val="22"/>
        </w:rPr>
        <w:t xml:space="preserve"> περιλαμβάνεται η εταιρεία «Ελληνικά Αμυντικά Συστήματα (ΕΑΣ) ΑΒΕΕ»</w:t>
      </w:r>
      <w:r>
        <w:rPr>
          <w:sz w:val="22"/>
        </w:rPr>
        <w:t>,</w:t>
      </w:r>
      <w:r w:rsidRPr="00C61300">
        <w:rPr>
          <w:sz w:val="22"/>
        </w:rPr>
        <w:t xml:space="preserve"> το θετικό δημοσιονομικό αποτέλεσμα της οποίας</w:t>
      </w:r>
      <w:r>
        <w:rPr>
          <w:sz w:val="22"/>
        </w:rPr>
        <w:t xml:space="preserve"> </w:t>
      </w:r>
      <w:r w:rsidRPr="00C61300">
        <w:rPr>
          <w:sz w:val="22"/>
        </w:rPr>
        <w:t xml:space="preserve">προβλέπεται να διαμορφωθεί στο ποσό των 32 εκατ. ευρώ στο έτος 2019. </w:t>
      </w:r>
    </w:p>
    <w:p w:rsidR="00355779" w:rsidRDefault="00355779" w:rsidP="00355779">
      <w:pPr>
        <w:ind w:left="284"/>
        <w:jc w:val="both"/>
        <w:rPr>
          <w:sz w:val="22"/>
        </w:rPr>
      </w:pPr>
    </w:p>
    <w:p w:rsidR="00355779" w:rsidRDefault="00355779" w:rsidP="006556BD">
      <w:pPr>
        <w:numPr>
          <w:ilvl w:val="0"/>
          <w:numId w:val="16"/>
        </w:numPr>
        <w:ind w:left="284" w:hanging="284"/>
        <w:jc w:val="both"/>
      </w:pPr>
      <w:r w:rsidRPr="00413483">
        <w:rPr>
          <w:sz w:val="22"/>
          <w:szCs w:val="22"/>
        </w:rPr>
        <w:t>Στο Υπουργείο Υγε</w:t>
      </w:r>
      <w:r>
        <w:rPr>
          <w:sz w:val="22"/>
          <w:szCs w:val="22"/>
        </w:rPr>
        <w:t xml:space="preserve">ίας εποπτευόμενη ΔΕΚΟ είναι το </w:t>
      </w:r>
      <w:r w:rsidRPr="00413483">
        <w:rPr>
          <w:sz w:val="22"/>
          <w:szCs w:val="22"/>
        </w:rPr>
        <w:t>Κέντρο Ελέγχου και Πρόληψης Νοσημάτων</w:t>
      </w:r>
      <w:r>
        <w:rPr>
          <w:sz w:val="22"/>
          <w:szCs w:val="22"/>
        </w:rPr>
        <w:t xml:space="preserve"> (ΚΕΕΛΠΝΟ)</w:t>
      </w:r>
      <w:r w:rsidRPr="00413483">
        <w:rPr>
          <w:sz w:val="22"/>
          <w:szCs w:val="22"/>
        </w:rPr>
        <w:t xml:space="preserve">, με </w:t>
      </w:r>
      <w:r>
        <w:rPr>
          <w:sz w:val="22"/>
          <w:szCs w:val="22"/>
        </w:rPr>
        <w:t>σκοπό</w:t>
      </w:r>
      <w:r w:rsidRPr="00413483">
        <w:rPr>
          <w:sz w:val="22"/>
          <w:szCs w:val="22"/>
        </w:rPr>
        <w:t xml:space="preserve"> την προστασία και την προαγωγή της δημόσιας υγείας, την επιδημιολογική επιτήρηση λοιμωδών νοσημάτων, τη λειτουργία μονάδων ειδικών λοιμώξεων, την αντιμετώπιση έκτακτων κινδύνων για τη δημόσια υγεία, καθώς και την υποστήριξη ειδικών και ευαίσθητων κοινωνικών ομάδων του πληθυσμού. </w:t>
      </w:r>
      <w:r>
        <w:rPr>
          <w:sz w:val="22"/>
          <w:szCs w:val="22"/>
        </w:rPr>
        <w:t>Για το έτος</w:t>
      </w:r>
      <w:r w:rsidRPr="00413483">
        <w:rPr>
          <w:sz w:val="22"/>
          <w:szCs w:val="22"/>
        </w:rPr>
        <w:t xml:space="preserve"> 2018 </w:t>
      </w:r>
      <w:r>
        <w:rPr>
          <w:sz w:val="22"/>
          <w:szCs w:val="22"/>
        </w:rPr>
        <w:t xml:space="preserve">το </w:t>
      </w:r>
      <w:r w:rsidRPr="00413483">
        <w:rPr>
          <w:sz w:val="22"/>
          <w:szCs w:val="22"/>
        </w:rPr>
        <w:t xml:space="preserve">ΚΕΕΛΠΝΟ </w:t>
      </w:r>
      <w:r>
        <w:rPr>
          <w:sz w:val="22"/>
          <w:szCs w:val="22"/>
        </w:rPr>
        <w:t xml:space="preserve">αναμένεται να εμφανίσει έλλειμμα ύψους περίπου 4 εκατ. ευρώ, οφειλόμενο σε δαπάνες για την αντιμετώπιση των προσφυγικών ροών, το οποίο θα καλυφθεί από τα ταμειακά διαθέσιμα του φορέα, ενώ για το έτος 2019 προβλέπεται </w:t>
      </w:r>
      <w:r w:rsidRPr="00413483">
        <w:rPr>
          <w:sz w:val="22"/>
          <w:szCs w:val="22"/>
        </w:rPr>
        <w:t xml:space="preserve">ισοσκελισμένο αποτέλεσμα. </w:t>
      </w:r>
    </w:p>
    <w:p w:rsidR="00355779" w:rsidRDefault="00355779" w:rsidP="00355779">
      <w:pPr>
        <w:ind w:left="284" w:hanging="284"/>
        <w:jc w:val="both"/>
        <w:rPr>
          <w:sz w:val="22"/>
          <w:highlight w:val="yellow"/>
        </w:rPr>
      </w:pPr>
    </w:p>
    <w:p w:rsidR="00355779" w:rsidRPr="00F70929" w:rsidRDefault="00355779" w:rsidP="006556BD">
      <w:pPr>
        <w:numPr>
          <w:ilvl w:val="0"/>
          <w:numId w:val="10"/>
        </w:numPr>
        <w:ind w:left="284" w:hanging="284"/>
        <w:jc w:val="both"/>
        <w:rPr>
          <w:sz w:val="22"/>
        </w:rPr>
      </w:pPr>
      <w:r>
        <w:rPr>
          <w:sz w:val="22"/>
        </w:rPr>
        <w:t>Στο Υπουργείο Οικονομικών</w:t>
      </w:r>
      <w:r w:rsidRPr="00F70929">
        <w:rPr>
          <w:sz w:val="22"/>
        </w:rPr>
        <w:t xml:space="preserve"> περιλαμβάνεται ο φορέας «Ελληνική Αεροπορική Βιομηχανία (ΕΑΒ) ΑΕ», το πλεόνασμα της οποίας στο έτος 2019 προβλέπεται </w:t>
      </w:r>
      <w:r>
        <w:rPr>
          <w:sz w:val="22"/>
        </w:rPr>
        <w:t>να διαμορφωθεί στο ποσό των 10</w:t>
      </w:r>
      <w:r w:rsidRPr="00F70929">
        <w:rPr>
          <w:sz w:val="22"/>
        </w:rPr>
        <w:t xml:space="preserve"> εκατ. ευ</w:t>
      </w:r>
      <w:r>
        <w:rPr>
          <w:sz w:val="22"/>
        </w:rPr>
        <w:t>ρώ, έναντι εκτιμήσεων ύψους 43</w:t>
      </w:r>
      <w:r w:rsidRPr="00F70929">
        <w:rPr>
          <w:sz w:val="22"/>
        </w:rPr>
        <w:t xml:space="preserve"> εκατ. ευρώ του έτους 2018. Η μείωση του πλεονάσματος οφείλεται αποκλειστικά στ</w:t>
      </w:r>
      <w:r>
        <w:rPr>
          <w:sz w:val="22"/>
        </w:rPr>
        <w:t xml:space="preserve">ην εξάλειψη </w:t>
      </w:r>
      <w:r w:rsidRPr="00F70929">
        <w:rPr>
          <w:sz w:val="22"/>
        </w:rPr>
        <w:t xml:space="preserve">στο έτος 2019 του ποσού των καταπτώσεων των εγγυημένων από το Ελληνικό Δημόσιο δανείων της εταιρείας, σε σχέση με το αντίστοιχο ποσό του έτους 2018, ύψους 58 εκατ. ευρώ. </w:t>
      </w:r>
    </w:p>
    <w:p w:rsidR="00355779" w:rsidRPr="00E91E76" w:rsidRDefault="00355779" w:rsidP="00355779">
      <w:pPr>
        <w:ind w:left="284"/>
        <w:jc w:val="both"/>
        <w:rPr>
          <w:sz w:val="22"/>
        </w:rPr>
      </w:pPr>
    </w:p>
    <w:p w:rsidR="00355779" w:rsidRPr="00783ECD" w:rsidRDefault="00355779" w:rsidP="006556BD">
      <w:pPr>
        <w:numPr>
          <w:ilvl w:val="0"/>
          <w:numId w:val="10"/>
        </w:numPr>
        <w:ind w:left="284" w:hanging="284"/>
        <w:jc w:val="both"/>
        <w:rPr>
          <w:sz w:val="22"/>
        </w:rPr>
      </w:pPr>
      <w:r w:rsidRPr="00E91E76">
        <w:rPr>
          <w:sz w:val="22"/>
        </w:rPr>
        <w:t>Στο Υπουργείο Α</w:t>
      </w:r>
      <w:r>
        <w:rPr>
          <w:sz w:val="22"/>
        </w:rPr>
        <w:t>γροτικής Ανάπτυξης και Τροφίμων</w:t>
      </w:r>
      <w:r w:rsidRPr="00E91E76">
        <w:rPr>
          <w:sz w:val="22"/>
        </w:rPr>
        <w:t xml:space="preserve"> υπάγονται ο «Ελληνικός Οργανισμός</w:t>
      </w:r>
      <w:r w:rsidRPr="00783ECD">
        <w:rPr>
          <w:sz w:val="22"/>
        </w:rPr>
        <w:t xml:space="preserve"> Γεωργικών Ασφαλίσεων (ΕΛΓΑ)», ο οποίος αποτελεί κεντρικό φορέα ασφαλιστικής κάλυψης των γεωργικών εκμεταλλεύσεων στην Ελλάδα, ο «Οργανισμός Πληρωμών και Ελέγχου Κοινοτικών Ενισχύσεων Προσανατολισμού και Εγγυήσεων (ΟΠΕΚΕΠΕ)», με σκοπό τη διαχείριση των εισροών από το Ευρωπαϊκό Γεωργικό Ταμείο Εγγυήσεων (ΕΓΤΕ), το Ευρωπαϊκό Γεωργικ</w:t>
      </w:r>
      <w:r>
        <w:rPr>
          <w:sz w:val="22"/>
        </w:rPr>
        <w:t>ό</w:t>
      </w:r>
      <w:r w:rsidRPr="00783ECD">
        <w:rPr>
          <w:sz w:val="22"/>
        </w:rPr>
        <w:t xml:space="preserve"> Ταμείο Αγροτικής Ανάπτυξης (ΕΓΤΑΑ) και το Ευρωπαϊκό Ταμείο Θάλασσας και Αλιείας (ΕΤΘΑ), καθώς και ο «Ειδικός Λογαριασμός Εγγυήσεων Γεωργικών Προϊόντων (ΕΛΕΓΕΠ). Στη βελτίωση του δημοσιονομικού αποτελέσματος στο έτος 2019 συμβά</w:t>
      </w:r>
      <w:r>
        <w:rPr>
          <w:sz w:val="22"/>
        </w:rPr>
        <w:t>λλουν τα πλεονάσματα των φορέων</w:t>
      </w:r>
      <w:r w:rsidRPr="00783ECD">
        <w:rPr>
          <w:sz w:val="22"/>
        </w:rPr>
        <w:t xml:space="preserve"> «ΕΛΕΓΕΠ» </w:t>
      </w:r>
      <w:r>
        <w:rPr>
          <w:sz w:val="22"/>
        </w:rPr>
        <w:t xml:space="preserve">και </w:t>
      </w:r>
      <w:r w:rsidRPr="00783ECD">
        <w:rPr>
          <w:sz w:val="22"/>
        </w:rPr>
        <w:t xml:space="preserve">«ΕΛΓΑ». </w:t>
      </w:r>
    </w:p>
    <w:p w:rsidR="00355779" w:rsidRDefault="00355779" w:rsidP="00355779">
      <w:pPr>
        <w:ind w:left="284" w:hanging="284"/>
        <w:jc w:val="both"/>
        <w:rPr>
          <w:sz w:val="22"/>
          <w:highlight w:val="yellow"/>
        </w:rPr>
      </w:pPr>
    </w:p>
    <w:p w:rsidR="00355779" w:rsidRPr="00E91E76" w:rsidRDefault="00355779" w:rsidP="006556BD">
      <w:pPr>
        <w:numPr>
          <w:ilvl w:val="0"/>
          <w:numId w:val="10"/>
        </w:numPr>
        <w:ind w:left="284" w:hanging="284"/>
        <w:jc w:val="both"/>
        <w:rPr>
          <w:sz w:val="22"/>
        </w:rPr>
      </w:pPr>
      <w:r w:rsidRPr="005D1515">
        <w:rPr>
          <w:sz w:val="22"/>
        </w:rPr>
        <w:t>Στο Υπουργείο Περιβάλλοντος και Ενέργειας περιλαμβάνεται ο φορέας «Πράσινο Ταμείο» τα έσοδα του οποίου προέρχονται κυρίως από τη ρύθμιση αυθαιρέτων κτισμάτων, τα τέλη διαδικασιών περιβαλλοντικής αδειοδότησης, τα πρόστιμα από παραβάσεις της περιβαλλοντικής νομοθεσίας</w:t>
      </w:r>
      <w:r>
        <w:rPr>
          <w:sz w:val="22"/>
        </w:rPr>
        <w:t>,</w:t>
      </w:r>
      <w:r w:rsidRPr="005D1515">
        <w:rPr>
          <w:sz w:val="22"/>
        </w:rPr>
        <w:t xml:space="preserve"> καθώς και τα έσοδα από πρόστιμα που επιβάλλονται στους παραβάτες της δασικής νομοθεσίας.  Το αποτέλεσμα του Πράσινου Ταμείου </w:t>
      </w:r>
      <w:r>
        <w:rPr>
          <w:sz w:val="22"/>
        </w:rPr>
        <w:t>στο έτος</w:t>
      </w:r>
      <w:r w:rsidRPr="005D1515">
        <w:rPr>
          <w:sz w:val="22"/>
        </w:rPr>
        <w:t xml:space="preserve"> 2019 πρ</w:t>
      </w:r>
      <w:r>
        <w:rPr>
          <w:sz w:val="22"/>
        </w:rPr>
        <w:t>οβλέπεται να διαμορφωθεί στα 177</w:t>
      </w:r>
      <w:r w:rsidRPr="005D1515">
        <w:rPr>
          <w:sz w:val="22"/>
        </w:rPr>
        <w:t xml:space="preserve"> εκατ. ευρώ και είναι μειωμένο σε σχέση με το </w:t>
      </w:r>
      <w:r>
        <w:rPr>
          <w:sz w:val="22"/>
        </w:rPr>
        <w:t xml:space="preserve">έτος </w:t>
      </w:r>
      <w:r w:rsidRPr="005D1515">
        <w:rPr>
          <w:sz w:val="22"/>
        </w:rPr>
        <w:t xml:space="preserve">2018, λόγω αύξησης των προγραμμάτων και των δράσεων που χρηματοδοτεί ο εν λόγω φορέας με σκοπό την ενίσχυση της ανάπτυξης μέσω της </w:t>
      </w:r>
      <w:r w:rsidRPr="00E91E76">
        <w:rPr>
          <w:sz w:val="22"/>
        </w:rPr>
        <w:t>προστασίας του περιβάλλοντος.</w:t>
      </w:r>
    </w:p>
    <w:p w:rsidR="00355779" w:rsidRDefault="00355779" w:rsidP="00355779">
      <w:pPr>
        <w:ind w:left="284"/>
        <w:jc w:val="both"/>
        <w:rPr>
          <w:sz w:val="22"/>
        </w:rPr>
      </w:pPr>
    </w:p>
    <w:p w:rsidR="00355779" w:rsidRDefault="00355779" w:rsidP="006556BD">
      <w:pPr>
        <w:numPr>
          <w:ilvl w:val="0"/>
          <w:numId w:val="10"/>
        </w:numPr>
        <w:ind w:left="284" w:hanging="284"/>
        <w:jc w:val="both"/>
        <w:rPr>
          <w:sz w:val="22"/>
        </w:rPr>
      </w:pPr>
      <w:r>
        <w:rPr>
          <w:sz w:val="22"/>
        </w:rPr>
        <w:t xml:space="preserve">Στις </w:t>
      </w:r>
      <w:r w:rsidRPr="00EE0588">
        <w:rPr>
          <w:sz w:val="22"/>
        </w:rPr>
        <w:t xml:space="preserve">ΔΕΚΟ του Υπουργείου Οικονομίας και Ανάπτυξης </w:t>
      </w:r>
      <w:r w:rsidRPr="00C61300">
        <w:rPr>
          <w:sz w:val="22"/>
        </w:rPr>
        <w:t xml:space="preserve">περιλαμβάνεται η Μονάδα Οργάνωσης της Διαχείρισης Αναπτυξιακών Προγραμμάτων ΑΕ (ΜΟΔ ΑΕ), με αποστολή τη στήριξη και ενίσχυση της Δημόσιας Διοίκησης για την αποτελεσματική διαχείριση και εφαρμογή των συγχρηματοδοτούμενων από την Ευρωπαϊκή Ένωση Επιχειρησιακών Προγραμμάτων, καλύπτοντας κυρίως ανάγκες σε εξειδικευμένο ανθρώπινο δυναμικό, συστήματα, εργαλεία και διαδικασίες, μεταφορά τεχνογνωσίας και υλικοτεχνική υποδομή. Η ΜΟΔ ΑΕ προβλέπεται ότι θα παρουσιάσει </w:t>
      </w:r>
      <w:r>
        <w:rPr>
          <w:sz w:val="22"/>
        </w:rPr>
        <w:t xml:space="preserve">ισοσκελισμένο προϋπολογισμό για </w:t>
      </w:r>
      <w:r w:rsidRPr="00C61300">
        <w:rPr>
          <w:sz w:val="22"/>
        </w:rPr>
        <w:t xml:space="preserve">το έτος 2019. </w:t>
      </w:r>
    </w:p>
    <w:p w:rsidR="00355779" w:rsidRPr="00E91E76" w:rsidRDefault="00355779" w:rsidP="00355779">
      <w:pPr>
        <w:rPr>
          <w:rFonts w:ascii="Arial" w:hAnsi="Arial" w:cs="Arial"/>
        </w:rPr>
      </w:pPr>
      <w:r w:rsidRPr="00E91E76">
        <w:rPr>
          <w:rFonts w:ascii="Arial" w:hAnsi="Arial" w:cs="Arial"/>
        </w:rPr>
        <w:t xml:space="preserve">    </w:t>
      </w:r>
    </w:p>
    <w:p w:rsidR="00355779" w:rsidRDefault="00355779" w:rsidP="006556BD">
      <w:pPr>
        <w:numPr>
          <w:ilvl w:val="0"/>
          <w:numId w:val="9"/>
        </w:numPr>
        <w:ind w:left="284" w:hanging="284"/>
        <w:jc w:val="both"/>
        <w:rPr>
          <w:sz w:val="22"/>
        </w:rPr>
      </w:pPr>
      <w:r w:rsidRPr="00E91E76">
        <w:rPr>
          <w:sz w:val="22"/>
        </w:rPr>
        <w:t>Στο Υπουργείο Υποδομών και Μεταφορών περιλαμβάνονται οι φορείς:</w:t>
      </w:r>
      <w:r w:rsidRPr="00E91E76">
        <w:rPr>
          <w:bCs/>
          <w:sz w:val="22"/>
        </w:rPr>
        <w:t xml:space="preserve"> «</w:t>
      </w:r>
      <w:r w:rsidRPr="00E91E76">
        <w:rPr>
          <w:sz w:val="22"/>
        </w:rPr>
        <w:t xml:space="preserve">ΑΤΤΙΚΟ ΜΕΤΡΟ ΑΕ», «Οργανισμός Σιδηροδρόμων Ελλάδος (ΟΣΕ) ΑΕ», «ΕΡΓΟΣΕ ΑΕ», «Οργανισμός Αστικών Συγκοινωνιών Αθηνών (ΟΑΣΑ) ΑΕ», «Οδικές Συγκοινωνίες (ΟΣΥ) ΑΕ», «Σταθερές Συγκοινωνίες (ΣΤΑΣΥ) ΑΕ», «Οργανισμός Αστικών Συγκοινωνιών Θεσσαλονίκης (ΟΑΣΘ) - υπό εκκαθάριση», «ΕΓΝΑΤΙΑ  ΟΔΟΣ ΑΕ», </w:t>
      </w:r>
      <w:r w:rsidRPr="00E91E76">
        <w:rPr>
          <w:bCs/>
          <w:sz w:val="22"/>
        </w:rPr>
        <w:t>οι συμβάσεις παραχώρ</w:t>
      </w:r>
      <w:r>
        <w:rPr>
          <w:bCs/>
          <w:sz w:val="22"/>
        </w:rPr>
        <w:t>ησης πέντε (5) αυτοκινητοδρόμων</w:t>
      </w:r>
      <w:r w:rsidRPr="00E91E76">
        <w:rPr>
          <w:sz w:val="22"/>
        </w:rPr>
        <w:t xml:space="preserve"> και η «</w:t>
      </w:r>
      <w:r w:rsidRPr="00E91E76">
        <w:rPr>
          <w:bCs/>
          <w:sz w:val="22"/>
        </w:rPr>
        <w:t xml:space="preserve">Ελληνική Εταιρεία Συντήρησης Σιδηροδρομικού Τροχαίου Υλικού (ΕΕΣΣΤΥ) ΑΕ». Στο έτος 2019 δεν περιλαμβάνονται τα οικονομικά μεγέθη της ΕΕΣΣΤΥ, λόγω της επικείμενης ολοκλήρωσης της αποκρατικοποίησής της. </w:t>
      </w:r>
      <w:r w:rsidRPr="00E91E76">
        <w:rPr>
          <w:sz w:val="22"/>
        </w:rPr>
        <w:t xml:space="preserve">Το ισοζύγιο των φορέων του εν λόγω </w:t>
      </w:r>
      <w:r w:rsidR="0085795A" w:rsidRPr="00E91E76">
        <w:rPr>
          <w:sz w:val="22"/>
        </w:rPr>
        <w:t>Υπουργείου</w:t>
      </w:r>
      <w:r w:rsidR="0085795A" w:rsidRPr="00B70B2A">
        <w:rPr>
          <w:sz w:val="22"/>
        </w:rPr>
        <w:t xml:space="preserve"> </w:t>
      </w:r>
      <w:r>
        <w:rPr>
          <w:sz w:val="22"/>
        </w:rPr>
        <w:t>στ</w:t>
      </w:r>
      <w:r w:rsidRPr="00B70B2A">
        <w:rPr>
          <w:sz w:val="22"/>
        </w:rPr>
        <w:t>ο έτος 2019 προβλέ</w:t>
      </w:r>
      <w:r w:rsidR="006F053F">
        <w:rPr>
          <w:sz w:val="22"/>
        </w:rPr>
        <w:t>πεται θετικό ύψους 1</w:t>
      </w:r>
      <w:r w:rsidRPr="00B70B2A">
        <w:rPr>
          <w:sz w:val="22"/>
        </w:rPr>
        <w:t>3</w:t>
      </w:r>
      <w:r w:rsidR="006F053F">
        <w:rPr>
          <w:sz w:val="22"/>
        </w:rPr>
        <w:t>9</w:t>
      </w:r>
      <w:r w:rsidRPr="00B70B2A">
        <w:rPr>
          <w:sz w:val="22"/>
        </w:rPr>
        <w:t xml:space="preserve"> εκατ. ευρώ, έναντι εκτιμώμενου πλεονάσματος </w:t>
      </w:r>
      <w:r>
        <w:rPr>
          <w:sz w:val="22"/>
        </w:rPr>
        <w:t>1</w:t>
      </w:r>
      <w:r w:rsidR="006F053F">
        <w:rPr>
          <w:sz w:val="22"/>
        </w:rPr>
        <w:t>.265</w:t>
      </w:r>
      <w:r w:rsidRPr="00E91E76">
        <w:rPr>
          <w:sz w:val="22"/>
        </w:rPr>
        <w:t xml:space="preserve"> εκατ. ευρώ στο έτος 2018. Κύριοι λόγοι για τη μείωση του πλεονάσματος είναι η σημαντικότατη μείωση στο έτος 2019 του ποσού για κα</w:t>
      </w:r>
      <w:r>
        <w:rPr>
          <w:sz w:val="22"/>
        </w:rPr>
        <w:t>ταπτώσεις εγγυήσεων του ΟΣΕ (32</w:t>
      </w:r>
      <w:r w:rsidRPr="00031C6D">
        <w:rPr>
          <w:sz w:val="22"/>
        </w:rPr>
        <w:t>7</w:t>
      </w:r>
      <w:r w:rsidRPr="00E91E76">
        <w:rPr>
          <w:sz w:val="22"/>
        </w:rPr>
        <w:t xml:space="preserve"> εκατ. ευρώ στο έτος 2019, έναντι 816 εκατ. ευρώ του έτους 2018), σε συνδυασμό με τις ιδιαίτερα αυξημένες μεταβιβάσεις από το ΠΔΕ στις ΔΕΚΟ στο έτος 2018</w:t>
      </w:r>
      <w:r>
        <w:rPr>
          <w:sz w:val="22"/>
        </w:rPr>
        <w:t xml:space="preserve"> για υποδομές</w:t>
      </w:r>
      <w:r w:rsidRPr="00E91E76">
        <w:rPr>
          <w:sz w:val="22"/>
        </w:rPr>
        <w:t xml:space="preserve">.  </w:t>
      </w:r>
    </w:p>
    <w:p w:rsidR="00355779" w:rsidRPr="00783ECD" w:rsidRDefault="00355779" w:rsidP="00355779">
      <w:pPr>
        <w:ind w:left="284"/>
        <w:jc w:val="both"/>
        <w:rPr>
          <w:sz w:val="22"/>
        </w:rPr>
      </w:pPr>
    </w:p>
    <w:p w:rsidR="00355779" w:rsidRPr="00AB73C2" w:rsidRDefault="006058D2" w:rsidP="006556BD">
      <w:pPr>
        <w:numPr>
          <w:ilvl w:val="0"/>
          <w:numId w:val="12"/>
        </w:numPr>
        <w:ind w:left="284" w:hanging="284"/>
        <w:jc w:val="both"/>
        <w:rPr>
          <w:sz w:val="22"/>
        </w:rPr>
      </w:pPr>
      <w:r>
        <w:rPr>
          <w:sz w:val="22"/>
        </w:rPr>
        <w:t xml:space="preserve">Στο </w:t>
      </w:r>
      <w:r w:rsidR="00355779">
        <w:rPr>
          <w:sz w:val="22"/>
        </w:rPr>
        <w:t>Υπουργείο Τουρισμού</w:t>
      </w:r>
      <w:r w:rsidR="00355779" w:rsidRPr="00AB73C2">
        <w:rPr>
          <w:sz w:val="22"/>
        </w:rPr>
        <w:t xml:space="preserve"> περιλαμβάνεται ο εποπτευόμενος φορέας «Ελληνικός Οργανισμός Τουρισμού (ΕΟΤ)», κυριότερη δράση του οποίου αποτελεί η διαφήμιση και προβολή της χώρας στο εσωτερικό και εξωτε</w:t>
      </w:r>
      <w:r w:rsidR="00355779">
        <w:rPr>
          <w:sz w:val="22"/>
        </w:rPr>
        <w:t xml:space="preserve">ρικό ως τουριστικού προορισμού. </w:t>
      </w:r>
      <w:r w:rsidR="00355779" w:rsidRPr="00AB73C2">
        <w:rPr>
          <w:sz w:val="22"/>
        </w:rPr>
        <w:t xml:space="preserve">Τα έσοδα του ΕΟΤ προέρχονται κυρίως από την απόδοση ποσοστού επί των μικτών κερδών του δημοσίου από τα Καζίνο Κέρκυρας και Πάρνηθας, καθώς και από την ενίσχυσή του από τον κρατικό προϋπολογισμό για κάλυψη τόσο των λειτουργικών όσο και των επενδυτικών δαπανών, συμπεριλαμβανομένης και της αναφερόμενης ανωτέρω κύριας δραστηριότητας. Η </w:t>
      </w:r>
      <w:r w:rsidR="00355779">
        <w:rPr>
          <w:sz w:val="22"/>
        </w:rPr>
        <w:t>δημοσιονομική</w:t>
      </w:r>
      <w:r w:rsidR="00355779" w:rsidRPr="00AB73C2">
        <w:rPr>
          <w:sz w:val="22"/>
        </w:rPr>
        <w:t xml:space="preserve"> επίδοση του οργανισμού για το 2018 εκτιμάται να διαμορφωθεί στο ποσό των 17,4 εκατ. ευρώ και για το 2019 προβλέπεται να διαμορφωθεί στο ποσό των 5,4 εκατ. ευρώ.</w:t>
      </w:r>
    </w:p>
    <w:p w:rsidR="00355779" w:rsidRPr="00C61300" w:rsidRDefault="00355779" w:rsidP="00355779">
      <w:pPr>
        <w:ind w:left="284"/>
        <w:jc w:val="both"/>
        <w:rPr>
          <w:sz w:val="22"/>
        </w:rPr>
      </w:pPr>
    </w:p>
    <w:p w:rsidR="00355779" w:rsidRPr="00C61300" w:rsidRDefault="00355779" w:rsidP="006556BD">
      <w:pPr>
        <w:numPr>
          <w:ilvl w:val="0"/>
          <w:numId w:val="10"/>
        </w:numPr>
        <w:ind w:left="284" w:hanging="284"/>
        <w:jc w:val="both"/>
        <w:rPr>
          <w:i/>
          <w:sz w:val="22"/>
        </w:rPr>
      </w:pPr>
      <w:r w:rsidRPr="00C61300">
        <w:rPr>
          <w:sz w:val="22"/>
        </w:rPr>
        <w:t xml:space="preserve">Στο Υπουργείο Ψηφιακής Πολιτικής, Τηλεπικοινωνιών και Ενημέρωσης εποπτευόμενος φορέας είναι η «Ελληνική Ραδιοφωνία Τηλεόραση (ΕΡΤ) ΑΕ», στόχος της οποίας είναι η αναβάθμιση του προγράμματός της με έμφαση στον αθλητισμό, τον πολιτισμό και την ενημέρωση, με ελεύθερη πρόσβαση του περιεχομένου της σε όλες τις μορφές μετάδοσης, τόσο πανελλαδικά όσο και </w:t>
      </w:r>
      <w:r>
        <w:rPr>
          <w:sz w:val="22"/>
        </w:rPr>
        <w:t xml:space="preserve">για </w:t>
      </w:r>
      <w:r w:rsidRPr="00C61300">
        <w:rPr>
          <w:sz w:val="22"/>
        </w:rPr>
        <w:t xml:space="preserve">την ομογένεια στο εξωτερικό. Το </w:t>
      </w:r>
      <w:r>
        <w:rPr>
          <w:sz w:val="22"/>
        </w:rPr>
        <w:t xml:space="preserve">θετικό </w:t>
      </w:r>
      <w:r w:rsidRPr="00C61300">
        <w:rPr>
          <w:sz w:val="22"/>
        </w:rPr>
        <w:t>δημοσιονομικό αποτέλεσμα της ΕΡΤ για το έτος 2019 προβλέπε</w:t>
      </w:r>
      <w:r>
        <w:rPr>
          <w:sz w:val="22"/>
        </w:rPr>
        <w:t>ται στο ποσό των 24</w:t>
      </w:r>
      <w:r w:rsidRPr="00C61300">
        <w:rPr>
          <w:sz w:val="22"/>
        </w:rPr>
        <w:t xml:space="preserve"> εκατ. ευρώ, στο οποίο περιλαμβάνεται και απόδοση μερίσματος στο Ελληνικό Δημόσιο.</w:t>
      </w:r>
    </w:p>
    <w:p w:rsidR="00064257" w:rsidRPr="00D30E0A" w:rsidRDefault="00064257" w:rsidP="00064257">
      <w:pPr>
        <w:ind w:left="284" w:hanging="284"/>
        <w:jc w:val="both"/>
        <w:rPr>
          <w:i/>
          <w:sz w:val="22"/>
          <w:highlight w:val="yellow"/>
        </w:rPr>
      </w:pPr>
    </w:p>
    <w:p w:rsidR="000074CC" w:rsidRPr="00221A99" w:rsidRDefault="000074CC" w:rsidP="000074CC">
      <w:pPr>
        <w:shd w:val="clear" w:color="auto" w:fill="BFBFBF" w:themeFill="background1" w:themeFillShade="BF"/>
        <w:spacing w:line="235" w:lineRule="auto"/>
        <w:rPr>
          <w:rFonts w:ascii="Arial Narrow" w:hAnsi="Arial Narrow"/>
          <w:b/>
          <w:szCs w:val="26"/>
        </w:rPr>
      </w:pPr>
      <w:r>
        <w:rPr>
          <w:rFonts w:ascii="Arial Narrow" w:hAnsi="Arial Narrow"/>
          <w:b/>
        </w:rPr>
        <w:t>5.3</w:t>
      </w:r>
      <w:r>
        <w:rPr>
          <w:rFonts w:ascii="Arial Narrow" w:hAnsi="Arial Narrow"/>
          <w:b/>
        </w:rPr>
        <w:tab/>
        <w:t>Νοσοκομεία – Πρωτοβάθμια Φροντίδα Υγείας (ΠΦΥ)</w:t>
      </w:r>
    </w:p>
    <w:p w:rsidR="000074CC" w:rsidRPr="00DD433F" w:rsidRDefault="000074CC" w:rsidP="000074CC"/>
    <w:p w:rsidR="00FF6F79" w:rsidRDefault="000074CC" w:rsidP="00FF6F79">
      <w:pPr>
        <w:jc w:val="both"/>
        <w:rPr>
          <w:sz w:val="22"/>
        </w:rPr>
      </w:pPr>
      <w:r w:rsidRPr="00D738D4">
        <w:rPr>
          <w:sz w:val="22"/>
        </w:rPr>
        <w:t xml:space="preserve">Στον τομέα της υγείας οι προσπάθειες επικεντρώνονται στη συνέχιση των διαρθρωτικών δράσεων που έχουν ήδη δρομολογηθεί, προκειμένου να εξασφαλιστεί η συνεχιζόμενη βελτίωση των παρεχόμενων υπηρεσιών προς τους ασφαλισμένους και τους ανασφάλιστους πολίτες. </w:t>
      </w:r>
      <w:r w:rsidR="00FF6F79">
        <w:rPr>
          <w:sz w:val="22"/>
        </w:rPr>
        <w:br w:type="page"/>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1"/>
        <w:gridCol w:w="1787"/>
        <w:gridCol w:w="1773"/>
      </w:tblGrid>
      <w:tr w:rsidR="000074CC" w:rsidRPr="009B0848" w:rsidTr="000074CC">
        <w:trPr>
          <w:tblHeader/>
          <w:jc w:val="center"/>
        </w:trPr>
        <w:tc>
          <w:tcPr>
            <w:tcW w:w="8751" w:type="dxa"/>
            <w:gridSpan w:val="3"/>
            <w:tcBorders>
              <w:bottom w:val="nil"/>
            </w:tcBorders>
            <w:shd w:val="clear" w:color="auto" w:fill="404040"/>
          </w:tcPr>
          <w:p w:rsidR="000074CC" w:rsidRPr="009B0848" w:rsidRDefault="000074CC" w:rsidP="00FF6F79">
            <w:pPr>
              <w:tabs>
                <w:tab w:val="num" w:pos="720"/>
              </w:tabs>
              <w:jc w:val="center"/>
              <w:rPr>
                <w:rFonts w:ascii="Arial Narrow" w:hAnsi="Arial Narrow"/>
                <w:b/>
                <w:color w:val="FFFFFF"/>
                <w:szCs w:val="16"/>
              </w:rPr>
            </w:pPr>
            <w:r>
              <w:rPr>
                <w:rFonts w:ascii="Arial Narrow" w:hAnsi="Arial Narrow"/>
                <w:b/>
                <w:color w:val="FFFFFF"/>
                <w:szCs w:val="16"/>
              </w:rPr>
              <w:t xml:space="preserve">Πίνακας </w:t>
            </w:r>
            <w:r w:rsidRPr="00B472ED">
              <w:rPr>
                <w:rFonts w:ascii="Arial Narrow" w:hAnsi="Arial Narrow"/>
                <w:b/>
                <w:color w:val="FFFFFF"/>
                <w:szCs w:val="16"/>
              </w:rPr>
              <w:t>3</w:t>
            </w:r>
            <w:r w:rsidR="001528EA">
              <w:rPr>
                <w:rFonts w:ascii="Arial Narrow" w:hAnsi="Arial Narrow"/>
                <w:b/>
                <w:color w:val="FFFFFF"/>
                <w:szCs w:val="16"/>
              </w:rPr>
              <w:t>.24</w:t>
            </w:r>
            <w:r w:rsidRPr="00B472ED">
              <w:rPr>
                <w:rFonts w:ascii="Arial Narrow" w:hAnsi="Arial Narrow"/>
                <w:b/>
                <w:color w:val="FFFFFF"/>
                <w:szCs w:val="16"/>
              </w:rPr>
              <w:t xml:space="preserve"> </w:t>
            </w:r>
            <w:r w:rsidRPr="009B0848">
              <w:rPr>
                <w:rFonts w:ascii="Arial Narrow" w:hAnsi="Arial Narrow"/>
                <w:b/>
                <w:color w:val="FFFFFF"/>
                <w:szCs w:val="16"/>
              </w:rPr>
              <w:t xml:space="preserve">Προϋπολογισμοί </w:t>
            </w:r>
            <w:r w:rsidR="00F60D09" w:rsidRPr="009B0848">
              <w:rPr>
                <w:rFonts w:ascii="Arial Narrow" w:hAnsi="Arial Narrow"/>
                <w:b/>
                <w:color w:val="FFFFFF"/>
                <w:szCs w:val="16"/>
              </w:rPr>
              <w:t xml:space="preserve">Νοσοκομείων </w:t>
            </w:r>
            <w:r w:rsidR="00F60D09">
              <w:rPr>
                <w:rFonts w:ascii="Arial Narrow" w:hAnsi="Arial Narrow"/>
                <w:b/>
                <w:color w:val="FFFFFF"/>
                <w:szCs w:val="16"/>
              </w:rPr>
              <w:t>και</w:t>
            </w:r>
            <w:r w:rsidRPr="009B0848">
              <w:rPr>
                <w:rFonts w:ascii="Arial Narrow" w:hAnsi="Arial Narrow"/>
                <w:b/>
                <w:color w:val="FFFFFF"/>
                <w:szCs w:val="16"/>
              </w:rPr>
              <w:t xml:space="preserve"> </w:t>
            </w:r>
            <w:r>
              <w:rPr>
                <w:rFonts w:ascii="Arial Narrow" w:hAnsi="Arial Narrow"/>
                <w:b/>
                <w:color w:val="FFFFFF"/>
                <w:szCs w:val="16"/>
              </w:rPr>
              <w:t>ΠΦΥ</w:t>
            </w:r>
            <w:r w:rsidR="00F60D09">
              <w:rPr>
                <w:rFonts w:ascii="Arial Narrow" w:hAnsi="Arial Narrow"/>
                <w:b/>
                <w:color w:val="FFFFFF"/>
                <w:szCs w:val="16"/>
              </w:rPr>
              <w:t>*</w:t>
            </w:r>
            <w:r w:rsidRPr="009B0848">
              <w:rPr>
                <w:rFonts w:ascii="Arial Narrow" w:hAnsi="Arial Narrow"/>
                <w:b/>
                <w:color w:val="FFFFFF"/>
                <w:szCs w:val="16"/>
              </w:rPr>
              <w:t xml:space="preserve"> </w:t>
            </w:r>
          </w:p>
          <w:p w:rsidR="000074CC" w:rsidRPr="009B0848" w:rsidRDefault="000074CC" w:rsidP="00FF6F79">
            <w:pPr>
              <w:tabs>
                <w:tab w:val="num" w:pos="720"/>
              </w:tabs>
              <w:jc w:val="center"/>
              <w:rPr>
                <w:rFonts w:ascii="Arial Narrow" w:hAnsi="Arial Narrow"/>
                <w:b/>
                <w:color w:val="FFFFFF"/>
                <w:szCs w:val="16"/>
              </w:rPr>
            </w:pPr>
            <w:r w:rsidRPr="009B0848">
              <w:rPr>
                <w:rFonts w:ascii="Arial Narrow" w:hAnsi="Arial Narrow"/>
                <w:b/>
                <w:color w:val="FFFFFF"/>
                <w:szCs w:val="16"/>
              </w:rPr>
              <w:t>(σε εκατ. ευρώ)</w:t>
            </w:r>
          </w:p>
        </w:tc>
      </w:tr>
      <w:tr w:rsidR="000074CC" w:rsidRPr="009B0848" w:rsidTr="000074CC">
        <w:trPr>
          <w:jc w:val="center"/>
        </w:trPr>
        <w:tc>
          <w:tcPr>
            <w:tcW w:w="5191" w:type="dxa"/>
            <w:tcBorders>
              <w:top w:val="nil"/>
              <w:bottom w:val="nil"/>
              <w:right w:val="nil"/>
            </w:tcBorders>
            <w:shd w:val="clear" w:color="auto" w:fill="FFFFFF" w:themeFill="background1"/>
          </w:tcPr>
          <w:p w:rsidR="000074CC" w:rsidRPr="009B0848" w:rsidRDefault="000074CC" w:rsidP="000074CC">
            <w:pPr>
              <w:tabs>
                <w:tab w:val="num" w:pos="720"/>
              </w:tabs>
              <w:spacing w:line="235" w:lineRule="auto"/>
              <w:rPr>
                <w:rFonts w:ascii="Arial Narrow" w:hAnsi="Arial Narrow"/>
                <w:b/>
                <w:sz w:val="16"/>
                <w:szCs w:val="16"/>
              </w:rPr>
            </w:pPr>
          </w:p>
        </w:tc>
        <w:tc>
          <w:tcPr>
            <w:tcW w:w="1787" w:type="dxa"/>
            <w:tcBorders>
              <w:top w:val="nil"/>
              <w:left w:val="nil"/>
              <w:bottom w:val="nil"/>
              <w:right w:val="nil"/>
            </w:tcBorders>
            <w:shd w:val="clear" w:color="auto" w:fill="FFFFFF" w:themeFill="background1"/>
            <w:vAlign w:val="center"/>
          </w:tcPr>
          <w:p w:rsidR="000074CC" w:rsidRDefault="000074CC" w:rsidP="000074CC">
            <w:pPr>
              <w:ind w:right="567"/>
              <w:jc w:val="right"/>
              <w:rPr>
                <w:rFonts w:ascii="Arial Narrow" w:hAnsi="Arial Narrow"/>
                <w:b/>
                <w:bCs/>
                <w:sz w:val="16"/>
                <w:szCs w:val="16"/>
              </w:rPr>
            </w:pPr>
          </w:p>
        </w:tc>
        <w:tc>
          <w:tcPr>
            <w:tcW w:w="1773" w:type="dxa"/>
            <w:tcBorders>
              <w:top w:val="nil"/>
              <w:left w:val="nil"/>
              <w:bottom w:val="nil"/>
            </w:tcBorders>
            <w:shd w:val="clear" w:color="auto" w:fill="FFFFFF" w:themeFill="background1"/>
            <w:vAlign w:val="center"/>
          </w:tcPr>
          <w:p w:rsidR="000074CC" w:rsidRDefault="000074CC" w:rsidP="000074CC">
            <w:pPr>
              <w:ind w:right="567"/>
              <w:jc w:val="right"/>
              <w:rPr>
                <w:rFonts w:ascii="Arial Narrow" w:hAnsi="Arial Narrow"/>
                <w:b/>
                <w:bCs/>
                <w:sz w:val="16"/>
                <w:szCs w:val="16"/>
              </w:rPr>
            </w:pPr>
          </w:p>
        </w:tc>
      </w:tr>
      <w:tr w:rsidR="000074CC" w:rsidRPr="009B0848" w:rsidTr="000074CC">
        <w:trPr>
          <w:tblHeader/>
          <w:jc w:val="center"/>
        </w:trPr>
        <w:tc>
          <w:tcPr>
            <w:tcW w:w="5191" w:type="dxa"/>
            <w:tcBorders>
              <w:bottom w:val="single" w:sz="4" w:space="0" w:color="auto"/>
            </w:tcBorders>
          </w:tcPr>
          <w:p w:rsidR="000074CC" w:rsidRPr="009B0848" w:rsidRDefault="000074CC" w:rsidP="000074CC">
            <w:pPr>
              <w:tabs>
                <w:tab w:val="num" w:pos="720"/>
              </w:tabs>
              <w:jc w:val="center"/>
              <w:rPr>
                <w:rFonts w:ascii="Arial Narrow" w:hAnsi="Arial Narrow"/>
                <w:b/>
                <w:sz w:val="16"/>
                <w:szCs w:val="16"/>
              </w:rPr>
            </w:pPr>
          </w:p>
        </w:tc>
        <w:tc>
          <w:tcPr>
            <w:tcW w:w="1787" w:type="dxa"/>
            <w:tcBorders>
              <w:bottom w:val="single" w:sz="4" w:space="0" w:color="auto"/>
            </w:tcBorders>
          </w:tcPr>
          <w:p w:rsidR="000074CC" w:rsidRPr="009B0848" w:rsidRDefault="000074CC" w:rsidP="000074CC">
            <w:pPr>
              <w:tabs>
                <w:tab w:val="num" w:pos="720"/>
              </w:tabs>
              <w:jc w:val="center"/>
              <w:rPr>
                <w:rFonts w:ascii="Arial Narrow" w:hAnsi="Arial Narrow"/>
                <w:b/>
                <w:sz w:val="16"/>
                <w:szCs w:val="16"/>
              </w:rPr>
            </w:pPr>
            <w:r>
              <w:rPr>
                <w:rFonts w:ascii="Arial Narrow" w:hAnsi="Arial Narrow"/>
                <w:b/>
                <w:sz w:val="16"/>
                <w:szCs w:val="16"/>
              </w:rPr>
              <w:t>2018</w:t>
            </w:r>
          </w:p>
          <w:p w:rsidR="000074CC" w:rsidRPr="009B0848" w:rsidRDefault="000074CC" w:rsidP="000074CC">
            <w:pPr>
              <w:tabs>
                <w:tab w:val="num" w:pos="720"/>
              </w:tabs>
              <w:jc w:val="center"/>
              <w:rPr>
                <w:rFonts w:ascii="Arial Narrow" w:hAnsi="Arial Narrow"/>
                <w:b/>
                <w:sz w:val="16"/>
                <w:szCs w:val="16"/>
              </w:rPr>
            </w:pPr>
            <w:r w:rsidRPr="009B0848">
              <w:rPr>
                <w:rFonts w:ascii="Arial Narrow" w:hAnsi="Arial Narrow"/>
                <w:b/>
                <w:sz w:val="16"/>
                <w:szCs w:val="16"/>
              </w:rPr>
              <w:t>Εκτιμήσεις</w:t>
            </w:r>
          </w:p>
        </w:tc>
        <w:tc>
          <w:tcPr>
            <w:tcW w:w="1773" w:type="dxa"/>
            <w:tcBorders>
              <w:bottom w:val="single" w:sz="4" w:space="0" w:color="auto"/>
            </w:tcBorders>
          </w:tcPr>
          <w:p w:rsidR="000074CC" w:rsidRPr="009B0848" w:rsidRDefault="000074CC" w:rsidP="000074CC">
            <w:pPr>
              <w:tabs>
                <w:tab w:val="num" w:pos="720"/>
              </w:tabs>
              <w:jc w:val="center"/>
              <w:rPr>
                <w:rFonts w:ascii="Arial Narrow" w:hAnsi="Arial Narrow"/>
                <w:b/>
                <w:sz w:val="16"/>
                <w:szCs w:val="16"/>
              </w:rPr>
            </w:pPr>
            <w:r>
              <w:rPr>
                <w:rFonts w:ascii="Arial Narrow" w:hAnsi="Arial Narrow"/>
                <w:b/>
                <w:sz w:val="16"/>
                <w:szCs w:val="16"/>
              </w:rPr>
              <w:t>2019</w:t>
            </w:r>
          </w:p>
          <w:p w:rsidR="000074CC" w:rsidRPr="009B0848" w:rsidRDefault="000074CC" w:rsidP="000074CC">
            <w:pPr>
              <w:tabs>
                <w:tab w:val="num" w:pos="720"/>
              </w:tabs>
              <w:jc w:val="center"/>
              <w:rPr>
                <w:rFonts w:ascii="Arial Narrow" w:hAnsi="Arial Narrow"/>
                <w:b/>
                <w:sz w:val="16"/>
                <w:szCs w:val="16"/>
              </w:rPr>
            </w:pPr>
            <w:r w:rsidRPr="009B0848">
              <w:rPr>
                <w:rFonts w:ascii="Arial Narrow" w:hAnsi="Arial Narrow"/>
                <w:b/>
                <w:sz w:val="16"/>
                <w:szCs w:val="16"/>
              </w:rPr>
              <w:t>Προβλέψεις</w:t>
            </w:r>
          </w:p>
        </w:tc>
      </w:tr>
      <w:tr w:rsidR="000074CC" w:rsidRPr="009B0848" w:rsidTr="000074CC">
        <w:trPr>
          <w:jc w:val="center"/>
        </w:trPr>
        <w:tc>
          <w:tcPr>
            <w:tcW w:w="5191" w:type="dxa"/>
            <w:tcBorders>
              <w:top w:val="nil"/>
              <w:bottom w:val="nil"/>
              <w:right w:val="nil"/>
            </w:tcBorders>
            <w:shd w:val="clear" w:color="auto" w:fill="A6A6A6"/>
          </w:tcPr>
          <w:p w:rsidR="000074CC" w:rsidRPr="009B0848" w:rsidRDefault="000074CC" w:rsidP="000074CC">
            <w:pPr>
              <w:tabs>
                <w:tab w:val="num" w:pos="720"/>
              </w:tabs>
              <w:spacing w:line="235" w:lineRule="auto"/>
              <w:rPr>
                <w:rFonts w:ascii="Arial Narrow" w:hAnsi="Arial Narrow"/>
                <w:b/>
                <w:sz w:val="16"/>
                <w:szCs w:val="16"/>
              </w:rPr>
            </w:pPr>
            <w:r>
              <w:rPr>
                <w:rFonts w:ascii="Arial Narrow" w:hAnsi="Arial Narrow"/>
                <w:b/>
                <w:sz w:val="16"/>
                <w:szCs w:val="16"/>
              </w:rPr>
              <w:t xml:space="preserve">Ι. </w:t>
            </w:r>
            <w:r w:rsidRPr="009B0848">
              <w:rPr>
                <w:rFonts w:ascii="Arial Narrow" w:hAnsi="Arial Narrow"/>
                <w:b/>
                <w:sz w:val="16"/>
                <w:szCs w:val="16"/>
              </w:rPr>
              <w:t>Νοσοκομεία</w:t>
            </w:r>
          </w:p>
        </w:tc>
        <w:tc>
          <w:tcPr>
            <w:tcW w:w="1787" w:type="dxa"/>
            <w:tcBorders>
              <w:top w:val="nil"/>
              <w:left w:val="nil"/>
              <w:bottom w:val="nil"/>
              <w:right w:val="nil"/>
            </w:tcBorders>
            <w:shd w:val="clear" w:color="auto" w:fill="A6A6A6"/>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 </w:t>
            </w:r>
          </w:p>
        </w:tc>
        <w:tc>
          <w:tcPr>
            <w:tcW w:w="1773" w:type="dxa"/>
            <w:tcBorders>
              <w:top w:val="nil"/>
              <w:left w:val="nil"/>
              <w:bottom w:val="nil"/>
            </w:tcBorders>
            <w:shd w:val="clear" w:color="auto" w:fill="A6A6A6"/>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 </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b/>
                <w:sz w:val="16"/>
                <w:szCs w:val="16"/>
              </w:rPr>
            </w:pPr>
            <w:r w:rsidRPr="009B0848">
              <w:rPr>
                <w:rFonts w:ascii="Arial Narrow" w:hAnsi="Arial Narrow"/>
                <w:b/>
                <w:sz w:val="16"/>
                <w:szCs w:val="16"/>
              </w:rPr>
              <w:t>Έσοδα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2.5</w:t>
            </w:r>
            <w:r w:rsidR="00496FD3">
              <w:rPr>
                <w:rFonts w:ascii="Arial Narrow" w:hAnsi="Arial Narrow"/>
                <w:b/>
                <w:bCs/>
                <w:sz w:val="16"/>
                <w:szCs w:val="16"/>
              </w:rPr>
              <w:t>95</w:t>
            </w:r>
          </w:p>
        </w:tc>
        <w:tc>
          <w:tcPr>
            <w:tcW w:w="1773" w:type="dxa"/>
            <w:tcBorders>
              <w:top w:val="nil"/>
              <w:left w:val="nil"/>
              <w:bottom w:val="nil"/>
            </w:tcBorders>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2.541</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Ίδια έσοδα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155</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156</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w:t>
            </w:r>
            <w:r w:rsidR="00496FD3">
              <w:rPr>
                <w:rFonts w:ascii="Arial Narrow" w:hAnsi="Arial Narrow"/>
                <w:sz w:val="16"/>
                <w:szCs w:val="16"/>
              </w:rPr>
              <w:t>219</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1.154</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φορείς κοινωνικής ασφάλισης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888</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874</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50</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50</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 xml:space="preserve">Αντικριζόμενα έσοδα </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283</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307</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b/>
                <w:sz w:val="16"/>
                <w:szCs w:val="16"/>
              </w:rPr>
            </w:pPr>
            <w:r w:rsidRPr="009B0848">
              <w:rPr>
                <w:rFonts w:ascii="Arial Narrow" w:hAnsi="Arial Narrow"/>
                <w:b/>
                <w:sz w:val="16"/>
                <w:szCs w:val="16"/>
              </w:rPr>
              <w:t>Έξοδα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2.897</w:t>
            </w:r>
          </w:p>
        </w:tc>
        <w:tc>
          <w:tcPr>
            <w:tcW w:w="1773" w:type="dxa"/>
            <w:tcBorders>
              <w:top w:val="nil"/>
              <w:left w:val="nil"/>
              <w:bottom w:val="nil"/>
            </w:tcBorders>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3.139</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Αγαθά</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1.637</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1.845</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t>εκ των οποίων</w:t>
            </w:r>
            <w:r w:rsidRPr="00231FB8">
              <w:rPr>
                <w:rFonts w:ascii="Arial Narrow" w:hAnsi="Arial Narrow"/>
                <w:i/>
                <w:sz w:val="16"/>
                <w:szCs w:val="16"/>
              </w:rPr>
              <w:tab/>
              <w:t>Φάρμακο</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782</w:t>
            </w:r>
          </w:p>
        </w:tc>
        <w:tc>
          <w:tcPr>
            <w:tcW w:w="1773" w:type="dxa"/>
            <w:tcBorders>
              <w:top w:val="nil"/>
              <w:left w:val="nil"/>
              <w:bottom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892</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Υγειονομικό υλικό</w:t>
            </w:r>
            <w:r w:rsidRPr="00231FB8">
              <w:rPr>
                <w:rFonts w:ascii="Arial Narrow" w:hAnsi="Arial Narrow"/>
                <w:i/>
                <w:sz w:val="16"/>
                <w:szCs w:val="16"/>
              </w:rPr>
              <w:tab/>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423</w:t>
            </w:r>
          </w:p>
        </w:tc>
        <w:tc>
          <w:tcPr>
            <w:tcW w:w="1773" w:type="dxa"/>
            <w:tcBorders>
              <w:top w:val="nil"/>
              <w:left w:val="nil"/>
              <w:bottom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503</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Ορθοπεδικό υλικό</w:t>
            </w:r>
            <w:r w:rsidRPr="00231FB8">
              <w:rPr>
                <w:rFonts w:ascii="Arial Narrow" w:hAnsi="Arial Narrow"/>
                <w:i/>
                <w:sz w:val="16"/>
                <w:szCs w:val="16"/>
              </w:rPr>
              <w:tab/>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88</w:t>
            </w:r>
          </w:p>
        </w:tc>
        <w:tc>
          <w:tcPr>
            <w:tcW w:w="1773" w:type="dxa"/>
            <w:tcBorders>
              <w:top w:val="nil"/>
              <w:left w:val="nil"/>
              <w:bottom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101</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Αντιδραστήρια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210</w:t>
            </w:r>
          </w:p>
        </w:tc>
        <w:tc>
          <w:tcPr>
            <w:tcW w:w="1773" w:type="dxa"/>
            <w:tcBorders>
              <w:top w:val="nil"/>
              <w:left w:val="nil"/>
              <w:bottom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231</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Λοιπές κατηγορίες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134</w:t>
            </w:r>
          </w:p>
        </w:tc>
        <w:tc>
          <w:tcPr>
            <w:tcW w:w="1773" w:type="dxa"/>
            <w:tcBorders>
              <w:top w:val="nil"/>
              <w:left w:val="nil"/>
              <w:bottom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118</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458</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518</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Υπηρεσίες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470</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407</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Δαπάνες για επενδύσεις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49</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52</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Αντικριζόμενα έξοδα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283</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307</w:t>
            </w:r>
          </w:p>
        </w:tc>
      </w:tr>
      <w:tr w:rsidR="000074CC" w:rsidRPr="00366DAA" w:rsidTr="000074CC">
        <w:trPr>
          <w:jc w:val="center"/>
        </w:trPr>
        <w:tc>
          <w:tcPr>
            <w:tcW w:w="5191" w:type="dxa"/>
            <w:tcBorders>
              <w:top w:val="nil"/>
              <w:bottom w:val="nil"/>
              <w:right w:val="nil"/>
            </w:tcBorders>
            <w:shd w:val="clear" w:color="auto" w:fill="auto"/>
          </w:tcPr>
          <w:p w:rsidR="000074CC" w:rsidRPr="00366DAA" w:rsidRDefault="000074CC" w:rsidP="000074CC">
            <w:pPr>
              <w:spacing w:line="235" w:lineRule="auto"/>
              <w:rPr>
                <w:rFonts w:ascii="Arial Narrow" w:hAnsi="Arial Narrow"/>
                <w:sz w:val="16"/>
                <w:szCs w:val="16"/>
              </w:rPr>
            </w:pPr>
            <w:r>
              <w:rPr>
                <w:rFonts w:ascii="Arial Narrow" w:hAnsi="Arial Narrow"/>
                <w:sz w:val="16"/>
                <w:szCs w:val="16"/>
              </w:rPr>
              <w:t>Λοιπά έξοδα</w:t>
            </w:r>
          </w:p>
        </w:tc>
        <w:tc>
          <w:tcPr>
            <w:tcW w:w="1787" w:type="dxa"/>
            <w:tcBorders>
              <w:top w:val="nil"/>
              <w:left w:val="nil"/>
              <w:bottom w:val="nil"/>
              <w:right w:val="nil"/>
            </w:tcBorders>
            <w:shd w:val="clear" w:color="auto" w:fill="auto"/>
            <w:vAlign w:val="center"/>
          </w:tcPr>
          <w:p w:rsidR="000074CC" w:rsidRPr="00366DAA" w:rsidRDefault="000074CC" w:rsidP="000074CC">
            <w:pPr>
              <w:spacing w:line="235" w:lineRule="auto"/>
              <w:jc w:val="center"/>
              <w:rPr>
                <w:rFonts w:ascii="Arial Narrow" w:hAnsi="Arial Narrow"/>
                <w:sz w:val="16"/>
                <w:szCs w:val="16"/>
              </w:rPr>
            </w:pPr>
            <w:r>
              <w:rPr>
                <w:rFonts w:ascii="Arial Narrow" w:hAnsi="Arial Narrow"/>
                <w:sz w:val="16"/>
                <w:szCs w:val="16"/>
              </w:rPr>
              <w:t xml:space="preserve">        0 </w:t>
            </w:r>
          </w:p>
        </w:tc>
        <w:tc>
          <w:tcPr>
            <w:tcW w:w="1773" w:type="dxa"/>
            <w:tcBorders>
              <w:top w:val="nil"/>
              <w:left w:val="nil"/>
              <w:bottom w:val="nil"/>
            </w:tcBorders>
            <w:shd w:val="clear" w:color="auto" w:fill="auto"/>
            <w:vAlign w:val="center"/>
          </w:tcPr>
          <w:p w:rsidR="000074CC" w:rsidRPr="00366DAA" w:rsidRDefault="000074CC" w:rsidP="000074CC">
            <w:pPr>
              <w:spacing w:line="235" w:lineRule="auto"/>
              <w:jc w:val="center"/>
              <w:rPr>
                <w:rFonts w:ascii="Arial Narrow" w:hAnsi="Arial Narrow"/>
                <w:sz w:val="16"/>
                <w:szCs w:val="16"/>
              </w:rPr>
            </w:pPr>
            <w:r>
              <w:rPr>
                <w:rFonts w:ascii="Arial Narrow" w:hAnsi="Arial Narrow"/>
                <w:sz w:val="16"/>
                <w:szCs w:val="16"/>
              </w:rPr>
              <w:t xml:space="preserve">     10</w:t>
            </w:r>
          </w:p>
        </w:tc>
      </w:tr>
      <w:tr w:rsidR="000074CC" w:rsidRPr="00CA73F2" w:rsidTr="000074CC">
        <w:trPr>
          <w:jc w:val="center"/>
        </w:trPr>
        <w:tc>
          <w:tcPr>
            <w:tcW w:w="5191" w:type="dxa"/>
            <w:tcBorders>
              <w:top w:val="nil"/>
              <w:bottom w:val="nil"/>
              <w:right w:val="nil"/>
            </w:tcBorders>
            <w:shd w:val="clear" w:color="auto" w:fill="D9D9D9" w:themeFill="background1" w:themeFillShade="D9"/>
          </w:tcPr>
          <w:p w:rsidR="000074CC" w:rsidRPr="00CA73F2" w:rsidRDefault="000074CC" w:rsidP="000074CC">
            <w:pPr>
              <w:spacing w:line="235" w:lineRule="auto"/>
              <w:rPr>
                <w:rFonts w:ascii="Arial Narrow" w:hAnsi="Arial Narrow"/>
                <w:b/>
                <w:sz w:val="16"/>
                <w:szCs w:val="16"/>
              </w:rPr>
            </w:pPr>
            <w:r w:rsidRPr="00CA73F2">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-3</w:t>
            </w:r>
            <w:r w:rsidR="00496FD3">
              <w:rPr>
                <w:rFonts w:ascii="Arial Narrow" w:hAnsi="Arial Narrow"/>
                <w:b/>
                <w:bCs/>
                <w:sz w:val="16"/>
                <w:szCs w:val="16"/>
              </w:rPr>
              <w:t>02</w:t>
            </w:r>
          </w:p>
        </w:tc>
        <w:tc>
          <w:tcPr>
            <w:tcW w:w="1773" w:type="dxa"/>
            <w:tcBorders>
              <w:top w:val="nil"/>
              <w:left w:val="nil"/>
              <w:bottom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-598</w:t>
            </w:r>
          </w:p>
        </w:tc>
      </w:tr>
      <w:tr w:rsidR="000074CC" w:rsidRPr="00CA73F2" w:rsidTr="000074CC">
        <w:trPr>
          <w:jc w:val="center"/>
        </w:trPr>
        <w:tc>
          <w:tcPr>
            <w:tcW w:w="5191" w:type="dxa"/>
            <w:tcBorders>
              <w:top w:val="nil"/>
              <w:bottom w:val="nil"/>
              <w:right w:val="nil"/>
            </w:tcBorders>
            <w:shd w:val="clear" w:color="auto" w:fill="D9D9D9" w:themeFill="background1" w:themeFillShade="D9"/>
          </w:tcPr>
          <w:p w:rsidR="000074CC" w:rsidRPr="00CA73F2" w:rsidRDefault="000074CC" w:rsidP="000074CC">
            <w:pPr>
              <w:spacing w:line="235" w:lineRule="auto"/>
              <w:rPr>
                <w:rFonts w:ascii="Arial Narrow" w:hAnsi="Arial Narrow"/>
                <w:b/>
                <w:sz w:val="16"/>
                <w:szCs w:val="16"/>
              </w:rPr>
            </w:pPr>
            <w:r w:rsidRPr="00CA73F2">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468</w:t>
            </w:r>
          </w:p>
        </w:tc>
        <w:tc>
          <w:tcPr>
            <w:tcW w:w="1773" w:type="dxa"/>
            <w:tcBorders>
              <w:top w:val="nil"/>
              <w:left w:val="nil"/>
              <w:bottom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676</w:t>
            </w:r>
          </w:p>
        </w:tc>
      </w:tr>
      <w:tr w:rsidR="000074CC" w:rsidRPr="00CA73F2" w:rsidTr="000074CC">
        <w:trPr>
          <w:jc w:val="center"/>
        </w:trPr>
        <w:tc>
          <w:tcPr>
            <w:tcW w:w="5191" w:type="dxa"/>
            <w:tcBorders>
              <w:top w:val="nil"/>
              <w:bottom w:val="nil"/>
              <w:right w:val="nil"/>
            </w:tcBorders>
            <w:shd w:val="clear" w:color="auto" w:fill="D9D9D9" w:themeFill="background1" w:themeFillShade="D9"/>
          </w:tcPr>
          <w:p w:rsidR="000074CC" w:rsidRPr="00CA73F2" w:rsidRDefault="000074CC" w:rsidP="000074CC">
            <w:pPr>
              <w:tabs>
                <w:tab w:val="num" w:pos="720"/>
              </w:tabs>
              <w:spacing w:line="235" w:lineRule="auto"/>
              <w:rPr>
                <w:rFonts w:ascii="Arial Narrow" w:hAnsi="Arial Narrow"/>
                <w:b/>
                <w:sz w:val="16"/>
                <w:szCs w:val="16"/>
                <w:lang w:val="en-GB"/>
              </w:rPr>
            </w:pPr>
            <w:r w:rsidRPr="00CA73F2">
              <w:rPr>
                <w:rFonts w:ascii="Arial Narrow" w:hAnsi="Arial Narrow"/>
                <w:b/>
                <w:sz w:val="16"/>
                <w:szCs w:val="16"/>
              </w:rPr>
              <w:t>Ισοζύγιο</w:t>
            </w:r>
            <w:r w:rsidRPr="00CA73F2">
              <w:rPr>
                <w:rFonts w:ascii="Arial Narrow" w:hAnsi="Arial Narrow"/>
                <w:b/>
                <w:sz w:val="16"/>
                <w:szCs w:val="16"/>
                <w:lang w:val="en-GB"/>
              </w:rPr>
              <w:t xml:space="preserve"> </w:t>
            </w:r>
            <w:r w:rsidRPr="00CA73F2">
              <w:rPr>
                <w:rFonts w:ascii="Arial Narrow" w:hAnsi="Arial Narrow"/>
                <w:b/>
                <w:sz w:val="16"/>
                <w:szCs w:val="16"/>
              </w:rPr>
              <w:t xml:space="preserve">κατά </w:t>
            </w:r>
            <w:r w:rsidRPr="00CA73F2">
              <w:rPr>
                <w:rFonts w:ascii="Arial Narrow" w:hAnsi="Arial Narrow"/>
                <w:b/>
                <w:sz w:val="16"/>
                <w:szCs w:val="16"/>
                <w:lang w:val="en-GB"/>
              </w:rPr>
              <w:t>ESA</w:t>
            </w:r>
          </w:p>
        </w:tc>
        <w:tc>
          <w:tcPr>
            <w:tcW w:w="1787" w:type="dxa"/>
            <w:tcBorders>
              <w:top w:val="nil"/>
              <w:left w:val="nil"/>
              <w:bottom w:val="nil"/>
              <w:right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1</w:t>
            </w:r>
            <w:r w:rsidR="00496FD3">
              <w:rPr>
                <w:rFonts w:ascii="Arial Narrow" w:hAnsi="Arial Narrow"/>
                <w:b/>
                <w:bCs/>
                <w:sz w:val="16"/>
                <w:szCs w:val="16"/>
              </w:rPr>
              <w:t>65</w:t>
            </w:r>
          </w:p>
        </w:tc>
        <w:tc>
          <w:tcPr>
            <w:tcW w:w="1773" w:type="dxa"/>
            <w:tcBorders>
              <w:top w:val="nil"/>
              <w:left w:val="nil"/>
              <w:bottom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78</w:t>
            </w:r>
          </w:p>
        </w:tc>
      </w:tr>
      <w:tr w:rsidR="000074CC" w:rsidRPr="009B0848" w:rsidTr="000074CC">
        <w:trPr>
          <w:jc w:val="center"/>
        </w:trPr>
        <w:tc>
          <w:tcPr>
            <w:tcW w:w="5191" w:type="dxa"/>
            <w:tcBorders>
              <w:top w:val="nil"/>
              <w:bottom w:val="nil"/>
              <w:right w:val="nil"/>
            </w:tcBorders>
            <w:shd w:val="clear" w:color="auto" w:fill="A6A6A6"/>
          </w:tcPr>
          <w:p w:rsidR="000074CC" w:rsidRPr="009B0848" w:rsidRDefault="000074CC" w:rsidP="000074CC">
            <w:pPr>
              <w:tabs>
                <w:tab w:val="num" w:pos="720"/>
              </w:tabs>
              <w:spacing w:line="235" w:lineRule="auto"/>
              <w:rPr>
                <w:rFonts w:ascii="Arial Narrow" w:hAnsi="Arial Narrow"/>
                <w:b/>
                <w:sz w:val="16"/>
                <w:szCs w:val="16"/>
              </w:rPr>
            </w:pPr>
            <w:r>
              <w:rPr>
                <w:rFonts w:ascii="Arial Narrow" w:hAnsi="Arial Narrow"/>
                <w:b/>
                <w:sz w:val="16"/>
                <w:szCs w:val="16"/>
              </w:rPr>
              <w:t>ΙΙ. Πρωτοβάθμια Φροντίδα Υγείας (ΠΦΥ)</w:t>
            </w:r>
          </w:p>
        </w:tc>
        <w:tc>
          <w:tcPr>
            <w:tcW w:w="1787" w:type="dxa"/>
            <w:tcBorders>
              <w:top w:val="nil"/>
              <w:left w:val="nil"/>
              <w:bottom w:val="nil"/>
              <w:right w:val="nil"/>
            </w:tcBorders>
            <w:shd w:val="clear" w:color="auto" w:fill="A6A6A6"/>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 </w:t>
            </w:r>
          </w:p>
        </w:tc>
        <w:tc>
          <w:tcPr>
            <w:tcW w:w="1773" w:type="dxa"/>
            <w:tcBorders>
              <w:top w:val="nil"/>
              <w:left w:val="nil"/>
              <w:bottom w:val="nil"/>
            </w:tcBorders>
            <w:shd w:val="clear" w:color="auto" w:fill="A6A6A6"/>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 </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b/>
                <w:sz w:val="16"/>
                <w:szCs w:val="16"/>
              </w:rPr>
            </w:pPr>
            <w:r w:rsidRPr="009B0848">
              <w:rPr>
                <w:rFonts w:ascii="Arial Narrow" w:hAnsi="Arial Narrow"/>
                <w:b/>
                <w:sz w:val="16"/>
                <w:szCs w:val="16"/>
              </w:rPr>
              <w:t>Έσοδα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168</w:t>
            </w:r>
          </w:p>
        </w:tc>
        <w:tc>
          <w:tcPr>
            <w:tcW w:w="1773" w:type="dxa"/>
            <w:tcBorders>
              <w:top w:val="nil"/>
              <w:left w:val="nil"/>
              <w:bottom w:val="nil"/>
            </w:tcBorders>
            <w:vAlign w:val="center"/>
          </w:tcPr>
          <w:p w:rsidR="000074CC" w:rsidRPr="00977E8F" w:rsidRDefault="000074CC" w:rsidP="000074CC">
            <w:pPr>
              <w:ind w:right="567"/>
              <w:jc w:val="right"/>
              <w:rPr>
                <w:rFonts w:ascii="Arial Narrow" w:hAnsi="Arial Narrow"/>
                <w:b/>
                <w:bCs/>
                <w:sz w:val="16"/>
                <w:szCs w:val="16"/>
              </w:rPr>
            </w:pPr>
            <w:r w:rsidRPr="00977E8F">
              <w:rPr>
                <w:rFonts w:ascii="Arial Narrow" w:hAnsi="Arial Narrow"/>
                <w:b/>
                <w:bCs/>
                <w:sz w:val="16"/>
                <w:szCs w:val="16"/>
              </w:rPr>
              <w:t>2</w:t>
            </w:r>
            <w:r>
              <w:rPr>
                <w:rFonts w:ascii="Arial Narrow" w:hAnsi="Arial Narrow"/>
                <w:b/>
                <w:bCs/>
                <w:sz w:val="16"/>
                <w:szCs w:val="16"/>
              </w:rPr>
              <w:t>16</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Ίδια έσοδα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34</w:t>
            </w:r>
          </w:p>
        </w:tc>
        <w:tc>
          <w:tcPr>
            <w:tcW w:w="1773" w:type="dxa"/>
            <w:tcBorders>
              <w:top w:val="nil"/>
              <w:left w:val="nil"/>
              <w:bottom w:val="nil"/>
            </w:tcBorders>
            <w:vAlign w:val="center"/>
          </w:tcPr>
          <w:p w:rsidR="000074CC" w:rsidRPr="00977E8F" w:rsidRDefault="000074CC" w:rsidP="000074CC">
            <w:pPr>
              <w:ind w:right="567"/>
              <w:jc w:val="right"/>
              <w:rPr>
                <w:rFonts w:ascii="Arial Narrow" w:hAnsi="Arial Narrow"/>
                <w:sz w:val="16"/>
                <w:szCs w:val="16"/>
              </w:rPr>
            </w:pPr>
            <w:r w:rsidRPr="00977E8F">
              <w:rPr>
                <w:rFonts w:ascii="Arial Narrow" w:hAnsi="Arial Narrow"/>
                <w:sz w:val="16"/>
                <w:szCs w:val="16"/>
              </w:rPr>
              <w:t>34</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92</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126</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φορείς κοινωνικής ασφάλισης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0</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14</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10</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sz w:val="16"/>
                <w:szCs w:val="16"/>
                <w:lang w:val="en-US"/>
              </w:rPr>
            </w:pPr>
            <w:r>
              <w:rPr>
                <w:rFonts w:ascii="Arial Narrow" w:hAnsi="Arial Narrow"/>
                <w:sz w:val="16"/>
                <w:szCs w:val="16"/>
              </w:rPr>
              <w:t>1</w:t>
            </w:r>
            <w:r>
              <w:rPr>
                <w:rFonts w:ascii="Arial Narrow" w:hAnsi="Arial Narrow"/>
                <w:sz w:val="16"/>
                <w:szCs w:val="16"/>
                <w:lang w:val="en-US"/>
              </w:rPr>
              <w:t>0</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 xml:space="preserve">Αντικριζόμενα έσοδα </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32</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sz w:val="16"/>
                <w:szCs w:val="16"/>
                <w:lang w:val="en-US"/>
              </w:rPr>
            </w:pPr>
            <w:r>
              <w:rPr>
                <w:rFonts w:ascii="Arial Narrow" w:hAnsi="Arial Narrow"/>
                <w:sz w:val="16"/>
                <w:szCs w:val="16"/>
                <w:lang w:val="en-US"/>
              </w:rPr>
              <w:t>33</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b/>
                <w:sz w:val="16"/>
                <w:szCs w:val="16"/>
              </w:rPr>
            </w:pPr>
            <w:r w:rsidRPr="009B0848">
              <w:rPr>
                <w:rFonts w:ascii="Arial Narrow" w:hAnsi="Arial Narrow"/>
                <w:b/>
                <w:sz w:val="16"/>
                <w:szCs w:val="16"/>
              </w:rPr>
              <w:t>Έξοδα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172</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b/>
                <w:bCs/>
                <w:sz w:val="16"/>
                <w:szCs w:val="16"/>
                <w:lang w:val="en-US"/>
              </w:rPr>
            </w:pPr>
            <w:r>
              <w:rPr>
                <w:rFonts w:ascii="Arial Narrow" w:hAnsi="Arial Narrow"/>
                <w:b/>
                <w:bCs/>
                <w:sz w:val="16"/>
                <w:szCs w:val="16"/>
                <w:lang w:val="en-US"/>
              </w:rPr>
              <w:t>218</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Αγαθά</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36</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sz w:val="16"/>
                <w:szCs w:val="16"/>
                <w:lang w:val="en-US"/>
              </w:rPr>
            </w:pPr>
            <w:r>
              <w:rPr>
                <w:rFonts w:ascii="Arial Narrow" w:hAnsi="Arial Narrow"/>
                <w:sz w:val="16"/>
                <w:szCs w:val="16"/>
                <w:lang w:val="en-US"/>
              </w:rPr>
              <w:t>61</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t>εκ των οποίων</w:t>
            </w:r>
            <w:r w:rsidRPr="00231FB8">
              <w:rPr>
                <w:rFonts w:ascii="Arial Narrow" w:hAnsi="Arial Narrow"/>
                <w:i/>
                <w:sz w:val="16"/>
                <w:szCs w:val="16"/>
              </w:rPr>
              <w:tab/>
              <w:t>Φάρμακο</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2</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i/>
                <w:iCs/>
                <w:sz w:val="16"/>
                <w:szCs w:val="16"/>
                <w:lang w:val="en-US"/>
              </w:rPr>
            </w:pPr>
            <w:r>
              <w:rPr>
                <w:rFonts w:ascii="Arial Narrow" w:hAnsi="Arial Narrow"/>
                <w:i/>
                <w:iCs/>
                <w:sz w:val="16"/>
                <w:szCs w:val="16"/>
                <w:lang w:val="en-US"/>
              </w:rPr>
              <w:t>4</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Υγειονομικό υλικό</w:t>
            </w:r>
            <w:r w:rsidRPr="00231FB8">
              <w:rPr>
                <w:rFonts w:ascii="Arial Narrow" w:hAnsi="Arial Narrow"/>
                <w:i/>
                <w:sz w:val="16"/>
                <w:szCs w:val="16"/>
              </w:rPr>
              <w:tab/>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9</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i/>
                <w:iCs/>
                <w:sz w:val="16"/>
                <w:szCs w:val="16"/>
                <w:lang w:val="en-US"/>
              </w:rPr>
            </w:pPr>
            <w:r>
              <w:rPr>
                <w:rFonts w:ascii="Arial Narrow" w:hAnsi="Arial Narrow"/>
                <w:i/>
                <w:iCs/>
                <w:sz w:val="16"/>
                <w:szCs w:val="16"/>
                <w:lang w:val="en-US"/>
              </w:rPr>
              <w:t>15</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Ορθοπεδικό υλικό</w:t>
            </w:r>
            <w:r w:rsidRPr="00231FB8">
              <w:rPr>
                <w:rFonts w:ascii="Arial Narrow" w:hAnsi="Arial Narrow"/>
                <w:i/>
                <w:sz w:val="16"/>
                <w:szCs w:val="16"/>
              </w:rPr>
              <w:tab/>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0</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i/>
                <w:iCs/>
                <w:sz w:val="16"/>
                <w:szCs w:val="16"/>
                <w:lang w:val="en-US"/>
              </w:rPr>
            </w:pPr>
            <w:r>
              <w:rPr>
                <w:rFonts w:ascii="Arial Narrow" w:hAnsi="Arial Narrow"/>
                <w:i/>
                <w:iCs/>
                <w:sz w:val="16"/>
                <w:szCs w:val="16"/>
                <w:lang w:val="en-US"/>
              </w:rPr>
              <w:t>0</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Αντιδραστήρια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11</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i/>
                <w:iCs/>
                <w:sz w:val="16"/>
                <w:szCs w:val="16"/>
                <w:lang w:val="en-US"/>
              </w:rPr>
            </w:pPr>
            <w:r>
              <w:rPr>
                <w:rFonts w:ascii="Arial Narrow" w:hAnsi="Arial Narrow"/>
                <w:i/>
                <w:iCs/>
                <w:sz w:val="16"/>
                <w:szCs w:val="16"/>
              </w:rPr>
              <w:t>1</w:t>
            </w:r>
            <w:r>
              <w:rPr>
                <w:rFonts w:ascii="Arial Narrow" w:hAnsi="Arial Narrow"/>
                <w:i/>
                <w:iCs/>
                <w:sz w:val="16"/>
                <w:szCs w:val="16"/>
                <w:lang w:val="en-US"/>
              </w:rPr>
              <w:t>9</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Λοιπές κατηγορίες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13</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i/>
                <w:iCs/>
                <w:sz w:val="16"/>
                <w:szCs w:val="16"/>
                <w:lang w:val="en-US"/>
              </w:rPr>
            </w:pPr>
            <w:r>
              <w:rPr>
                <w:rFonts w:ascii="Arial Narrow" w:hAnsi="Arial Narrow"/>
                <w:i/>
                <w:iCs/>
                <w:sz w:val="16"/>
                <w:szCs w:val="16"/>
                <w:lang w:val="en-US"/>
              </w:rPr>
              <w:t>22</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65</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sz w:val="16"/>
                <w:szCs w:val="16"/>
                <w:lang w:val="en-US"/>
              </w:rPr>
            </w:pPr>
            <w:r>
              <w:rPr>
                <w:rFonts w:ascii="Arial Narrow" w:hAnsi="Arial Narrow"/>
                <w:sz w:val="16"/>
                <w:szCs w:val="16"/>
                <w:lang w:val="en-US"/>
              </w:rPr>
              <w:t>65</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Υπηρεσίες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29</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sz w:val="16"/>
                <w:szCs w:val="16"/>
                <w:lang w:val="en-US"/>
              </w:rPr>
            </w:pPr>
            <w:r>
              <w:rPr>
                <w:rFonts w:ascii="Arial Narrow" w:hAnsi="Arial Narrow"/>
                <w:sz w:val="16"/>
                <w:szCs w:val="16"/>
                <w:lang w:val="en-US"/>
              </w:rPr>
              <w:t>49</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Δαπάνες για επενδύσεις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10</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sz w:val="16"/>
                <w:szCs w:val="16"/>
                <w:lang w:val="en-US"/>
              </w:rPr>
            </w:pPr>
            <w:r>
              <w:rPr>
                <w:rFonts w:ascii="Arial Narrow" w:hAnsi="Arial Narrow"/>
                <w:sz w:val="16"/>
                <w:szCs w:val="16"/>
              </w:rPr>
              <w:t>1</w:t>
            </w:r>
            <w:r>
              <w:rPr>
                <w:rFonts w:ascii="Arial Narrow" w:hAnsi="Arial Narrow"/>
                <w:sz w:val="16"/>
                <w:szCs w:val="16"/>
                <w:lang w:val="en-US"/>
              </w:rPr>
              <w:t>0</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Αντικριζόμενα έξοδα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32</w:t>
            </w:r>
          </w:p>
        </w:tc>
        <w:tc>
          <w:tcPr>
            <w:tcW w:w="1773" w:type="dxa"/>
            <w:tcBorders>
              <w:top w:val="nil"/>
              <w:left w:val="nil"/>
              <w:bottom w:val="nil"/>
            </w:tcBorders>
            <w:vAlign w:val="center"/>
          </w:tcPr>
          <w:p w:rsidR="000074CC" w:rsidRPr="00C254D8" w:rsidRDefault="000074CC" w:rsidP="000074CC">
            <w:pPr>
              <w:ind w:right="567"/>
              <w:jc w:val="right"/>
              <w:rPr>
                <w:rFonts w:ascii="Arial Narrow" w:hAnsi="Arial Narrow"/>
                <w:sz w:val="16"/>
                <w:szCs w:val="16"/>
                <w:lang w:val="en-US"/>
              </w:rPr>
            </w:pPr>
            <w:r>
              <w:rPr>
                <w:rFonts w:ascii="Arial Narrow" w:hAnsi="Arial Narrow"/>
                <w:sz w:val="16"/>
                <w:szCs w:val="16"/>
                <w:lang w:val="en-US"/>
              </w:rPr>
              <w:t>33</w:t>
            </w:r>
          </w:p>
        </w:tc>
      </w:tr>
      <w:tr w:rsidR="000074CC" w:rsidRPr="00CA73F2" w:rsidTr="000074CC">
        <w:trPr>
          <w:jc w:val="center"/>
        </w:trPr>
        <w:tc>
          <w:tcPr>
            <w:tcW w:w="5191" w:type="dxa"/>
            <w:tcBorders>
              <w:top w:val="nil"/>
              <w:bottom w:val="nil"/>
              <w:right w:val="nil"/>
            </w:tcBorders>
            <w:shd w:val="clear" w:color="auto" w:fill="auto"/>
          </w:tcPr>
          <w:p w:rsidR="000074CC" w:rsidRPr="00150B02" w:rsidRDefault="000074CC" w:rsidP="000074CC">
            <w:pPr>
              <w:spacing w:line="235" w:lineRule="auto"/>
              <w:rPr>
                <w:rFonts w:ascii="Arial Narrow" w:hAnsi="Arial Narrow"/>
                <w:sz w:val="16"/>
                <w:szCs w:val="16"/>
              </w:rPr>
            </w:pPr>
            <w:r w:rsidRPr="00150B02">
              <w:rPr>
                <w:rFonts w:ascii="Arial Narrow" w:hAnsi="Arial Narrow"/>
                <w:sz w:val="16"/>
                <w:szCs w:val="16"/>
              </w:rPr>
              <w:t>Λοιπά έξοδα</w:t>
            </w:r>
          </w:p>
        </w:tc>
        <w:tc>
          <w:tcPr>
            <w:tcW w:w="1787" w:type="dxa"/>
            <w:tcBorders>
              <w:top w:val="nil"/>
              <w:left w:val="nil"/>
              <w:bottom w:val="nil"/>
              <w:right w:val="nil"/>
            </w:tcBorders>
            <w:shd w:val="clear" w:color="auto" w:fill="auto"/>
            <w:vAlign w:val="center"/>
          </w:tcPr>
          <w:p w:rsidR="000074CC" w:rsidRPr="00150B02" w:rsidRDefault="000074CC" w:rsidP="000074CC">
            <w:pPr>
              <w:ind w:right="567"/>
              <w:jc w:val="right"/>
              <w:rPr>
                <w:rFonts w:ascii="Arial Narrow" w:hAnsi="Arial Narrow"/>
                <w:bCs/>
                <w:sz w:val="16"/>
                <w:szCs w:val="16"/>
              </w:rPr>
            </w:pPr>
            <w:r>
              <w:rPr>
                <w:rFonts w:ascii="Arial Narrow" w:hAnsi="Arial Narrow"/>
                <w:bCs/>
                <w:sz w:val="16"/>
                <w:szCs w:val="16"/>
              </w:rPr>
              <w:t>0</w:t>
            </w:r>
          </w:p>
        </w:tc>
        <w:tc>
          <w:tcPr>
            <w:tcW w:w="1773" w:type="dxa"/>
            <w:tcBorders>
              <w:top w:val="nil"/>
              <w:left w:val="nil"/>
              <w:bottom w:val="nil"/>
            </w:tcBorders>
            <w:shd w:val="clear" w:color="auto" w:fill="auto"/>
            <w:vAlign w:val="center"/>
          </w:tcPr>
          <w:p w:rsidR="000074CC" w:rsidRPr="00150B02" w:rsidRDefault="000074CC" w:rsidP="000074CC">
            <w:pPr>
              <w:ind w:right="567"/>
              <w:jc w:val="right"/>
              <w:rPr>
                <w:rFonts w:ascii="Arial Narrow" w:hAnsi="Arial Narrow"/>
                <w:bCs/>
                <w:sz w:val="16"/>
                <w:szCs w:val="16"/>
              </w:rPr>
            </w:pPr>
            <w:r>
              <w:rPr>
                <w:rFonts w:ascii="Arial Narrow" w:hAnsi="Arial Narrow"/>
                <w:bCs/>
                <w:sz w:val="16"/>
                <w:szCs w:val="16"/>
              </w:rPr>
              <w:t>0</w:t>
            </w:r>
          </w:p>
        </w:tc>
      </w:tr>
      <w:tr w:rsidR="000074CC" w:rsidRPr="00CA73F2" w:rsidTr="000074CC">
        <w:trPr>
          <w:jc w:val="center"/>
        </w:trPr>
        <w:tc>
          <w:tcPr>
            <w:tcW w:w="5191" w:type="dxa"/>
            <w:tcBorders>
              <w:top w:val="nil"/>
              <w:bottom w:val="nil"/>
              <w:right w:val="nil"/>
            </w:tcBorders>
            <w:shd w:val="clear" w:color="auto" w:fill="D9D9D9" w:themeFill="background1" w:themeFillShade="D9"/>
          </w:tcPr>
          <w:p w:rsidR="000074CC" w:rsidRPr="00CA73F2" w:rsidRDefault="000074CC" w:rsidP="000074CC">
            <w:pPr>
              <w:spacing w:line="235" w:lineRule="auto"/>
              <w:rPr>
                <w:rFonts w:ascii="Arial Narrow" w:hAnsi="Arial Narrow"/>
                <w:b/>
                <w:sz w:val="16"/>
                <w:szCs w:val="16"/>
              </w:rPr>
            </w:pPr>
            <w:r w:rsidRPr="00CA73F2">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-4</w:t>
            </w:r>
          </w:p>
        </w:tc>
        <w:tc>
          <w:tcPr>
            <w:tcW w:w="1773" w:type="dxa"/>
            <w:tcBorders>
              <w:top w:val="nil"/>
              <w:left w:val="nil"/>
              <w:bottom w:val="nil"/>
            </w:tcBorders>
            <w:shd w:val="clear" w:color="auto" w:fill="D9D9D9" w:themeFill="background1" w:themeFillShade="D9"/>
            <w:vAlign w:val="center"/>
          </w:tcPr>
          <w:p w:rsidR="000074CC" w:rsidRPr="00CE3CFD" w:rsidRDefault="000074CC" w:rsidP="000074CC">
            <w:pPr>
              <w:ind w:right="567"/>
              <w:jc w:val="right"/>
              <w:rPr>
                <w:rFonts w:ascii="Arial Narrow" w:hAnsi="Arial Narrow"/>
                <w:b/>
                <w:bCs/>
                <w:sz w:val="16"/>
                <w:szCs w:val="16"/>
              </w:rPr>
            </w:pPr>
            <w:r>
              <w:rPr>
                <w:rFonts w:ascii="Arial Narrow" w:hAnsi="Arial Narrow"/>
                <w:b/>
                <w:bCs/>
                <w:sz w:val="16"/>
                <w:szCs w:val="16"/>
                <w:lang w:val="en-US"/>
              </w:rPr>
              <w:t>-</w:t>
            </w:r>
            <w:r>
              <w:rPr>
                <w:rFonts w:ascii="Arial Narrow" w:hAnsi="Arial Narrow"/>
                <w:b/>
                <w:bCs/>
                <w:sz w:val="16"/>
                <w:szCs w:val="16"/>
              </w:rPr>
              <w:t>2</w:t>
            </w:r>
          </w:p>
        </w:tc>
      </w:tr>
      <w:tr w:rsidR="000074CC" w:rsidRPr="00CA73F2" w:rsidTr="000074CC">
        <w:trPr>
          <w:jc w:val="center"/>
        </w:trPr>
        <w:tc>
          <w:tcPr>
            <w:tcW w:w="5191" w:type="dxa"/>
            <w:tcBorders>
              <w:top w:val="nil"/>
              <w:bottom w:val="nil"/>
              <w:right w:val="nil"/>
            </w:tcBorders>
            <w:shd w:val="clear" w:color="auto" w:fill="D9D9D9" w:themeFill="background1" w:themeFillShade="D9"/>
          </w:tcPr>
          <w:p w:rsidR="000074CC" w:rsidRPr="00CA73F2" w:rsidRDefault="000074CC" w:rsidP="000074CC">
            <w:pPr>
              <w:spacing w:line="235" w:lineRule="auto"/>
              <w:rPr>
                <w:rFonts w:ascii="Arial Narrow" w:hAnsi="Arial Narrow"/>
                <w:b/>
                <w:sz w:val="16"/>
                <w:szCs w:val="16"/>
              </w:rPr>
            </w:pPr>
            <w:r w:rsidRPr="00CA73F2">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0074CC" w:rsidRPr="00C254D8" w:rsidRDefault="000074CC" w:rsidP="000074CC">
            <w:pPr>
              <w:ind w:right="567"/>
              <w:jc w:val="right"/>
              <w:rPr>
                <w:rFonts w:ascii="Arial Narrow" w:hAnsi="Arial Narrow"/>
                <w:b/>
                <w:bCs/>
                <w:sz w:val="16"/>
                <w:szCs w:val="16"/>
                <w:lang w:val="en-US"/>
              </w:rPr>
            </w:pPr>
            <w:r>
              <w:rPr>
                <w:rFonts w:ascii="Arial Narrow" w:hAnsi="Arial Narrow"/>
                <w:b/>
                <w:bCs/>
                <w:sz w:val="16"/>
                <w:szCs w:val="16"/>
                <w:lang w:val="en-US"/>
              </w:rPr>
              <w:t>20</w:t>
            </w:r>
          </w:p>
        </w:tc>
      </w:tr>
      <w:tr w:rsidR="000074CC" w:rsidRPr="009B0848" w:rsidTr="000074CC">
        <w:trPr>
          <w:jc w:val="center"/>
        </w:trPr>
        <w:tc>
          <w:tcPr>
            <w:tcW w:w="5191" w:type="dxa"/>
            <w:tcBorders>
              <w:top w:val="nil"/>
              <w:bottom w:val="nil"/>
              <w:right w:val="nil"/>
            </w:tcBorders>
            <w:shd w:val="clear" w:color="auto" w:fill="D9D9D9" w:themeFill="background1" w:themeFillShade="D9"/>
          </w:tcPr>
          <w:p w:rsidR="000074CC" w:rsidRPr="00CA73F2" w:rsidRDefault="000074CC" w:rsidP="000074CC">
            <w:pPr>
              <w:tabs>
                <w:tab w:val="num" w:pos="720"/>
              </w:tabs>
              <w:spacing w:line="235" w:lineRule="auto"/>
              <w:rPr>
                <w:rFonts w:ascii="Arial Narrow" w:hAnsi="Arial Narrow"/>
                <w:b/>
                <w:sz w:val="16"/>
                <w:szCs w:val="16"/>
                <w:lang w:val="en-GB"/>
              </w:rPr>
            </w:pPr>
            <w:r w:rsidRPr="009B0848">
              <w:rPr>
                <w:rFonts w:ascii="Arial Narrow" w:hAnsi="Arial Narrow"/>
                <w:b/>
                <w:sz w:val="16"/>
                <w:szCs w:val="16"/>
              </w:rPr>
              <w:t>Ισοζύγιο</w:t>
            </w:r>
            <w:r>
              <w:rPr>
                <w:rFonts w:ascii="Arial Narrow" w:hAnsi="Arial Narrow"/>
                <w:b/>
                <w:sz w:val="16"/>
                <w:szCs w:val="16"/>
              </w:rPr>
              <w:t xml:space="preserve"> κατά </w:t>
            </w:r>
            <w:r>
              <w:rPr>
                <w:rFonts w:ascii="Arial Narrow" w:hAnsi="Arial Narrow"/>
                <w:b/>
                <w:sz w:val="16"/>
                <w:szCs w:val="16"/>
                <w:lang w:val="en-GB"/>
              </w:rPr>
              <w:t xml:space="preserve">ESA </w:t>
            </w:r>
          </w:p>
        </w:tc>
        <w:tc>
          <w:tcPr>
            <w:tcW w:w="1787" w:type="dxa"/>
            <w:tcBorders>
              <w:top w:val="nil"/>
              <w:left w:val="nil"/>
              <w:bottom w:val="nil"/>
              <w:right w:val="nil"/>
            </w:tcBorders>
            <w:shd w:val="clear" w:color="auto" w:fill="D9D9D9" w:themeFill="background1" w:themeFillShade="D9"/>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-4</w:t>
            </w:r>
          </w:p>
        </w:tc>
        <w:tc>
          <w:tcPr>
            <w:tcW w:w="1773" w:type="dxa"/>
            <w:tcBorders>
              <w:top w:val="nil"/>
              <w:left w:val="nil"/>
              <w:bottom w:val="nil"/>
            </w:tcBorders>
            <w:shd w:val="clear" w:color="auto" w:fill="D9D9D9" w:themeFill="background1" w:themeFillShade="D9"/>
            <w:vAlign w:val="center"/>
          </w:tcPr>
          <w:p w:rsidR="000074CC" w:rsidRPr="00CE3CFD" w:rsidRDefault="000074CC" w:rsidP="000074CC">
            <w:pPr>
              <w:ind w:right="567"/>
              <w:jc w:val="right"/>
              <w:rPr>
                <w:rFonts w:ascii="Arial Narrow" w:hAnsi="Arial Narrow"/>
                <w:b/>
                <w:bCs/>
                <w:sz w:val="16"/>
                <w:szCs w:val="16"/>
              </w:rPr>
            </w:pPr>
            <w:r>
              <w:rPr>
                <w:rFonts w:ascii="Arial Narrow" w:hAnsi="Arial Narrow"/>
                <w:b/>
                <w:bCs/>
                <w:sz w:val="16"/>
                <w:szCs w:val="16"/>
                <w:lang w:val="en-US"/>
              </w:rPr>
              <w:t>1</w:t>
            </w:r>
            <w:r>
              <w:rPr>
                <w:rFonts w:ascii="Arial Narrow" w:hAnsi="Arial Narrow"/>
                <w:b/>
                <w:bCs/>
                <w:sz w:val="16"/>
                <w:szCs w:val="16"/>
              </w:rPr>
              <w:t>8</w:t>
            </w:r>
          </w:p>
        </w:tc>
      </w:tr>
      <w:tr w:rsidR="000074CC" w:rsidRPr="009B0848" w:rsidTr="000074CC">
        <w:trPr>
          <w:jc w:val="center"/>
        </w:trPr>
        <w:tc>
          <w:tcPr>
            <w:tcW w:w="5191" w:type="dxa"/>
            <w:tcBorders>
              <w:top w:val="nil"/>
              <w:bottom w:val="nil"/>
              <w:right w:val="nil"/>
            </w:tcBorders>
            <w:shd w:val="clear" w:color="auto" w:fill="A6A6A6"/>
          </w:tcPr>
          <w:p w:rsidR="000074CC" w:rsidRPr="009B0848" w:rsidRDefault="000074CC" w:rsidP="000074CC">
            <w:pPr>
              <w:tabs>
                <w:tab w:val="num" w:pos="720"/>
              </w:tabs>
              <w:spacing w:line="235" w:lineRule="auto"/>
              <w:rPr>
                <w:rFonts w:ascii="Arial Narrow" w:hAnsi="Arial Narrow"/>
                <w:b/>
                <w:sz w:val="16"/>
                <w:szCs w:val="16"/>
              </w:rPr>
            </w:pPr>
            <w:r>
              <w:rPr>
                <w:rFonts w:ascii="Arial Narrow" w:hAnsi="Arial Narrow"/>
                <w:b/>
                <w:sz w:val="16"/>
                <w:szCs w:val="16"/>
              </w:rPr>
              <w:t>Νοσοκομεία &amp; ΠΦΥ συγκεντρωτικά  (Ι+ΙΙ)</w:t>
            </w:r>
          </w:p>
        </w:tc>
        <w:tc>
          <w:tcPr>
            <w:tcW w:w="1787" w:type="dxa"/>
            <w:tcBorders>
              <w:top w:val="nil"/>
              <w:left w:val="nil"/>
              <w:bottom w:val="nil"/>
              <w:right w:val="nil"/>
            </w:tcBorders>
            <w:shd w:val="clear" w:color="auto" w:fill="A6A6A6"/>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 </w:t>
            </w:r>
          </w:p>
        </w:tc>
        <w:tc>
          <w:tcPr>
            <w:tcW w:w="1773" w:type="dxa"/>
            <w:tcBorders>
              <w:top w:val="nil"/>
              <w:left w:val="nil"/>
              <w:bottom w:val="nil"/>
            </w:tcBorders>
            <w:shd w:val="clear" w:color="auto" w:fill="A6A6A6"/>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 </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b/>
                <w:sz w:val="16"/>
                <w:szCs w:val="16"/>
              </w:rPr>
            </w:pPr>
            <w:r w:rsidRPr="009B0848">
              <w:rPr>
                <w:rFonts w:ascii="Arial Narrow" w:hAnsi="Arial Narrow"/>
                <w:b/>
                <w:sz w:val="16"/>
                <w:szCs w:val="16"/>
              </w:rPr>
              <w:t>Έσοδα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2.7</w:t>
            </w:r>
            <w:r w:rsidR="003F1E0A">
              <w:rPr>
                <w:rFonts w:ascii="Arial Narrow" w:hAnsi="Arial Narrow"/>
                <w:b/>
                <w:bCs/>
                <w:sz w:val="16"/>
                <w:szCs w:val="16"/>
              </w:rPr>
              <w:t>62</w:t>
            </w:r>
          </w:p>
        </w:tc>
        <w:tc>
          <w:tcPr>
            <w:tcW w:w="1773" w:type="dxa"/>
            <w:tcBorders>
              <w:top w:val="nil"/>
              <w:left w:val="nil"/>
              <w:bottom w:val="nil"/>
            </w:tcBorders>
            <w:vAlign w:val="center"/>
          </w:tcPr>
          <w:p w:rsidR="000074CC" w:rsidRPr="00CE3CFD" w:rsidRDefault="000074CC" w:rsidP="000074CC">
            <w:pPr>
              <w:ind w:right="567"/>
              <w:jc w:val="right"/>
              <w:rPr>
                <w:rFonts w:ascii="Arial Narrow" w:hAnsi="Arial Narrow"/>
                <w:b/>
                <w:bCs/>
                <w:sz w:val="16"/>
                <w:szCs w:val="16"/>
              </w:rPr>
            </w:pPr>
            <w:r>
              <w:rPr>
                <w:rFonts w:ascii="Arial Narrow" w:hAnsi="Arial Narrow"/>
                <w:b/>
                <w:bCs/>
                <w:sz w:val="16"/>
                <w:szCs w:val="16"/>
                <w:lang w:val="en-US"/>
              </w:rPr>
              <w:t>2</w:t>
            </w:r>
            <w:r>
              <w:rPr>
                <w:rFonts w:ascii="Arial Narrow" w:hAnsi="Arial Narrow"/>
                <w:b/>
                <w:bCs/>
                <w:sz w:val="16"/>
                <w:szCs w:val="16"/>
              </w:rPr>
              <w:t>.757</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Ίδια έσοδα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189</w:t>
            </w:r>
          </w:p>
        </w:tc>
        <w:tc>
          <w:tcPr>
            <w:tcW w:w="1773" w:type="dxa"/>
            <w:tcBorders>
              <w:top w:val="nil"/>
              <w:left w:val="nil"/>
              <w:bottom w:val="nil"/>
            </w:tcBorders>
            <w:vAlign w:val="center"/>
          </w:tcPr>
          <w:p w:rsidR="000074CC" w:rsidRPr="00CE3CFD" w:rsidRDefault="000074CC" w:rsidP="000074CC">
            <w:pPr>
              <w:ind w:right="567"/>
              <w:jc w:val="right"/>
              <w:rPr>
                <w:rFonts w:ascii="Arial Narrow" w:hAnsi="Arial Narrow"/>
                <w:sz w:val="16"/>
                <w:szCs w:val="16"/>
              </w:rPr>
            </w:pPr>
            <w:r>
              <w:rPr>
                <w:rFonts w:ascii="Arial Narrow" w:hAnsi="Arial Narrow"/>
                <w:sz w:val="16"/>
                <w:szCs w:val="16"/>
              </w:rPr>
              <w:t>190</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r w:rsidR="00FF6F79">
              <w:rPr>
                <w:rFonts w:ascii="Arial Narrow" w:hAnsi="Arial Narrow"/>
                <w:sz w:val="16"/>
                <w:szCs w:val="16"/>
              </w:rPr>
              <w:t xml:space="preserve"> **</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w:t>
            </w:r>
            <w:r w:rsidR="003F1E0A">
              <w:rPr>
                <w:rFonts w:ascii="Arial Narrow" w:hAnsi="Arial Narrow"/>
                <w:sz w:val="16"/>
                <w:szCs w:val="16"/>
              </w:rPr>
              <w:t>310</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1.280</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Μεταβιβάσεις από φορείς κοινωνικής ασφάλισης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888</w:t>
            </w:r>
          </w:p>
        </w:tc>
        <w:tc>
          <w:tcPr>
            <w:tcW w:w="1773" w:type="dxa"/>
            <w:tcBorders>
              <w:top w:val="nil"/>
              <w:left w:val="nil"/>
              <w:bottom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888</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60</w:t>
            </w:r>
          </w:p>
        </w:tc>
        <w:tc>
          <w:tcPr>
            <w:tcW w:w="1773" w:type="dxa"/>
            <w:tcBorders>
              <w:top w:val="nil"/>
              <w:left w:val="nil"/>
              <w:bottom w:val="nil"/>
            </w:tcBorders>
            <w:vAlign w:val="center"/>
          </w:tcPr>
          <w:p w:rsidR="000074CC" w:rsidRPr="00CE3CFD" w:rsidRDefault="000074CC" w:rsidP="000074CC">
            <w:pPr>
              <w:ind w:right="567"/>
              <w:jc w:val="right"/>
              <w:rPr>
                <w:rFonts w:ascii="Arial Narrow" w:hAnsi="Arial Narrow"/>
                <w:sz w:val="16"/>
                <w:szCs w:val="16"/>
              </w:rPr>
            </w:pPr>
            <w:r>
              <w:rPr>
                <w:rFonts w:ascii="Arial Narrow" w:hAnsi="Arial Narrow"/>
                <w:sz w:val="16"/>
                <w:szCs w:val="16"/>
              </w:rPr>
              <w:t>60</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 xml:space="preserve">Αντικριζόμενα έσοδα </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315</w:t>
            </w:r>
          </w:p>
        </w:tc>
        <w:tc>
          <w:tcPr>
            <w:tcW w:w="1773" w:type="dxa"/>
            <w:tcBorders>
              <w:top w:val="nil"/>
              <w:left w:val="nil"/>
              <w:bottom w:val="nil"/>
            </w:tcBorders>
            <w:vAlign w:val="center"/>
          </w:tcPr>
          <w:p w:rsidR="000074CC" w:rsidRPr="00CE3CFD" w:rsidRDefault="000074CC" w:rsidP="000074CC">
            <w:pPr>
              <w:ind w:right="567"/>
              <w:jc w:val="right"/>
              <w:rPr>
                <w:rFonts w:ascii="Arial Narrow" w:hAnsi="Arial Narrow"/>
                <w:sz w:val="16"/>
                <w:szCs w:val="16"/>
              </w:rPr>
            </w:pPr>
            <w:r>
              <w:rPr>
                <w:rFonts w:ascii="Arial Narrow" w:hAnsi="Arial Narrow"/>
                <w:sz w:val="16"/>
                <w:szCs w:val="16"/>
                <w:lang w:val="en-US"/>
              </w:rPr>
              <w:t>33</w:t>
            </w:r>
            <w:r>
              <w:rPr>
                <w:rFonts w:ascii="Arial Narrow" w:hAnsi="Arial Narrow"/>
                <w:sz w:val="16"/>
                <w:szCs w:val="16"/>
              </w:rPr>
              <w:t>9</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b/>
                <w:sz w:val="16"/>
                <w:szCs w:val="16"/>
              </w:rPr>
            </w:pPr>
            <w:r w:rsidRPr="009B0848">
              <w:rPr>
                <w:rFonts w:ascii="Arial Narrow" w:hAnsi="Arial Narrow"/>
                <w:b/>
                <w:sz w:val="16"/>
                <w:szCs w:val="16"/>
              </w:rPr>
              <w:t>Έξοδα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3.069</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b/>
                <w:bCs/>
                <w:sz w:val="16"/>
                <w:szCs w:val="16"/>
              </w:rPr>
            </w:pPr>
            <w:r>
              <w:rPr>
                <w:rFonts w:ascii="Arial Narrow" w:hAnsi="Arial Narrow"/>
                <w:b/>
                <w:bCs/>
                <w:sz w:val="16"/>
                <w:szCs w:val="16"/>
              </w:rPr>
              <w:t>3.357</w:t>
            </w:r>
          </w:p>
        </w:tc>
      </w:tr>
      <w:tr w:rsidR="000074CC" w:rsidRPr="009B0848" w:rsidTr="000074CC">
        <w:trPr>
          <w:jc w:val="center"/>
        </w:trPr>
        <w:tc>
          <w:tcPr>
            <w:tcW w:w="5191" w:type="dxa"/>
            <w:tcBorders>
              <w:top w:val="nil"/>
              <w:bottom w:val="nil"/>
              <w:right w:val="nil"/>
            </w:tcBorders>
          </w:tcPr>
          <w:p w:rsidR="000074CC" w:rsidRPr="009B0848" w:rsidRDefault="000074CC" w:rsidP="000074CC">
            <w:pPr>
              <w:tabs>
                <w:tab w:val="num" w:pos="720"/>
              </w:tabs>
              <w:spacing w:line="235" w:lineRule="auto"/>
              <w:rPr>
                <w:rFonts w:ascii="Arial Narrow" w:hAnsi="Arial Narrow"/>
                <w:sz w:val="16"/>
                <w:szCs w:val="16"/>
              </w:rPr>
            </w:pPr>
            <w:r w:rsidRPr="009B0848">
              <w:rPr>
                <w:rFonts w:ascii="Arial Narrow" w:hAnsi="Arial Narrow"/>
                <w:sz w:val="16"/>
                <w:szCs w:val="16"/>
              </w:rPr>
              <w:t>Αγαθά</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1.673</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sz w:val="16"/>
                <w:szCs w:val="16"/>
              </w:rPr>
            </w:pPr>
            <w:r>
              <w:rPr>
                <w:rFonts w:ascii="Arial Narrow" w:hAnsi="Arial Narrow"/>
                <w:sz w:val="16"/>
                <w:szCs w:val="16"/>
              </w:rPr>
              <w:t>1.906</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t>εκ των οποίων</w:t>
            </w:r>
            <w:r w:rsidRPr="00231FB8">
              <w:rPr>
                <w:rFonts w:ascii="Arial Narrow" w:hAnsi="Arial Narrow"/>
                <w:i/>
                <w:sz w:val="16"/>
                <w:szCs w:val="16"/>
              </w:rPr>
              <w:tab/>
              <w:t>Φάρμακο</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785</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i/>
                <w:iCs/>
                <w:sz w:val="16"/>
                <w:szCs w:val="16"/>
              </w:rPr>
            </w:pPr>
            <w:r>
              <w:rPr>
                <w:rFonts w:ascii="Arial Narrow" w:hAnsi="Arial Narrow"/>
                <w:i/>
                <w:iCs/>
                <w:sz w:val="16"/>
                <w:szCs w:val="16"/>
              </w:rPr>
              <w:t>897</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Υγειονομικό υλικό</w:t>
            </w:r>
            <w:r w:rsidRPr="00231FB8">
              <w:rPr>
                <w:rFonts w:ascii="Arial Narrow" w:hAnsi="Arial Narrow"/>
                <w:i/>
                <w:sz w:val="16"/>
                <w:szCs w:val="16"/>
              </w:rPr>
              <w:tab/>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432</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i/>
                <w:iCs/>
                <w:sz w:val="16"/>
                <w:szCs w:val="16"/>
              </w:rPr>
            </w:pPr>
            <w:r>
              <w:rPr>
                <w:rFonts w:ascii="Arial Narrow" w:hAnsi="Arial Narrow"/>
                <w:i/>
                <w:iCs/>
                <w:sz w:val="16"/>
                <w:szCs w:val="16"/>
              </w:rPr>
              <w:t>519</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Ορθοπεδικό υλικό</w:t>
            </w:r>
            <w:r w:rsidRPr="00231FB8">
              <w:rPr>
                <w:rFonts w:ascii="Arial Narrow" w:hAnsi="Arial Narrow"/>
                <w:i/>
                <w:sz w:val="16"/>
                <w:szCs w:val="16"/>
              </w:rPr>
              <w:tab/>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89</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i/>
                <w:iCs/>
                <w:sz w:val="16"/>
                <w:szCs w:val="16"/>
              </w:rPr>
            </w:pPr>
            <w:r>
              <w:rPr>
                <w:rFonts w:ascii="Arial Narrow" w:hAnsi="Arial Narrow"/>
                <w:i/>
                <w:iCs/>
                <w:sz w:val="16"/>
                <w:szCs w:val="16"/>
              </w:rPr>
              <w:t>101</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Αντιδραστήρια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221</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i/>
                <w:iCs/>
                <w:sz w:val="16"/>
                <w:szCs w:val="16"/>
              </w:rPr>
            </w:pPr>
            <w:r>
              <w:rPr>
                <w:rFonts w:ascii="Arial Narrow" w:hAnsi="Arial Narrow"/>
                <w:i/>
                <w:iCs/>
                <w:sz w:val="16"/>
                <w:szCs w:val="16"/>
              </w:rPr>
              <w:t>249</w:t>
            </w:r>
          </w:p>
        </w:tc>
      </w:tr>
      <w:tr w:rsidR="000074CC" w:rsidRPr="009B0848" w:rsidTr="000074CC">
        <w:trPr>
          <w:jc w:val="center"/>
        </w:trPr>
        <w:tc>
          <w:tcPr>
            <w:tcW w:w="5191" w:type="dxa"/>
            <w:tcBorders>
              <w:top w:val="nil"/>
              <w:bottom w:val="nil"/>
              <w:right w:val="nil"/>
            </w:tcBorders>
          </w:tcPr>
          <w:p w:rsidR="000074CC" w:rsidRPr="00231FB8" w:rsidRDefault="000074CC" w:rsidP="000074CC">
            <w:pPr>
              <w:tabs>
                <w:tab w:val="num" w:pos="89"/>
                <w:tab w:val="left" w:pos="1081"/>
              </w:tabs>
              <w:spacing w:line="235" w:lineRule="auto"/>
              <w:rPr>
                <w:rFonts w:ascii="Arial Narrow" w:hAnsi="Arial Narrow"/>
                <w:i/>
                <w:sz w:val="16"/>
                <w:szCs w:val="16"/>
              </w:rPr>
            </w:pPr>
            <w:r w:rsidRPr="00231FB8">
              <w:rPr>
                <w:rFonts w:ascii="Arial Narrow" w:hAnsi="Arial Narrow"/>
                <w:i/>
                <w:sz w:val="16"/>
                <w:szCs w:val="16"/>
              </w:rPr>
              <w:tab/>
            </w:r>
            <w:r w:rsidRPr="00231FB8">
              <w:rPr>
                <w:rFonts w:ascii="Arial Narrow" w:hAnsi="Arial Narrow"/>
                <w:i/>
                <w:sz w:val="16"/>
                <w:szCs w:val="16"/>
              </w:rPr>
              <w:tab/>
              <w:t>Λοιπές κατηγορίες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i/>
                <w:iCs/>
                <w:sz w:val="16"/>
                <w:szCs w:val="16"/>
              </w:rPr>
            </w:pPr>
            <w:r>
              <w:rPr>
                <w:rFonts w:ascii="Arial Narrow" w:hAnsi="Arial Narrow"/>
                <w:i/>
                <w:iCs/>
                <w:sz w:val="16"/>
                <w:szCs w:val="16"/>
              </w:rPr>
              <w:t>147</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i/>
                <w:iCs/>
                <w:sz w:val="16"/>
                <w:szCs w:val="16"/>
              </w:rPr>
            </w:pPr>
            <w:r>
              <w:rPr>
                <w:rFonts w:ascii="Arial Narrow" w:hAnsi="Arial Narrow"/>
                <w:i/>
                <w:iCs/>
                <w:sz w:val="16"/>
                <w:szCs w:val="16"/>
              </w:rPr>
              <w:t>140</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523</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sz w:val="16"/>
                <w:szCs w:val="16"/>
              </w:rPr>
            </w:pPr>
            <w:r>
              <w:rPr>
                <w:rFonts w:ascii="Arial Narrow" w:hAnsi="Arial Narrow"/>
                <w:sz w:val="16"/>
                <w:szCs w:val="16"/>
              </w:rPr>
              <w:t>583</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Υπηρεσίες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499</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sz w:val="16"/>
                <w:szCs w:val="16"/>
              </w:rPr>
            </w:pPr>
            <w:r>
              <w:rPr>
                <w:rFonts w:ascii="Arial Narrow" w:hAnsi="Arial Narrow"/>
                <w:sz w:val="16"/>
                <w:szCs w:val="16"/>
              </w:rPr>
              <w:t>456</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Δαπάνες για επενδύσεις</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59</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sz w:val="16"/>
                <w:szCs w:val="16"/>
              </w:rPr>
            </w:pPr>
            <w:r>
              <w:rPr>
                <w:rFonts w:ascii="Arial Narrow" w:hAnsi="Arial Narrow"/>
                <w:sz w:val="16"/>
                <w:szCs w:val="16"/>
              </w:rPr>
              <w:t>62</w:t>
            </w:r>
          </w:p>
        </w:tc>
      </w:tr>
      <w:tr w:rsidR="000074CC" w:rsidRPr="009B0848" w:rsidTr="000074CC">
        <w:trPr>
          <w:jc w:val="center"/>
        </w:trPr>
        <w:tc>
          <w:tcPr>
            <w:tcW w:w="5191" w:type="dxa"/>
            <w:tcBorders>
              <w:top w:val="nil"/>
              <w:bottom w:val="nil"/>
              <w:right w:val="nil"/>
            </w:tcBorders>
          </w:tcPr>
          <w:p w:rsidR="000074CC" w:rsidRPr="009B0848" w:rsidRDefault="000074CC" w:rsidP="000074CC">
            <w:pPr>
              <w:spacing w:line="235" w:lineRule="auto"/>
              <w:rPr>
                <w:rFonts w:ascii="Arial Narrow" w:hAnsi="Arial Narrow"/>
                <w:sz w:val="16"/>
                <w:szCs w:val="16"/>
              </w:rPr>
            </w:pPr>
            <w:r w:rsidRPr="009B0848">
              <w:rPr>
                <w:rFonts w:ascii="Arial Narrow" w:hAnsi="Arial Narrow"/>
                <w:sz w:val="16"/>
                <w:szCs w:val="16"/>
              </w:rPr>
              <w:t>Αντικριζόμενα έξοδα</w:t>
            </w:r>
          </w:p>
        </w:tc>
        <w:tc>
          <w:tcPr>
            <w:tcW w:w="1787" w:type="dxa"/>
            <w:tcBorders>
              <w:top w:val="nil"/>
              <w:left w:val="nil"/>
              <w:bottom w:val="nil"/>
              <w:right w:val="nil"/>
            </w:tcBorders>
            <w:vAlign w:val="center"/>
          </w:tcPr>
          <w:p w:rsidR="000074CC" w:rsidRDefault="000074CC" w:rsidP="000074CC">
            <w:pPr>
              <w:ind w:right="567"/>
              <w:jc w:val="right"/>
              <w:rPr>
                <w:rFonts w:ascii="Arial Narrow" w:hAnsi="Arial Narrow"/>
                <w:sz w:val="16"/>
                <w:szCs w:val="16"/>
              </w:rPr>
            </w:pPr>
            <w:r>
              <w:rPr>
                <w:rFonts w:ascii="Arial Narrow" w:hAnsi="Arial Narrow"/>
                <w:sz w:val="16"/>
                <w:szCs w:val="16"/>
              </w:rPr>
              <w:t>315</w:t>
            </w:r>
          </w:p>
        </w:tc>
        <w:tc>
          <w:tcPr>
            <w:tcW w:w="1773" w:type="dxa"/>
            <w:tcBorders>
              <w:top w:val="nil"/>
              <w:left w:val="nil"/>
              <w:bottom w:val="nil"/>
            </w:tcBorders>
            <w:vAlign w:val="center"/>
          </w:tcPr>
          <w:p w:rsidR="000074CC" w:rsidRPr="00E407BE" w:rsidRDefault="000074CC" w:rsidP="000074CC">
            <w:pPr>
              <w:ind w:right="567"/>
              <w:jc w:val="right"/>
              <w:rPr>
                <w:rFonts w:ascii="Arial Narrow" w:hAnsi="Arial Narrow"/>
                <w:sz w:val="16"/>
                <w:szCs w:val="16"/>
              </w:rPr>
            </w:pPr>
            <w:r>
              <w:rPr>
                <w:rFonts w:ascii="Arial Narrow" w:hAnsi="Arial Narrow"/>
                <w:sz w:val="16"/>
                <w:szCs w:val="16"/>
              </w:rPr>
              <w:t>340</w:t>
            </w:r>
          </w:p>
        </w:tc>
      </w:tr>
      <w:tr w:rsidR="000074CC" w:rsidRPr="00CA73F2" w:rsidTr="000074CC">
        <w:trPr>
          <w:jc w:val="center"/>
        </w:trPr>
        <w:tc>
          <w:tcPr>
            <w:tcW w:w="5191" w:type="dxa"/>
            <w:tcBorders>
              <w:top w:val="nil"/>
              <w:bottom w:val="nil"/>
              <w:right w:val="nil"/>
            </w:tcBorders>
            <w:shd w:val="clear" w:color="auto" w:fill="auto"/>
          </w:tcPr>
          <w:p w:rsidR="000074CC" w:rsidRPr="00CE3CFD" w:rsidRDefault="000074CC" w:rsidP="000074CC">
            <w:pPr>
              <w:spacing w:line="235" w:lineRule="auto"/>
              <w:rPr>
                <w:rFonts w:ascii="Arial Narrow" w:hAnsi="Arial Narrow"/>
                <w:sz w:val="16"/>
                <w:szCs w:val="16"/>
              </w:rPr>
            </w:pPr>
            <w:r w:rsidRPr="00CE3CFD">
              <w:rPr>
                <w:rFonts w:ascii="Arial Narrow" w:hAnsi="Arial Narrow"/>
                <w:sz w:val="16"/>
                <w:szCs w:val="16"/>
              </w:rPr>
              <w:t>Λοιπά έξοδα</w:t>
            </w:r>
          </w:p>
        </w:tc>
        <w:tc>
          <w:tcPr>
            <w:tcW w:w="1787" w:type="dxa"/>
            <w:tcBorders>
              <w:top w:val="nil"/>
              <w:left w:val="nil"/>
              <w:bottom w:val="nil"/>
              <w:right w:val="nil"/>
            </w:tcBorders>
            <w:shd w:val="clear" w:color="auto" w:fill="auto"/>
            <w:vAlign w:val="center"/>
          </w:tcPr>
          <w:p w:rsidR="000074CC" w:rsidRPr="00CE3CFD" w:rsidRDefault="000074CC" w:rsidP="000074CC">
            <w:pPr>
              <w:ind w:right="567"/>
              <w:jc w:val="right"/>
              <w:rPr>
                <w:rFonts w:ascii="Arial Narrow" w:hAnsi="Arial Narrow"/>
                <w:bCs/>
                <w:sz w:val="16"/>
                <w:szCs w:val="16"/>
              </w:rPr>
            </w:pPr>
            <w:r w:rsidRPr="00CE3CFD">
              <w:rPr>
                <w:rFonts w:ascii="Arial Narrow" w:hAnsi="Arial Narrow"/>
                <w:bCs/>
                <w:sz w:val="16"/>
                <w:szCs w:val="16"/>
              </w:rPr>
              <w:t>0</w:t>
            </w:r>
          </w:p>
        </w:tc>
        <w:tc>
          <w:tcPr>
            <w:tcW w:w="1773" w:type="dxa"/>
            <w:tcBorders>
              <w:top w:val="nil"/>
              <w:left w:val="nil"/>
              <w:bottom w:val="nil"/>
            </w:tcBorders>
            <w:shd w:val="clear" w:color="auto" w:fill="auto"/>
            <w:vAlign w:val="center"/>
          </w:tcPr>
          <w:p w:rsidR="000074CC" w:rsidRPr="00F60D09" w:rsidRDefault="000074CC" w:rsidP="000074CC">
            <w:pPr>
              <w:ind w:right="567"/>
              <w:jc w:val="right"/>
              <w:rPr>
                <w:rFonts w:ascii="Arial Narrow" w:hAnsi="Arial Narrow"/>
                <w:bCs/>
                <w:sz w:val="16"/>
                <w:szCs w:val="16"/>
              </w:rPr>
            </w:pPr>
            <w:r w:rsidRPr="00F60D09">
              <w:rPr>
                <w:rFonts w:ascii="Arial Narrow" w:hAnsi="Arial Narrow"/>
                <w:bCs/>
                <w:sz w:val="16"/>
                <w:szCs w:val="16"/>
              </w:rPr>
              <w:t>10</w:t>
            </w:r>
          </w:p>
        </w:tc>
      </w:tr>
      <w:tr w:rsidR="000074CC" w:rsidRPr="00CA73F2" w:rsidTr="000074CC">
        <w:trPr>
          <w:jc w:val="center"/>
        </w:trPr>
        <w:tc>
          <w:tcPr>
            <w:tcW w:w="5191" w:type="dxa"/>
            <w:tcBorders>
              <w:top w:val="nil"/>
              <w:bottom w:val="nil"/>
              <w:right w:val="nil"/>
            </w:tcBorders>
            <w:shd w:val="clear" w:color="auto" w:fill="BFBFBF" w:themeFill="background1" w:themeFillShade="BF"/>
          </w:tcPr>
          <w:p w:rsidR="000074CC" w:rsidRPr="00CA73F2" w:rsidRDefault="000074CC" w:rsidP="006058D2">
            <w:pPr>
              <w:spacing w:line="235" w:lineRule="auto"/>
              <w:rPr>
                <w:rFonts w:ascii="Arial Narrow" w:hAnsi="Arial Narrow"/>
                <w:b/>
                <w:sz w:val="16"/>
                <w:szCs w:val="16"/>
              </w:rPr>
            </w:pPr>
            <w:r w:rsidRPr="00CA73F2">
              <w:rPr>
                <w:rFonts w:ascii="Arial Narrow" w:hAnsi="Arial Narrow"/>
                <w:b/>
                <w:sz w:val="16"/>
                <w:szCs w:val="16"/>
              </w:rPr>
              <w:t>Ταμειακό ισοζύγιο</w:t>
            </w:r>
            <w:r>
              <w:rPr>
                <w:rFonts w:ascii="Arial Narrow" w:hAnsi="Arial Narrow"/>
                <w:b/>
                <w:sz w:val="16"/>
                <w:szCs w:val="16"/>
                <w:lang w:val="en-GB"/>
              </w:rPr>
              <w:t xml:space="preserve"> </w:t>
            </w:r>
            <w:r>
              <w:rPr>
                <w:rFonts w:ascii="Arial Narrow" w:hAnsi="Arial Narrow"/>
                <w:b/>
                <w:sz w:val="16"/>
                <w:szCs w:val="16"/>
              </w:rPr>
              <w:t>νοσοκομείων &amp; ΠΦΥ</w:t>
            </w:r>
          </w:p>
        </w:tc>
        <w:tc>
          <w:tcPr>
            <w:tcW w:w="1787" w:type="dxa"/>
            <w:tcBorders>
              <w:top w:val="nil"/>
              <w:left w:val="nil"/>
              <w:bottom w:val="nil"/>
              <w:right w:val="nil"/>
            </w:tcBorders>
            <w:shd w:val="clear" w:color="auto" w:fill="BFBFBF" w:themeFill="background1" w:themeFillShade="BF"/>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-3</w:t>
            </w:r>
            <w:r w:rsidR="003F1E0A">
              <w:rPr>
                <w:rFonts w:ascii="Arial Narrow" w:hAnsi="Arial Narrow"/>
                <w:b/>
                <w:bCs/>
                <w:sz w:val="16"/>
                <w:szCs w:val="16"/>
              </w:rPr>
              <w:t>07</w:t>
            </w:r>
          </w:p>
        </w:tc>
        <w:tc>
          <w:tcPr>
            <w:tcW w:w="1773" w:type="dxa"/>
            <w:tcBorders>
              <w:top w:val="nil"/>
              <w:left w:val="nil"/>
              <w:bottom w:val="nil"/>
            </w:tcBorders>
            <w:shd w:val="clear" w:color="auto" w:fill="BFBFBF" w:themeFill="background1" w:themeFillShade="BF"/>
            <w:vAlign w:val="center"/>
          </w:tcPr>
          <w:p w:rsidR="000074CC" w:rsidRPr="00E407BE" w:rsidRDefault="000074CC" w:rsidP="000074CC">
            <w:pPr>
              <w:ind w:right="567"/>
              <w:jc w:val="right"/>
              <w:rPr>
                <w:rFonts w:ascii="Arial Narrow" w:hAnsi="Arial Narrow"/>
                <w:b/>
                <w:bCs/>
                <w:sz w:val="16"/>
                <w:szCs w:val="16"/>
              </w:rPr>
            </w:pPr>
            <w:r>
              <w:rPr>
                <w:rFonts w:ascii="Arial Narrow" w:hAnsi="Arial Narrow"/>
                <w:b/>
                <w:bCs/>
                <w:sz w:val="16"/>
                <w:szCs w:val="16"/>
              </w:rPr>
              <w:t>-600</w:t>
            </w:r>
          </w:p>
        </w:tc>
      </w:tr>
      <w:tr w:rsidR="000074CC" w:rsidRPr="00CA73F2" w:rsidTr="000074CC">
        <w:trPr>
          <w:jc w:val="center"/>
        </w:trPr>
        <w:tc>
          <w:tcPr>
            <w:tcW w:w="5191" w:type="dxa"/>
            <w:tcBorders>
              <w:top w:val="nil"/>
              <w:bottom w:val="nil"/>
              <w:right w:val="nil"/>
            </w:tcBorders>
            <w:shd w:val="clear" w:color="auto" w:fill="BFBFBF" w:themeFill="background1" w:themeFillShade="BF"/>
          </w:tcPr>
          <w:p w:rsidR="000074CC" w:rsidRPr="00CA73F2" w:rsidRDefault="000074CC" w:rsidP="006058D2">
            <w:pPr>
              <w:spacing w:line="235" w:lineRule="auto"/>
              <w:rPr>
                <w:rFonts w:ascii="Arial Narrow" w:hAnsi="Arial Narrow"/>
                <w:b/>
                <w:sz w:val="16"/>
                <w:szCs w:val="16"/>
              </w:rPr>
            </w:pPr>
            <w:r w:rsidRPr="00CA73F2">
              <w:rPr>
                <w:rFonts w:ascii="Arial Narrow" w:hAnsi="Arial Narrow"/>
                <w:b/>
                <w:sz w:val="16"/>
                <w:szCs w:val="16"/>
              </w:rPr>
              <w:t>Εθνικολογιστικές προσαρμογές</w:t>
            </w:r>
            <w:r>
              <w:rPr>
                <w:rFonts w:ascii="Arial Narrow" w:hAnsi="Arial Narrow"/>
                <w:b/>
                <w:sz w:val="16"/>
                <w:szCs w:val="16"/>
              </w:rPr>
              <w:t xml:space="preserve"> νοσοκομείων &amp; ΠΦΥ</w:t>
            </w:r>
          </w:p>
        </w:tc>
        <w:tc>
          <w:tcPr>
            <w:tcW w:w="1787" w:type="dxa"/>
            <w:tcBorders>
              <w:top w:val="nil"/>
              <w:left w:val="nil"/>
              <w:bottom w:val="nil"/>
              <w:right w:val="nil"/>
            </w:tcBorders>
            <w:shd w:val="clear" w:color="auto" w:fill="BFBFBF" w:themeFill="background1" w:themeFillShade="BF"/>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468</w:t>
            </w:r>
          </w:p>
        </w:tc>
        <w:tc>
          <w:tcPr>
            <w:tcW w:w="1773" w:type="dxa"/>
            <w:tcBorders>
              <w:top w:val="nil"/>
              <w:left w:val="nil"/>
              <w:bottom w:val="nil"/>
            </w:tcBorders>
            <w:shd w:val="clear" w:color="auto" w:fill="BFBFBF" w:themeFill="background1" w:themeFillShade="BF"/>
            <w:vAlign w:val="center"/>
          </w:tcPr>
          <w:p w:rsidR="000074CC" w:rsidRPr="00E407BE" w:rsidRDefault="000074CC" w:rsidP="000074CC">
            <w:pPr>
              <w:ind w:right="567"/>
              <w:jc w:val="right"/>
              <w:rPr>
                <w:rFonts w:ascii="Arial Narrow" w:hAnsi="Arial Narrow"/>
                <w:b/>
                <w:bCs/>
                <w:sz w:val="16"/>
                <w:szCs w:val="16"/>
              </w:rPr>
            </w:pPr>
            <w:r>
              <w:rPr>
                <w:rFonts w:ascii="Arial Narrow" w:hAnsi="Arial Narrow"/>
                <w:b/>
                <w:bCs/>
                <w:sz w:val="16"/>
                <w:szCs w:val="16"/>
              </w:rPr>
              <w:t>696</w:t>
            </w:r>
          </w:p>
        </w:tc>
      </w:tr>
      <w:tr w:rsidR="000074CC" w:rsidRPr="009B0848" w:rsidTr="000074CC">
        <w:trPr>
          <w:jc w:val="center"/>
        </w:trPr>
        <w:tc>
          <w:tcPr>
            <w:tcW w:w="5191" w:type="dxa"/>
            <w:tcBorders>
              <w:top w:val="nil"/>
              <w:bottom w:val="single" w:sz="4" w:space="0" w:color="auto"/>
              <w:right w:val="nil"/>
            </w:tcBorders>
            <w:shd w:val="clear" w:color="auto" w:fill="BFBFBF" w:themeFill="background1" w:themeFillShade="BF"/>
          </w:tcPr>
          <w:p w:rsidR="000074CC" w:rsidRPr="00905AE4" w:rsidRDefault="000074CC" w:rsidP="006058D2">
            <w:pPr>
              <w:tabs>
                <w:tab w:val="num" w:pos="720"/>
              </w:tabs>
              <w:spacing w:line="235" w:lineRule="auto"/>
              <w:rPr>
                <w:rFonts w:ascii="Arial Narrow" w:hAnsi="Arial Narrow"/>
                <w:b/>
                <w:sz w:val="16"/>
                <w:szCs w:val="16"/>
              </w:rPr>
            </w:pPr>
            <w:r w:rsidRPr="009B0848">
              <w:rPr>
                <w:rFonts w:ascii="Arial Narrow" w:hAnsi="Arial Narrow"/>
                <w:b/>
                <w:sz w:val="16"/>
                <w:szCs w:val="16"/>
              </w:rPr>
              <w:t>Ισοζύγιο</w:t>
            </w:r>
            <w:r>
              <w:rPr>
                <w:rFonts w:ascii="Arial Narrow" w:hAnsi="Arial Narrow"/>
                <w:b/>
                <w:sz w:val="16"/>
                <w:szCs w:val="16"/>
              </w:rPr>
              <w:t xml:space="preserve"> νοσοκομείων &amp; ΠΦΥ κατά </w:t>
            </w:r>
            <w:r>
              <w:rPr>
                <w:rFonts w:ascii="Arial Narrow" w:hAnsi="Arial Narrow"/>
                <w:b/>
                <w:sz w:val="16"/>
                <w:szCs w:val="16"/>
                <w:lang w:val="en-GB"/>
              </w:rPr>
              <w:t>ESA</w:t>
            </w:r>
            <w:r w:rsidRPr="0097155F">
              <w:rPr>
                <w:rFonts w:ascii="Arial Narrow" w:hAnsi="Arial Narrow"/>
                <w:b/>
                <w:sz w:val="16"/>
                <w:szCs w:val="16"/>
              </w:rPr>
              <w:t xml:space="preserve"> </w:t>
            </w:r>
          </w:p>
        </w:tc>
        <w:tc>
          <w:tcPr>
            <w:tcW w:w="1787" w:type="dxa"/>
            <w:tcBorders>
              <w:top w:val="nil"/>
              <w:left w:val="nil"/>
              <w:bottom w:val="single" w:sz="4" w:space="0" w:color="auto"/>
              <w:right w:val="nil"/>
            </w:tcBorders>
            <w:shd w:val="clear" w:color="auto" w:fill="BFBFBF" w:themeFill="background1" w:themeFillShade="BF"/>
            <w:vAlign w:val="center"/>
          </w:tcPr>
          <w:p w:rsidR="000074CC" w:rsidRDefault="000074CC" w:rsidP="000074CC">
            <w:pPr>
              <w:ind w:right="567"/>
              <w:jc w:val="right"/>
              <w:rPr>
                <w:rFonts w:ascii="Arial Narrow" w:hAnsi="Arial Narrow"/>
                <w:b/>
                <w:bCs/>
                <w:sz w:val="16"/>
                <w:szCs w:val="16"/>
              </w:rPr>
            </w:pPr>
            <w:r>
              <w:rPr>
                <w:rFonts w:ascii="Arial Narrow" w:hAnsi="Arial Narrow"/>
                <w:b/>
                <w:bCs/>
                <w:sz w:val="16"/>
                <w:szCs w:val="16"/>
              </w:rPr>
              <w:t>1</w:t>
            </w:r>
            <w:r w:rsidR="003F1E0A">
              <w:rPr>
                <w:rFonts w:ascii="Arial Narrow" w:hAnsi="Arial Narrow"/>
                <w:b/>
                <w:bCs/>
                <w:sz w:val="16"/>
                <w:szCs w:val="16"/>
              </w:rPr>
              <w:t>61</w:t>
            </w:r>
          </w:p>
        </w:tc>
        <w:tc>
          <w:tcPr>
            <w:tcW w:w="1773" w:type="dxa"/>
            <w:tcBorders>
              <w:top w:val="nil"/>
              <w:left w:val="nil"/>
              <w:bottom w:val="single" w:sz="4" w:space="0" w:color="auto"/>
            </w:tcBorders>
            <w:shd w:val="clear" w:color="auto" w:fill="BFBFBF" w:themeFill="background1" w:themeFillShade="BF"/>
            <w:vAlign w:val="center"/>
          </w:tcPr>
          <w:p w:rsidR="000074CC" w:rsidRPr="00C254D8" w:rsidRDefault="000074CC" w:rsidP="000074CC">
            <w:pPr>
              <w:ind w:right="567"/>
              <w:jc w:val="right"/>
              <w:rPr>
                <w:rFonts w:ascii="Arial Narrow" w:hAnsi="Arial Narrow"/>
                <w:b/>
                <w:bCs/>
                <w:sz w:val="16"/>
                <w:szCs w:val="16"/>
                <w:lang w:val="en-US"/>
              </w:rPr>
            </w:pPr>
            <w:r>
              <w:rPr>
                <w:rFonts w:ascii="Arial Narrow" w:hAnsi="Arial Narrow"/>
                <w:b/>
                <w:bCs/>
                <w:sz w:val="16"/>
                <w:szCs w:val="16"/>
                <w:lang w:val="en-US"/>
              </w:rPr>
              <w:t>96</w:t>
            </w:r>
          </w:p>
        </w:tc>
      </w:tr>
    </w:tbl>
    <w:p w:rsidR="000074CC" w:rsidRDefault="00F60D09" w:rsidP="00FF6F79">
      <w:pPr>
        <w:ind w:left="426" w:right="140" w:hanging="284"/>
        <w:jc w:val="both"/>
        <w:rPr>
          <w:rFonts w:ascii="Arial Narrow" w:hAnsi="Arial Narrow"/>
          <w:sz w:val="16"/>
          <w:szCs w:val="16"/>
        </w:rPr>
      </w:pPr>
      <w:r w:rsidRPr="00F60D09">
        <w:rPr>
          <w:rFonts w:ascii="Arial Narrow" w:hAnsi="Arial Narrow"/>
          <w:sz w:val="16"/>
          <w:szCs w:val="16"/>
        </w:rPr>
        <w:t>*</w:t>
      </w:r>
      <w:r w:rsidRPr="00F60D09">
        <w:rPr>
          <w:rFonts w:ascii="Arial Narrow" w:hAnsi="Arial Narrow"/>
          <w:sz w:val="16"/>
          <w:szCs w:val="16"/>
        </w:rPr>
        <w:tab/>
      </w:r>
      <w:r>
        <w:rPr>
          <w:rFonts w:ascii="Arial Narrow" w:hAnsi="Arial Narrow"/>
          <w:sz w:val="16"/>
          <w:szCs w:val="16"/>
        </w:rPr>
        <w:t>Τα μεγέθη αποτυπώνονται σε ταμειακή βάση και όχι σε εθνικολογιστική (δεδουλευμένη) όπως στο ΜΠΔΣ 2019-2022.</w:t>
      </w:r>
    </w:p>
    <w:p w:rsidR="00FF6F79" w:rsidRPr="00F60D09" w:rsidRDefault="00FF6F79" w:rsidP="00FF6F79">
      <w:pPr>
        <w:ind w:left="426" w:right="140" w:hanging="284"/>
        <w:jc w:val="both"/>
        <w:rPr>
          <w:rFonts w:ascii="Arial Narrow" w:hAnsi="Arial Narrow"/>
          <w:sz w:val="16"/>
          <w:szCs w:val="16"/>
        </w:rPr>
      </w:pPr>
      <w:r>
        <w:rPr>
          <w:rFonts w:ascii="Arial Narrow" w:hAnsi="Arial Narrow"/>
          <w:sz w:val="16"/>
          <w:szCs w:val="16"/>
        </w:rPr>
        <w:t>**</w:t>
      </w:r>
      <w:r>
        <w:rPr>
          <w:rFonts w:ascii="Arial Narrow" w:hAnsi="Arial Narrow"/>
          <w:sz w:val="16"/>
          <w:szCs w:val="16"/>
        </w:rPr>
        <w:tab/>
        <w:t>Στις μεταβιβάσεις από τον Τακτικό Προϋπολογισμό για το 2018 περιλαμβάνονται και επιχορηγήσεις για αγορά ιατροτεχνολογικού</w:t>
      </w:r>
      <w:r w:rsidR="003B6FEA">
        <w:rPr>
          <w:rFonts w:ascii="Arial Narrow" w:hAnsi="Arial Narrow"/>
          <w:sz w:val="16"/>
          <w:szCs w:val="16"/>
        </w:rPr>
        <w:t xml:space="preserve"> εξοπλισμού (επενδύσεις),</w:t>
      </w:r>
      <w:r>
        <w:rPr>
          <w:rFonts w:ascii="Arial Narrow" w:hAnsi="Arial Narrow"/>
          <w:sz w:val="16"/>
          <w:szCs w:val="16"/>
        </w:rPr>
        <w:t xml:space="preserve"> ύψους 18 εκατ. ευρώ.</w:t>
      </w:r>
    </w:p>
    <w:p w:rsidR="000074CC" w:rsidRPr="00B472ED" w:rsidRDefault="000074CC" w:rsidP="000074CC">
      <w:pPr>
        <w:contextualSpacing/>
        <w:jc w:val="both"/>
        <w:rPr>
          <w:sz w:val="22"/>
        </w:rPr>
      </w:pPr>
      <w:r w:rsidRPr="00B472ED">
        <w:rPr>
          <w:sz w:val="22"/>
        </w:rPr>
        <w:t>Τα δημόσια νοσοκομεία και το σύστημα Πρωτοβάθμιας Φροντίδας Υγείας (ΠΦΥ) αναμένεται στο τέλος του 2018 να εμφανίσουν θετικό δη</w:t>
      </w:r>
      <w:r w:rsidR="003F1E0A">
        <w:rPr>
          <w:sz w:val="22"/>
        </w:rPr>
        <w:t>μοσιονομικό αποτέλεσμα ύψους 161</w:t>
      </w:r>
      <w:r w:rsidRPr="00B472ED">
        <w:rPr>
          <w:sz w:val="22"/>
        </w:rPr>
        <w:t xml:space="preserve"> εκατ. ευρώ, </w:t>
      </w:r>
      <w:r w:rsidR="003F1E0A">
        <w:rPr>
          <w:sz w:val="22"/>
        </w:rPr>
        <w:t>ελαφρώς βελτιωμένο σε σχέση με τις αντίστοιχες εκτιμήσεις</w:t>
      </w:r>
      <w:r w:rsidRPr="00B472ED">
        <w:rPr>
          <w:sz w:val="22"/>
        </w:rPr>
        <w:t xml:space="preserve"> όπως αυτές αποτυπώθηκαν στο ΜΠΔΣ 2019-2022. Ως προς τα έσοδα, σημειώνεται ότι αν και οι συνολικές μεταβιβάσεις από τον Κρατικό Προϋπολογισμό ήταν μειωμένες σε σχέση προς τα αντίστοιχα μεγέθη του 2017, οι επιδράσεις από την εν λόγω μείωση εμφανίζονται εξισορροπημένες από την περαιτέρω ομαλοποίηση των μεταβιβάσεων του ασφαλιστικού συστήματος (ΕΟΠΥΥ).</w:t>
      </w:r>
    </w:p>
    <w:p w:rsidR="000074CC" w:rsidRDefault="000074CC" w:rsidP="000074CC"/>
    <w:p w:rsidR="000074CC" w:rsidRPr="00B472ED" w:rsidRDefault="000074CC" w:rsidP="000074CC">
      <w:pPr>
        <w:contextualSpacing/>
        <w:jc w:val="both"/>
        <w:rPr>
          <w:sz w:val="22"/>
        </w:rPr>
      </w:pPr>
      <w:r w:rsidRPr="00B472ED">
        <w:rPr>
          <w:sz w:val="22"/>
        </w:rPr>
        <w:t>Στο έτος 2019 προβλέπεται η εμφάνιση θετικού δημοσιονομικού αποτελέσματος ύψους 96 εκατ. ευρώ, με πρόβλεψη αυξημένων πληρωμών κατά 1.074 εκατ. ευρώ, σε σχέση προς τα αντίστοιχα μεγέθη του ΜΠΔΣ (2.283 εκατ. ευρώ), καθώς στο σκέλος των πληρωμών έχουν ενσωματωθεί το σ</w:t>
      </w:r>
      <w:r>
        <w:rPr>
          <w:sz w:val="22"/>
        </w:rPr>
        <w:t>ύνολο των αντικριζόμενων εξόδων</w:t>
      </w:r>
      <w:r w:rsidRPr="00B472ED">
        <w:rPr>
          <w:sz w:val="22"/>
        </w:rPr>
        <w:t xml:space="preserve"> και οι εκτιμώμενες απλήρωτες υποχρεώσεις </w:t>
      </w:r>
      <w:r>
        <w:rPr>
          <w:sz w:val="22"/>
        </w:rPr>
        <w:t>στο τέλος του τρέχοντος οικονομικού</w:t>
      </w:r>
      <w:r w:rsidRPr="00B472ED">
        <w:rPr>
          <w:sz w:val="22"/>
        </w:rPr>
        <w:t xml:space="preserve"> έτους. Η εν λόγω εξέλιξη, αν και συμβάλλει στη διαμόρφωση αρνητικού ταμειακού αποτελέσματος ύψους 600 εκατ. ευρώ, συνδυάζεται με με</w:t>
      </w:r>
      <w:r w:rsidR="00EA7943">
        <w:rPr>
          <w:sz w:val="22"/>
        </w:rPr>
        <w:t>ίωση των</w:t>
      </w:r>
      <w:r w:rsidRPr="00B472ED">
        <w:rPr>
          <w:sz w:val="22"/>
        </w:rPr>
        <w:t xml:space="preserve"> απλήρωτων υποχρεώσεων ύψους 696 εκατ. ευρώ, στοιχείο που αναμένεται να συνεισφέρει ουσιαστικά στη βελτίωση της οικονομικής κατάστα</w:t>
      </w:r>
      <w:r w:rsidR="00EA7943">
        <w:rPr>
          <w:sz w:val="22"/>
        </w:rPr>
        <w:t>σης των δημόσιων νοσοκομείων.</w:t>
      </w:r>
    </w:p>
    <w:p w:rsidR="000074CC" w:rsidRPr="00B472ED" w:rsidRDefault="000074CC" w:rsidP="00EA7943">
      <w:pPr>
        <w:jc w:val="both"/>
        <w:rPr>
          <w:sz w:val="22"/>
        </w:rPr>
      </w:pPr>
    </w:p>
    <w:p w:rsidR="000074CC" w:rsidRPr="00B472ED" w:rsidRDefault="000074CC" w:rsidP="000074CC">
      <w:pPr>
        <w:jc w:val="both"/>
        <w:rPr>
          <w:rFonts w:cstheme="minorHAnsi"/>
          <w:sz w:val="22"/>
        </w:rPr>
      </w:pPr>
      <w:r w:rsidRPr="00B472ED">
        <w:rPr>
          <w:rFonts w:cstheme="minorHAnsi"/>
          <w:sz w:val="22"/>
          <w:shd w:val="clear" w:color="auto" w:fill="FFFFFF"/>
        </w:rPr>
        <w:t>Στο οικονομικό έτος 2019 το Υπουργείο Υγείας αναμένεται, μεταξύ άλλων, να συνεχίσει σειρά διαρθρωτικών παρεμβάσεων για: α)</w:t>
      </w:r>
      <w:r w:rsidR="003100D9" w:rsidRPr="003100D9">
        <w:rPr>
          <w:rFonts w:cstheme="minorHAnsi"/>
          <w:sz w:val="22"/>
          <w:shd w:val="clear" w:color="auto" w:fill="FFFFFF"/>
        </w:rPr>
        <w:t xml:space="preserve"> </w:t>
      </w:r>
      <w:r w:rsidRPr="00B472ED">
        <w:rPr>
          <w:rFonts w:cstheme="minorHAnsi"/>
          <w:sz w:val="22"/>
          <w:shd w:val="clear" w:color="auto" w:fill="FFFFFF"/>
        </w:rPr>
        <w:t>τη μεταρρύθμιση στην ΠΦΥ με την επιπλέον επέκταση</w:t>
      </w:r>
      <w:r>
        <w:rPr>
          <w:rFonts w:cstheme="minorHAnsi"/>
          <w:sz w:val="22"/>
          <w:shd w:val="clear" w:color="auto" w:fill="FFFFFF"/>
        </w:rPr>
        <w:t xml:space="preserve"> των Τοπικών Μονάδων Υγείας (ΤΟΜΥ</w:t>
      </w:r>
      <w:r w:rsidRPr="00B472ED">
        <w:rPr>
          <w:rFonts w:cstheme="minorHAnsi"/>
          <w:sz w:val="22"/>
          <w:shd w:val="clear" w:color="auto" w:fill="FFFFFF"/>
        </w:rPr>
        <w:t>) και την αναβάθμιση των υφιστάμενων δομών της πρωτοβάθμιας περίθαλψης, β) τη</w:t>
      </w:r>
      <w:r w:rsidRPr="00B472ED">
        <w:rPr>
          <w:sz w:val="22"/>
        </w:rPr>
        <w:t xml:space="preserve"> λειτουργική υποστήριξη (ενίσχυση του ΕΣΥ με επιπλέον ανθρώπινους και υλικούς πόρους) του πολιτικού σχεδίου της καθολικής κάλυψης του πληθυσμού και της ισότιμης υγειονομικής φροντίδας των ανασφάλιστων πολιτών,</w:t>
      </w:r>
      <w:r w:rsidRPr="00B472ED">
        <w:rPr>
          <w:rFonts w:cstheme="minorHAnsi"/>
          <w:sz w:val="22"/>
          <w:shd w:val="clear" w:color="auto" w:fill="FFFFFF"/>
        </w:rPr>
        <w:t xml:space="preserve"> γ) την παγίωση της νέας φαρμακευτικής πολιτικής </w:t>
      </w:r>
      <w:r w:rsidRPr="00B472ED">
        <w:rPr>
          <w:sz w:val="22"/>
        </w:rPr>
        <w:t>με προτεραιότητα στην εδραίωση του νεοσύστατου μηχανισμού της αξιολόγησης της φαρμακευτικής καινοτομίας και των τεχνολογιών υγείας (ΗΤΑ)</w:t>
      </w:r>
      <w:r w:rsidR="00C451B0" w:rsidRPr="00C451B0">
        <w:rPr>
          <w:sz w:val="22"/>
        </w:rPr>
        <w:t>,</w:t>
      </w:r>
      <w:r w:rsidRPr="00B472ED">
        <w:rPr>
          <w:sz w:val="22"/>
        </w:rPr>
        <w:t xml:space="preserve"> σε συνδυασμό με τη διαπραγμάτευση προσιτών τιμών για τα ακριβά φάρμακα </w:t>
      </w:r>
      <w:r w:rsidR="00817C41">
        <w:rPr>
          <w:sz w:val="22"/>
        </w:rPr>
        <w:t xml:space="preserve">για τα οποία παρέχεται αποζημίωση </w:t>
      </w:r>
      <w:r w:rsidRPr="00B472ED">
        <w:rPr>
          <w:rFonts w:cstheme="minorHAnsi"/>
          <w:sz w:val="22"/>
          <w:shd w:val="clear" w:color="auto" w:fill="FFFFFF"/>
        </w:rPr>
        <w:t>από τον ΕΟΠΥΥ</w:t>
      </w:r>
      <w:r w:rsidR="00C451B0" w:rsidRPr="00C451B0">
        <w:rPr>
          <w:rFonts w:cstheme="minorHAnsi"/>
          <w:sz w:val="22"/>
          <w:shd w:val="clear" w:color="auto" w:fill="FFFFFF"/>
        </w:rPr>
        <w:t>,</w:t>
      </w:r>
      <w:r w:rsidR="00C451B0">
        <w:rPr>
          <w:rFonts w:cstheme="minorHAnsi"/>
          <w:sz w:val="22"/>
          <w:shd w:val="clear" w:color="auto" w:fill="FFFFFF"/>
        </w:rPr>
        <w:t xml:space="preserve"> και τη</w:t>
      </w:r>
      <w:r w:rsidRPr="00B472ED">
        <w:rPr>
          <w:rFonts w:cstheme="minorHAnsi"/>
          <w:sz w:val="22"/>
          <w:shd w:val="clear" w:color="auto" w:fill="FFFFFF"/>
        </w:rPr>
        <w:t xml:space="preserve"> δημι</w:t>
      </w:r>
      <w:r w:rsidR="00C451B0">
        <w:rPr>
          <w:rFonts w:cstheme="minorHAnsi"/>
          <w:sz w:val="22"/>
          <w:shd w:val="clear" w:color="auto" w:fill="FFFFFF"/>
        </w:rPr>
        <w:t>ουργία</w:t>
      </w:r>
      <w:r w:rsidRPr="00B472ED">
        <w:rPr>
          <w:rFonts w:cstheme="minorHAnsi"/>
          <w:sz w:val="22"/>
          <w:shd w:val="clear" w:color="auto" w:fill="FFFFFF"/>
        </w:rPr>
        <w:t xml:space="preserve"> επιπλέον υποχρεωτικών θεραπευτικών πρωτοκόλλων στο σύστημα ηλεκτρονικής συνταγογράφησης, δ) την τροποποίηση των Οργανισμών των νοσοκομείων, ε) την ενίσχυση της ηλεκτρονικής διακυβέρνησης του Συστήματος Υγείας, στ) την έμφαση στον καθολικό εμβολιασμό του παιδικού πληθυσμού και την αναβαθμισμένη υγειονομική φροντίδα των προσφύγων-μεταναστών. Τέλος, η έναρξη λειτουργίας της Εθνικής Κεντρικής Αρχής Προμηθειών Υγείας (ν. 4472/2017) προβλέπεται να συνεισφέρει σημαντικά προς την κατεύθυνση της δημιουργίας ενός κεντρικο</w:t>
      </w:r>
      <w:r w:rsidR="00817C41">
        <w:rPr>
          <w:rFonts w:cstheme="minorHAnsi"/>
          <w:sz w:val="22"/>
          <w:shd w:val="clear" w:color="auto" w:fill="FFFFFF"/>
        </w:rPr>
        <w:t>ύ</w:t>
      </w:r>
      <w:r w:rsidRPr="00B472ED">
        <w:rPr>
          <w:rFonts w:cstheme="minorHAnsi"/>
          <w:sz w:val="22"/>
          <w:shd w:val="clear" w:color="auto" w:fill="FFFFFF"/>
        </w:rPr>
        <w:t xml:space="preserve"> συστήματος προμηθειών</w:t>
      </w:r>
      <w:r w:rsidR="00EA7943">
        <w:rPr>
          <w:rFonts w:cstheme="minorHAnsi"/>
          <w:sz w:val="22"/>
          <w:shd w:val="clear" w:color="auto" w:fill="FFFFFF"/>
        </w:rPr>
        <w:t>,</w:t>
      </w:r>
      <w:r w:rsidRPr="00B472ED">
        <w:rPr>
          <w:rFonts w:cstheme="minorHAnsi"/>
          <w:sz w:val="22"/>
          <w:shd w:val="clear" w:color="auto" w:fill="FFFFFF"/>
        </w:rPr>
        <w:t xml:space="preserve"> αναφερόμενο στο σύνολο των νοσοκομείων του ΕΣΥ και του συστήματος </w:t>
      </w:r>
      <w:r w:rsidR="00F90799" w:rsidRPr="00B472ED">
        <w:rPr>
          <w:rFonts w:cstheme="minorHAnsi"/>
          <w:sz w:val="22"/>
          <w:shd w:val="clear" w:color="auto" w:fill="FFFFFF"/>
        </w:rPr>
        <w:t>ΠΦΥ</w:t>
      </w:r>
      <w:r w:rsidRPr="00B472ED">
        <w:rPr>
          <w:rFonts w:cstheme="minorHAnsi"/>
          <w:sz w:val="22"/>
          <w:shd w:val="clear" w:color="auto" w:fill="FFFFFF"/>
        </w:rPr>
        <w:t>, καθώς και των λοιπών δομών παροχής φροντίδας υγείας.</w:t>
      </w:r>
    </w:p>
    <w:p w:rsidR="00064257" w:rsidRDefault="00064257">
      <w:pPr>
        <w:rPr>
          <w:bCs/>
          <w:sz w:val="22"/>
          <w:szCs w:val="22"/>
        </w:rPr>
      </w:pPr>
    </w:p>
    <w:p w:rsidR="00BB71F0" w:rsidRDefault="00BB71F0">
      <w:pPr>
        <w:rPr>
          <w:bCs/>
          <w:sz w:val="22"/>
          <w:szCs w:val="22"/>
        </w:rPr>
      </w:pPr>
      <w:r>
        <w:rPr>
          <w:bCs/>
          <w:sz w:val="22"/>
          <w:szCs w:val="22"/>
        </w:rPr>
        <w:br w:type="page"/>
      </w:r>
    </w:p>
    <w:p w:rsidR="0023508C" w:rsidRPr="005B1BAC" w:rsidRDefault="000074CC" w:rsidP="0023508C">
      <w:pPr>
        <w:shd w:val="clear" w:color="auto" w:fill="595959"/>
        <w:jc w:val="both"/>
        <w:rPr>
          <w:rFonts w:ascii="Arial Narrow" w:hAnsi="Arial Narrow"/>
          <w:b/>
          <w:color w:val="FFFFFF"/>
          <w:sz w:val="26"/>
          <w:szCs w:val="22"/>
        </w:rPr>
      </w:pPr>
      <w:r>
        <w:rPr>
          <w:rFonts w:ascii="Arial Narrow" w:hAnsi="Arial Narrow"/>
          <w:b/>
          <w:color w:val="FFFFFF"/>
          <w:sz w:val="26"/>
          <w:szCs w:val="22"/>
        </w:rPr>
        <w:t>6</w:t>
      </w:r>
      <w:r w:rsidR="0023508C" w:rsidRPr="005B1BAC">
        <w:rPr>
          <w:rFonts w:ascii="Arial Narrow" w:hAnsi="Arial Narrow"/>
          <w:b/>
          <w:color w:val="FFFFFF"/>
          <w:sz w:val="26"/>
          <w:szCs w:val="22"/>
        </w:rPr>
        <w:t>.</w:t>
      </w:r>
      <w:r w:rsidR="0023508C" w:rsidRPr="005B1BAC">
        <w:rPr>
          <w:rFonts w:ascii="Arial Narrow" w:hAnsi="Arial Narrow"/>
          <w:b/>
          <w:color w:val="FFFFFF"/>
          <w:sz w:val="26"/>
          <w:szCs w:val="22"/>
        </w:rPr>
        <w:tab/>
        <w:t>Κοινωνικός προϋπολογισμός</w:t>
      </w:r>
    </w:p>
    <w:p w:rsidR="0023508C" w:rsidRDefault="0023508C" w:rsidP="002C76E1">
      <w:pPr>
        <w:rPr>
          <w:sz w:val="22"/>
        </w:rPr>
      </w:pPr>
    </w:p>
    <w:p w:rsidR="00736C0C" w:rsidRPr="005B1BAC" w:rsidRDefault="00736C0C" w:rsidP="002C76E1">
      <w:pPr>
        <w:rPr>
          <w:sz w:val="22"/>
        </w:rPr>
      </w:pPr>
    </w:p>
    <w:p w:rsidR="00736C0C" w:rsidRPr="00221A99" w:rsidRDefault="00736C0C" w:rsidP="000074CC">
      <w:pPr>
        <w:spacing w:line="235" w:lineRule="auto"/>
        <w:rPr>
          <w:rFonts w:ascii="Arial Narrow" w:hAnsi="Arial Narrow"/>
          <w:b/>
          <w:szCs w:val="26"/>
        </w:rPr>
      </w:pPr>
      <w:r w:rsidRPr="00736C0C">
        <w:rPr>
          <w:rFonts w:ascii="Arial Narrow" w:hAnsi="Arial Narrow"/>
          <w:b/>
        </w:rPr>
        <w:t>Οργανισμοί Κοινωνικής Ασφάλιση</w:t>
      </w:r>
      <w:r>
        <w:rPr>
          <w:rFonts w:ascii="Arial Narrow" w:hAnsi="Arial Narrow"/>
          <w:b/>
        </w:rPr>
        <w:t>ς</w:t>
      </w:r>
    </w:p>
    <w:p w:rsidR="00736C0C" w:rsidRDefault="00736C0C" w:rsidP="00FF6C69">
      <w:pPr>
        <w:jc w:val="both"/>
        <w:rPr>
          <w:sz w:val="22"/>
        </w:rPr>
      </w:pPr>
    </w:p>
    <w:p w:rsidR="00736C0C" w:rsidRDefault="00736C0C" w:rsidP="00736C0C">
      <w:pPr>
        <w:jc w:val="both"/>
        <w:rPr>
          <w:sz w:val="22"/>
        </w:rPr>
      </w:pPr>
      <w:r w:rsidRPr="00FF6C69">
        <w:rPr>
          <w:sz w:val="22"/>
        </w:rPr>
        <w:t>Ο προϋπολογισμός</w:t>
      </w:r>
      <w:r>
        <w:rPr>
          <w:sz w:val="22"/>
        </w:rPr>
        <w:t xml:space="preserve"> των Οργανισμών Κοινωνικής Ασφάλισης</w:t>
      </w:r>
      <w:r w:rsidRPr="00FF6C69">
        <w:rPr>
          <w:sz w:val="22"/>
        </w:rPr>
        <w:t>, για το 201</w:t>
      </w:r>
      <w:r>
        <w:rPr>
          <w:sz w:val="22"/>
        </w:rPr>
        <w:t>9</w:t>
      </w:r>
      <w:r w:rsidRPr="00FF6C69">
        <w:rPr>
          <w:sz w:val="22"/>
        </w:rPr>
        <w:t xml:space="preserve">, </w:t>
      </w:r>
      <w:r>
        <w:rPr>
          <w:sz w:val="22"/>
        </w:rPr>
        <w:t xml:space="preserve">χαρακτηρίζεται από τη μη εφαρμογή των παρεμβάσεων για τις περικοπές των συντάξεων </w:t>
      </w:r>
      <w:r w:rsidR="0061113B">
        <w:rPr>
          <w:sz w:val="22"/>
        </w:rPr>
        <w:t xml:space="preserve">οι οποίες </w:t>
      </w:r>
      <w:r>
        <w:rPr>
          <w:sz w:val="22"/>
        </w:rPr>
        <w:t>είχαν συμπεριληφθεί στο ΜΠΔΣ 2019</w:t>
      </w:r>
      <w:r w:rsidR="00B069B4">
        <w:rPr>
          <w:sz w:val="22"/>
        </w:rPr>
        <w:t>-</w:t>
      </w:r>
      <w:r>
        <w:rPr>
          <w:sz w:val="22"/>
        </w:rPr>
        <w:t>2022, αλλά και από τις βελτιωμένες προβλέψεις για την πορεία των ασφαλιστικών εισφορών</w:t>
      </w:r>
      <w:r w:rsidRPr="00AF4E0B">
        <w:rPr>
          <w:sz w:val="22"/>
        </w:rPr>
        <w:t>.</w:t>
      </w:r>
      <w:r>
        <w:rPr>
          <w:sz w:val="22"/>
        </w:rPr>
        <w:t xml:space="preserve">  </w:t>
      </w:r>
    </w:p>
    <w:p w:rsidR="00736C0C" w:rsidRDefault="00736C0C" w:rsidP="00736C0C">
      <w:pPr>
        <w:jc w:val="both"/>
        <w:rPr>
          <w:sz w:val="22"/>
        </w:rPr>
      </w:pPr>
    </w:p>
    <w:p w:rsidR="00736C0C" w:rsidRPr="00AF4E0B" w:rsidRDefault="00736C0C" w:rsidP="00736C0C">
      <w:pPr>
        <w:jc w:val="both"/>
        <w:rPr>
          <w:sz w:val="22"/>
        </w:rPr>
      </w:pPr>
      <w:r>
        <w:rPr>
          <w:sz w:val="22"/>
        </w:rPr>
        <w:t xml:space="preserve">Παράλληλα, δαπάνες όπως το Κοινωνικό Εισόδημα Αλληλεγγύης και τα προνοιακά επιδόματα ΑμΕΑ θα πραγματοποιηθούν μέσω του ΟΠΕΚΑ και όχι μέσω του τακτικού προϋπολογισμού του Υπουργείου Εργασίας, Κοινωνικής Ασφάλισης &amp; Κοινωνικής Αλληλεγγύης και των ΟΤΑ αντίστοιχα. </w:t>
      </w:r>
    </w:p>
    <w:p w:rsidR="00736C0C" w:rsidRPr="003E000C" w:rsidRDefault="00736C0C" w:rsidP="00736C0C">
      <w:pPr>
        <w:jc w:val="both"/>
        <w:rPr>
          <w:strike/>
          <w:sz w:val="22"/>
          <w:highlight w:val="yellow"/>
        </w:rPr>
      </w:pPr>
    </w:p>
    <w:p w:rsidR="00736C0C" w:rsidRPr="007373DC" w:rsidRDefault="00736C0C" w:rsidP="00736C0C">
      <w:pPr>
        <w:jc w:val="both"/>
        <w:rPr>
          <w:sz w:val="22"/>
        </w:rPr>
      </w:pPr>
      <w:r w:rsidRPr="007373DC">
        <w:rPr>
          <w:sz w:val="22"/>
        </w:rPr>
        <w:t xml:space="preserve">Συνεχίζονται οι προσπάθειες για την </w:t>
      </w:r>
      <w:r w:rsidR="0061113B">
        <w:rPr>
          <w:sz w:val="22"/>
        </w:rPr>
        <w:t>περαιτέρω</w:t>
      </w:r>
      <w:r w:rsidRPr="007373DC">
        <w:rPr>
          <w:sz w:val="22"/>
        </w:rPr>
        <w:t xml:space="preserve"> άμβλυνση των κοινωνικών συνεπειών από την οικονομική κρίση στον τομέα της απασχόλησης</w:t>
      </w:r>
      <w:r w:rsidR="000074CC">
        <w:rPr>
          <w:sz w:val="22"/>
        </w:rPr>
        <w:t>,</w:t>
      </w:r>
      <w:r w:rsidRPr="007373DC">
        <w:rPr>
          <w:sz w:val="22"/>
        </w:rPr>
        <w:t xml:space="preserve"> με βασικό άξονα τις πολιτικές που σχεδιάζονται και εφαρμόζονται από τον ΟΑΕΔ. </w:t>
      </w:r>
    </w:p>
    <w:p w:rsidR="00736C0C" w:rsidRPr="003E000C" w:rsidRDefault="00736C0C" w:rsidP="00736C0C">
      <w:pPr>
        <w:jc w:val="both"/>
        <w:rPr>
          <w:i/>
          <w:iCs/>
          <w:strike/>
          <w:sz w:val="22"/>
          <w:highlight w:val="yellow"/>
        </w:rPr>
      </w:pPr>
    </w:p>
    <w:p w:rsidR="00736C0C" w:rsidRPr="007373DC" w:rsidRDefault="00431823" w:rsidP="00736C0C">
      <w:pPr>
        <w:jc w:val="both"/>
        <w:rPr>
          <w:sz w:val="22"/>
        </w:rPr>
      </w:pPr>
      <w:r>
        <w:rPr>
          <w:sz w:val="22"/>
        </w:rPr>
        <w:t xml:space="preserve">Τέλος, διασφαλίζεται </w:t>
      </w:r>
      <w:r w:rsidR="00736C0C" w:rsidRPr="0082087A">
        <w:rPr>
          <w:sz w:val="22"/>
        </w:rPr>
        <w:t>η απρόσκοπτη ροή των ασφαλιστικών εισφορών από τα ασφαλιστικά ταμεία προς τον ΕΟΠΥΥ, γεγονός που αποτυπώνεται τόσο στην ομαλή εξυπηρέτηση των πληρωμών του φορέα για τις παρεχόμενες υπηρεσίες στους ασφαλισμένους του, όσο και των υποχρεώσεών του προς τα δημόσια νοσοκομεία, αλλά και τους ιδιώτες παρόχους υπηρεσιών υγείας.</w:t>
      </w:r>
      <w:r w:rsidR="00736C0C" w:rsidRPr="007373DC">
        <w:rPr>
          <w:sz w:val="22"/>
        </w:rPr>
        <w:t xml:space="preserve"> </w:t>
      </w:r>
    </w:p>
    <w:p w:rsidR="00736C0C" w:rsidRPr="00D738D4" w:rsidRDefault="00736C0C" w:rsidP="00736C0C">
      <w:pPr>
        <w:jc w:val="both"/>
        <w:rPr>
          <w:sz w:val="22"/>
        </w:rPr>
      </w:pPr>
    </w:p>
    <w:p w:rsidR="00736C0C" w:rsidRPr="00114964" w:rsidRDefault="00736C0C" w:rsidP="00736C0C">
      <w:pPr>
        <w:jc w:val="both"/>
        <w:rPr>
          <w:sz w:val="22"/>
        </w:rPr>
      </w:pP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3"/>
        <w:gridCol w:w="1652"/>
        <w:gridCol w:w="1724"/>
      </w:tblGrid>
      <w:tr w:rsidR="00736C0C" w:rsidRPr="003E6D6E" w:rsidTr="00FE5D7A">
        <w:trPr>
          <w:trHeight w:val="19"/>
          <w:jc w:val="center"/>
        </w:trPr>
        <w:tc>
          <w:tcPr>
            <w:tcW w:w="8499" w:type="dxa"/>
            <w:gridSpan w:val="3"/>
            <w:tcBorders>
              <w:bottom w:val="nil"/>
            </w:tcBorders>
            <w:shd w:val="clear" w:color="auto" w:fill="404040"/>
          </w:tcPr>
          <w:p w:rsidR="00736C0C" w:rsidRPr="00164DB6" w:rsidRDefault="00736C0C" w:rsidP="00FE5D7A">
            <w:pPr>
              <w:tabs>
                <w:tab w:val="left" w:pos="567"/>
                <w:tab w:val="num" w:pos="720"/>
              </w:tabs>
              <w:spacing w:before="120"/>
              <w:jc w:val="center"/>
              <w:rPr>
                <w:rFonts w:ascii="Arial Narrow" w:hAnsi="Arial Narrow"/>
                <w:b/>
                <w:color w:val="FFFFFF"/>
                <w:szCs w:val="16"/>
              </w:rPr>
            </w:pPr>
            <w:r w:rsidRPr="00164DB6">
              <w:rPr>
                <w:rFonts w:ascii="Arial Narrow" w:hAnsi="Arial Narrow"/>
                <w:b/>
                <w:color w:val="FFFFFF"/>
                <w:szCs w:val="16"/>
              </w:rPr>
              <w:t xml:space="preserve">Πίνακας </w:t>
            </w:r>
            <w:r w:rsidRPr="00B069B4">
              <w:rPr>
                <w:rFonts w:ascii="Arial Narrow" w:hAnsi="Arial Narrow"/>
                <w:b/>
                <w:color w:val="FFFFFF"/>
                <w:szCs w:val="16"/>
              </w:rPr>
              <w:t>3</w:t>
            </w:r>
            <w:r w:rsidR="001528EA">
              <w:rPr>
                <w:rFonts w:ascii="Arial Narrow" w:hAnsi="Arial Narrow"/>
                <w:b/>
                <w:color w:val="FFFFFF"/>
                <w:szCs w:val="16"/>
              </w:rPr>
              <w:t>.25</w:t>
            </w:r>
            <w:r w:rsidRPr="00B069B4">
              <w:rPr>
                <w:rFonts w:ascii="Arial Narrow" w:hAnsi="Arial Narrow"/>
                <w:b/>
                <w:color w:val="FFFFFF"/>
                <w:szCs w:val="16"/>
              </w:rPr>
              <w:t xml:space="preserve"> </w:t>
            </w:r>
            <w:r w:rsidRPr="00164DB6">
              <w:rPr>
                <w:rFonts w:ascii="Arial Narrow" w:hAnsi="Arial Narrow"/>
                <w:b/>
                <w:color w:val="FFFFFF"/>
                <w:szCs w:val="16"/>
              </w:rPr>
              <w:t xml:space="preserve"> Ενοποιημένος προϋπολογισμός</w:t>
            </w:r>
            <w:r>
              <w:rPr>
                <w:rFonts w:ascii="Arial Narrow" w:hAnsi="Arial Narrow"/>
                <w:b/>
                <w:color w:val="FFFFFF"/>
                <w:szCs w:val="16"/>
              </w:rPr>
              <w:t xml:space="preserve"> φορέων Κοινωνικής Ασφάλισης</w:t>
            </w:r>
          </w:p>
          <w:p w:rsidR="00736C0C" w:rsidRPr="003E6D6E" w:rsidRDefault="00736C0C" w:rsidP="00FE5D7A">
            <w:pPr>
              <w:tabs>
                <w:tab w:val="left" w:pos="567"/>
                <w:tab w:val="num" w:pos="720"/>
              </w:tabs>
              <w:spacing w:after="120"/>
              <w:jc w:val="center"/>
              <w:rPr>
                <w:rFonts w:ascii="Arial Narrow" w:hAnsi="Arial Narrow"/>
                <w:b/>
                <w:color w:val="FFFFFF"/>
                <w:szCs w:val="16"/>
              </w:rPr>
            </w:pPr>
            <w:r w:rsidRPr="00164DB6">
              <w:rPr>
                <w:rFonts w:ascii="Arial Narrow" w:hAnsi="Arial Narrow"/>
                <w:b/>
                <w:color w:val="FFFFFF"/>
                <w:szCs w:val="16"/>
              </w:rPr>
              <w:t>(σε εκατ. ευρώ)</w:t>
            </w:r>
          </w:p>
        </w:tc>
      </w:tr>
      <w:tr w:rsidR="00736C0C" w:rsidRPr="003E6D6E" w:rsidTr="00FE5D7A">
        <w:trPr>
          <w:trHeight w:val="19"/>
          <w:jc w:val="center"/>
        </w:trPr>
        <w:tc>
          <w:tcPr>
            <w:tcW w:w="8499" w:type="dxa"/>
            <w:gridSpan w:val="3"/>
            <w:tcBorders>
              <w:top w:val="nil"/>
            </w:tcBorders>
          </w:tcPr>
          <w:p w:rsidR="00736C0C" w:rsidRPr="003E6D6E" w:rsidRDefault="00736C0C" w:rsidP="00FE5D7A">
            <w:pPr>
              <w:tabs>
                <w:tab w:val="left" w:pos="567"/>
                <w:tab w:val="num" w:pos="720"/>
              </w:tabs>
              <w:jc w:val="center"/>
              <w:rPr>
                <w:rFonts w:ascii="Arial Narrow" w:hAnsi="Arial Narrow"/>
                <w:b/>
                <w:sz w:val="16"/>
                <w:szCs w:val="16"/>
              </w:rPr>
            </w:pPr>
          </w:p>
        </w:tc>
      </w:tr>
      <w:tr w:rsidR="00736C0C" w:rsidRPr="003E6D6E" w:rsidTr="00FE5D7A">
        <w:trPr>
          <w:trHeight w:val="19"/>
          <w:jc w:val="center"/>
        </w:trPr>
        <w:tc>
          <w:tcPr>
            <w:tcW w:w="5123" w:type="dxa"/>
            <w:tcBorders>
              <w:bottom w:val="single" w:sz="4" w:space="0" w:color="auto"/>
            </w:tcBorders>
          </w:tcPr>
          <w:p w:rsidR="00736C0C" w:rsidRPr="003E6D6E" w:rsidRDefault="00736C0C" w:rsidP="00FE5D7A">
            <w:pPr>
              <w:tabs>
                <w:tab w:val="left" w:pos="567"/>
                <w:tab w:val="num" w:pos="720"/>
              </w:tabs>
              <w:spacing w:before="120" w:after="120"/>
              <w:jc w:val="center"/>
              <w:rPr>
                <w:rFonts w:ascii="Arial Narrow" w:hAnsi="Arial Narrow"/>
                <w:b/>
                <w:sz w:val="16"/>
                <w:szCs w:val="16"/>
              </w:rPr>
            </w:pPr>
          </w:p>
        </w:tc>
        <w:tc>
          <w:tcPr>
            <w:tcW w:w="1652" w:type="dxa"/>
            <w:tcBorders>
              <w:bottom w:val="single" w:sz="4" w:space="0" w:color="auto"/>
            </w:tcBorders>
          </w:tcPr>
          <w:p w:rsidR="00736C0C" w:rsidRPr="00B069B4" w:rsidRDefault="00736C0C" w:rsidP="00FE5D7A">
            <w:pPr>
              <w:tabs>
                <w:tab w:val="left" w:pos="567"/>
              </w:tabs>
              <w:spacing w:before="120"/>
              <w:jc w:val="center"/>
              <w:rPr>
                <w:rFonts w:ascii="Arial Narrow" w:hAnsi="Arial Narrow"/>
                <w:b/>
                <w:sz w:val="16"/>
                <w:szCs w:val="16"/>
              </w:rPr>
            </w:pPr>
            <w:r w:rsidRPr="003E6D6E">
              <w:rPr>
                <w:rFonts w:ascii="Arial Narrow" w:hAnsi="Arial Narrow"/>
                <w:b/>
                <w:sz w:val="16"/>
                <w:szCs w:val="16"/>
              </w:rPr>
              <w:t>201</w:t>
            </w:r>
            <w:r w:rsidRPr="00B069B4">
              <w:rPr>
                <w:rFonts w:ascii="Arial Narrow" w:hAnsi="Arial Narrow"/>
                <w:b/>
                <w:sz w:val="16"/>
                <w:szCs w:val="16"/>
              </w:rPr>
              <w:t>8</w:t>
            </w:r>
          </w:p>
          <w:p w:rsidR="00736C0C" w:rsidRPr="003E6D6E" w:rsidRDefault="00736C0C" w:rsidP="00FE5D7A">
            <w:pPr>
              <w:tabs>
                <w:tab w:val="left" w:pos="567"/>
              </w:tabs>
              <w:spacing w:after="120"/>
              <w:jc w:val="center"/>
              <w:rPr>
                <w:rFonts w:ascii="Arial Narrow" w:hAnsi="Arial Narrow"/>
                <w:b/>
                <w:sz w:val="16"/>
                <w:szCs w:val="16"/>
              </w:rPr>
            </w:pPr>
            <w:r>
              <w:rPr>
                <w:rFonts w:ascii="Arial Narrow" w:hAnsi="Arial Narrow"/>
                <w:b/>
                <w:sz w:val="16"/>
                <w:szCs w:val="16"/>
              </w:rPr>
              <w:t>Εκτιμήσεις</w:t>
            </w:r>
          </w:p>
        </w:tc>
        <w:tc>
          <w:tcPr>
            <w:tcW w:w="1724" w:type="dxa"/>
            <w:tcBorders>
              <w:bottom w:val="single" w:sz="4" w:space="0" w:color="auto"/>
            </w:tcBorders>
          </w:tcPr>
          <w:p w:rsidR="00736C0C" w:rsidRPr="00B069B4" w:rsidRDefault="00736C0C" w:rsidP="00FE5D7A">
            <w:pPr>
              <w:tabs>
                <w:tab w:val="left" w:pos="567"/>
              </w:tabs>
              <w:spacing w:before="120"/>
              <w:jc w:val="center"/>
              <w:rPr>
                <w:rFonts w:ascii="Arial Narrow" w:hAnsi="Arial Narrow"/>
                <w:b/>
                <w:sz w:val="16"/>
                <w:szCs w:val="16"/>
              </w:rPr>
            </w:pPr>
            <w:r w:rsidRPr="003E6D6E">
              <w:rPr>
                <w:rFonts w:ascii="Arial Narrow" w:hAnsi="Arial Narrow"/>
                <w:b/>
                <w:sz w:val="16"/>
                <w:szCs w:val="16"/>
              </w:rPr>
              <w:t>201</w:t>
            </w:r>
            <w:r w:rsidRPr="00B069B4">
              <w:rPr>
                <w:rFonts w:ascii="Arial Narrow" w:hAnsi="Arial Narrow"/>
                <w:b/>
                <w:sz w:val="16"/>
                <w:szCs w:val="16"/>
              </w:rPr>
              <w:t>9</w:t>
            </w:r>
          </w:p>
          <w:p w:rsidR="00736C0C" w:rsidRPr="003E6D6E" w:rsidRDefault="00736C0C" w:rsidP="00FE5D7A">
            <w:pPr>
              <w:tabs>
                <w:tab w:val="left" w:pos="567"/>
              </w:tabs>
              <w:spacing w:after="120"/>
              <w:jc w:val="center"/>
              <w:rPr>
                <w:rFonts w:ascii="Arial Narrow" w:hAnsi="Arial Narrow"/>
                <w:b/>
                <w:sz w:val="16"/>
                <w:szCs w:val="16"/>
              </w:rPr>
            </w:pPr>
            <w:r>
              <w:rPr>
                <w:rFonts w:ascii="Arial Narrow" w:hAnsi="Arial Narrow"/>
                <w:b/>
                <w:sz w:val="16"/>
                <w:szCs w:val="16"/>
              </w:rPr>
              <w:t>Προβλέψεις</w:t>
            </w:r>
          </w:p>
        </w:tc>
      </w:tr>
      <w:tr w:rsidR="00431823" w:rsidRPr="003E6D6E" w:rsidTr="00FE5D7A">
        <w:trPr>
          <w:trHeight w:val="19"/>
          <w:jc w:val="center"/>
        </w:trPr>
        <w:tc>
          <w:tcPr>
            <w:tcW w:w="5123" w:type="dxa"/>
            <w:tcBorders>
              <w:top w:val="nil"/>
              <w:bottom w:val="nil"/>
              <w:right w:val="nil"/>
            </w:tcBorders>
            <w:shd w:val="clear" w:color="auto" w:fill="D9D9D9" w:themeFill="background1" w:themeFillShade="D9"/>
          </w:tcPr>
          <w:p w:rsidR="00431823" w:rsidRPr="003E6D6E" w:rsidRDefault="00431823" w:rsidP="00FE5D7A">
            <w:pPr>
              <w:tabs>
                <w:tab w:val="left" w:pos="567"/>
                <w:tab w:val="num" w:pos="720"/>
              </w:tabs>
              <w:spacing w:before="120" w:after="120"/>
              <w:jc w:val="both"/>
              <w:rPr>
                <w:rFonts w:ascii="Arial Narrow" w:hAnsi="Arial Narrow"/>
                <w:b/>
                <w:sz w:val="16"/>
                <w:szCs w:val="16"/>
              </w:rPr>
            </w:pPr>
            <w:r w:rsidRPr="003E6D6E">
              <w:rPr>
                <w:rFonts w:ascii="Arial Narrow" w:hAnsi="Arial Narrow"/>
                <w:b/>
                <w:sz w:val="16"/>
                <w:szCs w:val="16"/>
              </w:rPr>
              <w:t>Έσοδα</w:t>
            </w:r>
          </w:p>
        </w:tc>
        <w:tc>
          <w:tcPr>
            <w:tcW w:w="1652" w:type="dxa"/>
            <w:tcBorders>
              <w:top w:val="nil"/>
              <w:left w:val="nil"/>
              <w:bottom w:val="nil"/>
              <w:right w:val="nil"/>
            </w:tcBorders>
            <w:shd w:val="clear" w:color="auto" w:fill="D9D9D9" w:themeFill="background1" w:themeFillShade="D9"/>
            <w:vAlign w:val="center"/>
          </w:tcPr>
          <w:p w:rsidR="00431823" w:rsidRPr="00431823" w:rsidRDefault="00766180" w:rsidP="00004244">
            <w:pPr>
              <w:tabs>
                <w:tab w:val="decimal" w:pos="1006"/>
              </w:tabs>
              <w:jc w:val="both"/>
              <w:rPr>
                <w:rFonts w:ascii="Arial Narrow" w:hAnsi="Arial Narrow"/>
                <w:b/>
                <w:bCs/>
                <w:sz w:val="16"/>
                <w:szCs w:val="16"/>
                <w:lang w:val="en-US"/>
              </w:rPr>
            </w:pPr>
            <w:r>
              <w:rPr>
                <w:rFonts w:ascii="Arial Narrow" w:hAnsi="Arial Narrow"/>
                <w:b/>
                <w:bCs/>
                <w:sz w:val="16"/>
                <w:szCs w:val="16"/>
                <w:lang w:val="en-US"/>
              </w:rPr>
              <w:t>41.0</w:t>
            </w:r>
            <w:r>
              <w:rPr>
                <w:rFonts w:ascii="Arial Narrow" w:hAnsi="Arial Narrow"/>
                <w:b/>
                <w:bCs/>
                <w:sz w:val="16"/>
                <w:szCs w:val="16"/>
              </w:rPr>
              <w:t>1</w:t>
            </w:r>
            <w:r w:rsidR="00431823" w:rsidRPr="00431823">
              <w:rPr>
                <w:rFonts w:ascii="Arial Narrow" w:hAnsi="Arial Narrow"/>
                <w:b/>
                <w:bCs/>
                <w:sz w:val="16"/>
                <w:szCs w:val="16"/>
                <w:lang w:val="en-US"/>
              </w:rPr>
              <w:t>2</w:t>
            </w:r>
          </w:p>
        </w:tc>
        <w:tc>
          <w:tcPr>
            <w:tcW w:w="1724" w:type="dxa"/>
            <w:tcBorders>
              <w:top w:val="nil"/>
              <w:left w:val="nil"/>
              <w:bottom w:val="nil"/>
            </w:tcBorders>
            <w:shd w:val="clear" w:color="auto" w:fill="D9D9D9" w:themeFill="background1" w:themeFillShade="D9"/>
            <w:vAlign w:val="center"/>
          </w:tcPr>
          <w:p w:rsidR="00431823" w:rsidRPr="00C247C0" w:rsidRDefault="00C247C0" w:rsidP="00004244">
            <w:pPr>
              <w:tabs>
                <w:tab w:val="decimal" w:pos="1006"/>
              </w:tabs>
              <w:jc w:val="both"/>
              <w:rPr>
                <w:rFonts w:ascii="Arial Narrow" w:hAnsi="Arial Narrow"/>
                <w:b/>
                <w:bCs/>
                <w:sz w:val="16"/>
                <w:szCs w:val="16"/>
              </w:rPr>
            </w:pPr>
            <w:r>
              <w:rPr>
                <w:rFonts w:ascii="Arial Narrow" w:hAnsi="Arial Narrow"/>
                <w:b/>
                <w:bCs/>
                <w:sz w:val="16"/>
                <w:szCs w:val="16"/>
                <w:lang w:val="en-US"/>
              </w:rPr>
              <w:t>41.</w:t>
            </w:r>
            <w:r>
              <w:rPr>
                <w:rFonts w:ascii="Arial Narrow" w:hAnsi="Arial Narrow"/>
                <w:b/>
                <w:bCs/>
                <w:sz w:val="16"/>
                <w:szCs w:val="16"/>
              </w:rPr>
              <w:t>788</w:t>
            </w:r>
          </w:p>
        </w:tc>
      </w:tr>
      <w:tr w:rsidR="00431823" w:rsidRPr="003E6D6E" w:rsidTr="00FE5D7A">
        <w:trPr>
          <w:trHeight w:val="19"/>
          <w:jc w:val="center"/>
        </w:trPr>
        <w:tc>
          <w:tcPr>
            <w:tcW w:w="5123" w:type="dxa"/>
            <w:tcBorders>
              <w:top w:val="nil"/>
              <w:bottom w:val="nil"/>
              <w:right w:val="nil"/>
            </w:tcBorders>
          </w:tcPr>
          <w:p w:rsidR="00431823" w:rsidRPr="003E6D6E" w:rsidRDefault="00431823" w:rsidP="00FE5D7A">
            <w:pPr>
              <w:tabs>
                <w:tab w:val="left" w:pos="567"/>
                <w:tab w:val="num" w:pos="720"/>
              </w:tabs>
              <w:jc w:val="both"/>
              <w:rPr>
                <w:rFonts w:ascii="Arial Narrow" w:hAnsi="Arial Narrow"/>
                <w:sz w:val="16"/>
                <w:szCs w:val="16"/>
              </w:rPr>
            </w:pPr>
            <w:r w:rsidRPr="003E6D6E">
              <w:rPr>
                <w:rFonts w:ascii="Arial Narrow" w:hAnsi="Arial Narrow"/>
                <w:sz w:val="16"/>
                <w:szCs w:val="16"/>
              </w:rPr>
              <w:t>Ασφαλιστικές εισφορές</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rPr>
              <w:t>21.</w:t>
            </w:r>
            <w:r w:rsidRPr="00431823">
              <w:rPr>
                <w:rFonts w:ascii="Arial Narrow" w:hAnsi="Arial Narrow"/>
                <w:sz w:val="16"/>
                <w:szCs w:val="16"/>
                <w:lang w:val="en-US"/>
              </w:rPr>
              <w:t>447</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21.602</w:t>
            </w:r>
          </w:p>
        </w:tc>
      </w:tr>
      <w:tr w:rsidR="00431823" w:rsidRPr="003E6D6E" w:rsidTr="00FE5D7A">
        <w:trPr>
          <w:trHeight w:val="19"/>
          <w:jc w:val="center"/>
        </w:trPr>
        <w:tc>
          <w:tcPr>
            <w:tcW w:w="5123" w:type="dxa"/>
            <w:tcBorders>
              <w:top w:val="nil"/>
              <w:bottom w:val="nil"/>
              <w:right w:val="nil"/>
            </w:tcBorders>
          </w:tcPr>
          <w:p w:rsidR="00431823" w:rsidRPr="003E6D6E" w:rsidRDefault="00431823" w:rsidP="00FE5D7A">
            <w:pPr>
              <w:tabs>
                <w:tab w:val="left" w:pos="567"/>
                <w:tab w:val="num" w:pos="720"/>
              </w:tabs>
              <w:jc w:val="both"/>
              <w:rPr>
                <w:rFonts w:ascii="Arial Narrow" w:hAnsi="Arial Narrow"/>
                <w:sz w:val="16"/>
                <w:szCs w:val="16"/>
              </w:rPr>
            </w:pPr>
            <w:r w:rsidRPr="003E6D6E">
              <w:rPr>
                <w:rFonts w:ascii="Arial Narrow" w:hAnsi="Arial Narrow"/>
                <w:sz w:val="16"/>
                <w:szCs w:val="16"/>
              </w:rPr>
              <w:t>Έσοδα από τόκους</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rPr>
            </w:pPr>
            <w:r w:rsidRPr="00431823">
              <w:rPr>
                <w:rFonts w:ascii="Arial Narrow" w:hAnsi="Arial Narrow"/>
                <w:sz w:val="16"/>
                <w:szCs w:val="16"/>
              </w:rPr>
              <w:t>344</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rPr>
            </w:pPr>
            <w:r w:rsidRPr="00431823">
              <w:rPr>
                <w:rFonts w:ascii="Arial Narrow" w:hAnsi="Arial Narrow"/>
                <w:sz w:val="16"/>
                <w:szCs w:val="16"/>
              </w:rPr>
              <w:t>343</w:t>
            </w:r>
          </w:p>
        </w:tc>
      </w:tr>
      <w:tr w:rsidR="00431823" w:rsidRPr="003E6D6E" w:rsidTr="00FE5D7A">
        <w:trPr>
          <w:trHeight w:val="19"/>
          <w:jc w:val="center"/>
        </w:trPr>
        <w:tc>
          <w:tcPr>
            <w:tcW w:w="5123" w:type="dxa"/>
            <w:tcBorders>
              <w:top w:val="nil"/>
              <w:bottom w:val="nil"/>
              <w:right w:val="nil"/>
            </w:tcBorders>
          </w:tcPr>
          <w:p w:rsidR="00431823" w:rsidRPr="003E6D6E" w:rsidRDefault="00431823" w:rsidP="00FE5D7A">
            <w:pPr>
              <w:tabs>
                <w:tab w:val="left" w:pos="567"/>
                <w:tab w:val="num" w:pos="720"/>
              </w:tabs>
              <w:jc w:val="both"/>
              <w:rPr>
                <w:rFonts w:ascii="Arial Narrow" w:hAnsi="Arial Narrow"/>
                <w:sz w:val="16"/>
                <w:szCs w:val="16"/>
              </w:rPr>
            </w:pPr>
            <w:r w:rsidRPr="003E6D6E">
              <w:rPr>
                <w:rFonts w:ascii="Arial Narrow" w:hAnsi="Arial Narrow"/>
                <w:sz w:val="16"/>
                <w:szCs w:val="16"/>
              </w:rPr>
              <w:t xml:space="preserve">Λοιπά έσοδα </w:t>
            </w:r>
          </w:p>
        </w:tc>
        <w:tc>
          <w:tcPr>
            <w:tcW w:w="1652" w:type="dxa"/>
            <w:tcBorders>
              <w:top w:val="nil"/>
              <w:left w:val="nil"/>
              <w:bottom w:val="nil"/>
              <w:right w:val="nil"/>
            </w:tcBorders>
            <w:vAlign w:val="center"/>
          </w:tcPr>
          <w:p w:rsidR="00431823" w:rsidRPr="00C247C0" w:rsidRDefault="00C247C0" w:rsidP="00004244">
            <w:pPr>
              <w:tabs>
                <w:tab w:val="decimal" w:pos="1006"/>
              </w:tabs>
              <w:jc w:val="both"/>
              <w:rPr>
                <w:rFonts w:ascii="Arial Narrow" w:hAnsi="Arial Narrow"/>
                <w:sz w:val="16"/>
                <w:szCs w:val="16"/>
              </w:rPr>
            </w:pPr>
            <w:r>
              <w:rPr>
                <w:rFonts w:ascii="Arial Narrow" w:hAnsi="Arial Narrow"/>
                <w:sz w:val="16"/>
                <w:szCs w:val="16"/>
                <w:lang w:val="en-US"/>
              </w:rPr>
              <w:t>1.</w:t>
            </w:r>
            <w:r>
              <w:rPr>
                <w:rFonts w:ascii="Arial Narrow" w:hAnsi="Arial Narrow"/>
                <w:sz w:val="16"/>
                <w:szCs w:val="16"/>
              </w:rPr>
              <w:t>464</w:t>
            </w:r>
          </w:p>
        </w:tc>
        <w:tc>
          <w:tcPr>
            <w:tcW w:w="1724" w:type="dxa"/>
            <w:tcBorders>
              <w:top w:val="nil"/>
              <w:left w:val="nil"/>
              <w:bottom w:val="nil"/>
            </w:tcBorders>
            <w:vAlign w:val="center"/>
          </w:tcPr>
          <w:p w:rsidR="00431823" w:rsidRPr="00C247C0" w:rsidRDefault="00431823" w:rsidP="00004244">
            <w:pPr>
              <w:tabs>
                <w:tab w:val="decimal" w:pos="1006"/>
              </w:tabs>
              <w:jc w:val="both"/>
              <w:rPr>
                <w:rFonts w:ascii="Arial Narrow" w:hAnsi="Arial Narrow"/>
                <w:sz w:val="16"/>
                <w:szCs w:val="16"/>
              </w:rPr>
            </w:pPr>
            <w:r w:rsidRPr="00431823">
              <w:rPr>
                <w:rFonts w:ascii="Arial Narrow" w:hAnsi="Arial Narrow"/>
                <w:sz w:val="16"/>
                <w:szCs w:val="16"/>
              </w:rPr>
              <w:t>1.</w:t>
            </w:r>
            <w:r w:rsidR="00C247C0">
              <w:rPr>
                <w:rFonts w:ascii="Arial Narrow" w:hAnsi="Arial Narrow"/>
                <w:sz w:val="16"/>
                <w:szCs w:val="16"/>
              </w:rPr>
              <w:t>389</w:t>
            </w:r>
          </w:p>
        </w:tc>
      </w:tr>
      <w:tr w:rsidR="00431823" w:rsidRPr="003E6D6E" w:rsidTr="00FE5D7A">
        <w:trPr>
          <w:trHeight w:val="19"/>
          <w:jc w:val="center"/>
        </w:trPr>
        <w:tc>
          <w:tcPr>
            <w:tcW w:w="5123" w:type="dxa"/>
            <w:tcBorders>
              <w:top w:val="nil"/>
              <w:bottom w:val="nil"/>
              <w:right w:val="nil"/>
            </w:tcBorders>
          </w:tcPr>
          <w:p w:rsidR="00431823" w:rsidRPr="003E6D6E" w:rsidRDefault="00431823" w:rsidP="00FE5D7A">
            <w:pPr>
              <w:tabs>
                <w:tab w:val="left" w:pos="567"/>
                <w:tab w:val="num" w:pos="720"/>
              </w:tabs>
              <w:jc w:val="both"/>
              <w:rPr>
                <w:rFonts w:ascii="Arial Narrow" w:hAnsi="Arial Narrow"/>
                <w:sz w:val="16"/>
                <w:szCs w:val="16"/>
                <w:vertAlign w:val="superscript"/>
              </w:rPr>
            </w:pPr>
            <w:r w:rsidRPr="003E6D6E">
              <w:rPr>
                <w:rFonts w:ascii="Arial Narrow" w:hAnsi="Arial Narrow"/>
                <w:sz w:val="16"/>
                <w:szCs w:val="16"/>
              </w:rPr>
              <w:t>Μεταβιβάσεις από Τακτικό Προϋπολογισμό</w:t>
            </w:r>
            <w:r>
              <w:rPr>
                <w:rFonts w:ascii="Arial Narrow" w:hAnsi="Arial Narrow"/>
                <w:sz w:val="16"/>
                <w:szCs w:val="16"/>
                <w:vertAlign w:val="superscript"/>
              </w:rPr>
              <w:t xml:space="preserve"> </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17.232</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18.254</w:t>
            </w:r>
          </w:p>
        </w:tc>
      </w:tr>
      <w:tr w:rsidR="00431823" w:rsidRPr="003E6D6E" w:rsidTr="00FE5D7A">
        <w:trPr>
          <w:trHeight w:val="19"/>
          <w:jc w:val="center"/>
        </w:trPr>
        <w:tc>
          <w:tcPr>
            <w:tcW w:w="5123" w:type="dxa"/>
            <w:tcBorders>
              <w:top w:val="nil"/>
              <w:bottom w:val="nil"/>
              <w:right w:val="nil"/>
            </w:tcBorders>
          </w:tcPr>
          <w:p w:rsidR="00431823" w:rsidRPr="003E6D6E" w:rsidRDefault="00431823" w:rsidP="00FE5D7A">
            <w:pPr>
              <w:tabs>
                <w:tab w:val="left" w:pos="567"/>
                <w:tab w:val="num" w:pos="720"/>
              </w:tabs>
              <w:jc w:val="both"/>
              <w:rPr>
                <w:rFonts w:ascii="Arial Narrow" w:hAnsi="Arial Narrow"/>
                <w:sz w:val="16"/>
                <w:szCs w:val="16"/>
              </w:rPr>
            </w:pPr>
            <w:r w:rsidRPr="003E6D6E">
              <w:rPr>
                <w:rFonts w:ascii="Arial Narrow" w:hAnsi="Arial Narrow"/>
                <w:sz w:val="16"/>
                <w:szCs w:val="16"/>
              </w:rPr>
              <w:t>Μεταβιβάσεις από ΠΔΕ</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130</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200</w:t>
            </w:r>
          </w:p>
        </w:tc>
      </w:tr>
      <w:tr w:rsidR="00431823" w:rsidRPr="003E6D6E" w:rsidTr="00FE5D7A">
        <w:trPr>
          <w:trHeight w:val="19"/>
          <w:jc w:val="center"/>
        </w:trPr>
        <w:tc>
          <w:tcPr>
            <w:tcW w:w="5123" w:type="dxa"/>
            <w:tcBorders>
              <w:top w:val="nil"/>
              <w:bottom w:val="nil"/>
              <w:right w:val="nil"/>
            </w:tcBorders>
          </w:tcPr>
          <w:p w:rsidR="00431823" w:rsidRPr="003E6D6E" w:rsidRDefault="00431823" w:rsidP="00FE5D7A">
            <w:pPr>
              <w:tabs>
                <w:tab w:val="left" w:pos="567"/>
                <w:tab w:val="num" w:pos="720"/>
              </w:tabs>
              <w:jc w:val="both"/>
              <w:rPr>
                <w:rFonts w:ascii="Arial Narrow" w:hAnsi="Arial Narrow"/>
                <w:sz w:val="16"/>
                <w:szCs w:val="16"/>
              </w:rPr>
            </w:pPr>
            <w:r w:rsidRPr="003E6D6E">
              <w:rPr>
                <w:rFonts w:ascii="Arial Narrow" w:hAnsi="Arial Narrow"/>
                <w:sz w:val="16"/>
                <w:szCs w:val="16"/>
              </w:rPr>
              <w:t>Μεταβιβάσεις από άλλους φορείς Γενικής Κυβέρνησης</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rPr>
            </w:pPr>
            <w:r w:rsidRPr="00431823">
              <w:rPr>
                <w:rFonts w:ascii="Arial Narrow" w:hAnsi="Arial Narrow"/>
                <w:sz w:val="16"/>
                <w:szCs w:val="16"/>
              </w:rPr>
              <w:t>395</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0</w:t>
            </w:r>
          </w:p>
        </w:tc>
      </w:tr>
      <w:tr w:rsidR="00431823" w:rsidRPr="003E6D6E" w:rsidTr="00FE5D7A">
        <w:trPr>
          <w:trHeight w:val="19"/>
          <w:jc w:val="center"/>
        </w:trPr>
        <w:tc>
          <w:tcPr>
            <w:tcW w:w="5123" w:type="dxa"/>
            <w:tcBorders>
              <w:top w:val="nil"/>
              <w:bottom w:val="nil"/>
              <w:right w:val="nil"/>
            </w:tcBorders>
            <w:shd w:val="clear" w:color="auto" w:fill="D9D9D9" w:themeFill="background1" w:themeFillShade="D9"/>
          </w:tcPr>
          <w:p w:rsidR="00431823" w:rsidRPr="003E6D6E" w:rsidRDefault="00431823" w:rsidP="00FE5D7A">
            <w:pPr>
              <w:tabs>
                <w:tab w:val="left" w:pos="567"/>
                <w:tab w:val="num" w:pos="720"/>
              </w:tabs>
              <w:spacing w:before="120" w:after="120"/>
              <w:jc w:val="both"/>
              <w:rPr>
                <w:rFonts w:ascii="Arial Narrow" w:hAnsi="Arial Narrow"/>
                <w:b/>
                <w:sz w:val="16"/>
                <w:szCs w:val="16"/>
              </w:rPr>
            </w:pPr>
            <w:r w:rsidRPr="003E6D6E">
              <w:rPr>
                <w:rFonts w:ascii="Arial Narrow" w:hAnsi="Arial Narrow"/>
                <w:b/>
                <w:sz w:val="16"/>
                <w:szCs w:val="16"/>
              </w:rPr>
              <w:t>Έξοδα</w:t>
            </w:r>
          </w:p>
        </w:tc>
        <w:tc>
          <w:tcPr>
            <w:tcW w:w="1652" w:type="dxa"/>
            <w:tcBorders>
              <w:top w:val="nil"/>
              <w:left w:val="nil"/>
              <w:bottom w:val="nil"/>
              <w:right w:val="nil"/>
            </w:tcBorders>
            <w:shd w:val="clear" w:color="auto" w:fill="D9D9D9" w:themeFill="background1" w:themeFillShade="D9"/>
            <w:vAlign w:val="center"/>
          </w:tcPr>
          <w:p w:rsidR="00431823" w:rsidRPr="00C247C0" w:rsidRDefault="00C247C0" w:rsidP="00004244">
            <w:pPr>
              <w:tabs>
                <w:tab w:val="decimal" w:pos="1006"/>
              </w:tabs>
              <w:jc w:val="both"/>
              <w:rPr>
                <w:rFonts w:ascii="Arial Narrow" w:hAnsi="Arial Narrow"/>
                <w:b/>
                <w:bCs/>
                <w:sz w:val="16"/>
                <w:szCs w:val="16"/>
              </w:rPr>
            </w:pPr>
            <w:r>
              <w:rPr>
                <w:rFonts w:ascii="Arial Narrow" w:hAnsi="Arial Narrow"/>
                <w:b/>
                <w:bCs/>
                <w:sz w:val="16"/>
                <w:szCs w:val="16"/>
                <w:lang w:val="en-US"/>
              </w:rPr>
              <w:t>39.</w:t>
            </w:r>
            <w:r>
              <w:rPr>
                <w:rFonts w:ascii="Arial Narrow" w:hAnsi="Arial Narrow"/>
                <w:b/>
                <w:bCs/>
                <w:sz w:val="16"/>
                <w:szCs w:val="16"/>
              </w:rPr>
              <w:t>369</w:t>
            </w:r>
          </w:p>
        </w:tc>
        <w:tc>
          <w:tcPr>
            <w:tcW w:w="1724" w:type="dxa"/>
            <w:tcBorders>
              <w:top w:val="nil"/>
              <w:left w:val="nil"/>
              <w:bottom w:val="nil"/>
            </w:tcBorders>
            <w:shd w:val="clear" w:color="auto" w:fill="D9D9D9" w:themeFill="background1" w:themeFillShade="D9"/>
            <w:vAlign w:val="center"/>
          </w:tcPr>
          <w:p w:rsidR="00431823" w:rsidRPr="00C247C0" w:rsidRDefault="00C247C0" w:rsidP="00004244">
            <w:pPr>
              <w:tabs>
                <w:tab w:val="decimal" w:pos="1006"/>
              </w:tabs>
              <w:jc w:val="both"/>
              <w:rPr>
                <w:rFonts w:ascii="Arial Narrow" w:hAnsi="Arial Narrow"/>
                <w:b/>
                <w:bCs/>
                <w:sz w:val="16"/>
                <w:szCs w:val="16"/>
              </w:rPr>
            </w:pPr>
            <w:r>
              <w:rPr>
                <w:rFonts w:ascii="Arial Narrow" w:hAnsi="Arial Narrow"/>
                <w:b/>
                <w:bCs/>
                <w:sz w:val="16"/>
                <w:szCs w:val="16"/>
                <w:lang w:val="en-US"/>
              </w:rPr>
              <w:t>40.</w:t>
            </w:r>
            <w:r>
              <w:rPr>
                <w:rFonts w:ascii="Arial Narrow" w:hAnsi="Arial Narrow"/>
                <w:b/>
                <w:bCs/>
                <w:sz w:val="16"/>
                <w:szCs w:val="16"/>
              </w:rPr>
              <w:t>348</w:t>
            </w:r>
          </w:p>
        </w:tc>
      </w:tr>
      <w:tr w:rsidR="00431823" w:rsidRPr="003E6D6E" w:rsidTr="00FE5D7A">
        <w:trPr>
          <w:trHeight w:val="19"/>
          <w:jc w:val="center"/>
        </w:trPr>
        <w:tc>
          <w:tcPr>
            <w:tcW w:w="5123" w:type="dxa"/>
            <w:tcBorders>
              <w:top w:val="nil"/>
              <w:bottom w:val="nil"/>
              <w:right w:val="nil"/>
            </w:tcBorders>
            <w:vAlign w:val="bottom"/>
          </w:tcPr>
          <w:p w:rsidR="00431823" w:rsidRPr="003E6D6E" w:rsidRDefault="00431823" w:rsidP="00FE5D7A">
            <w:pPr>
              <w:tabs>
                <w:tab w:val="left" w:pos="567"/>
              </w:tabs>
              <w:jc w:val="both"/>
              <w:rPr>
                <w:rFonts w:ascii="Arial Narrow" w:hAnsi="Arial Narrow" w:cs="Arial"/>
                <w:color w:val="000000"/>
                <w:sz w:val="16"/>
                <w:szCs w:val="16"/>
              </w:rPr>
            </w:pPr>
            <w:r w:rsidRPr="003E6D6E">
              <w:rPr>
                <w:rFonts w:ascii="Arial Narrow" w:hAnsi="Arial Narrow" w:cs="Arial"/>
                <w:color w:val="000000"/>
                <w:sz w:val="16"/>
                <w:szCs w:val="16"/>
              </w:rPr>
              <w:t>Αμοιβές προσωπικού</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356</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363</w:t>
            </w:r>
          </w:p>
        </w:tc>
      </w:tr>
      <w:tr w:rsidR="00431823" w:rsidRPr="003E6D6E" w:rsidTr="00FE5D7A">
        <w:trPr>
          <w:trHeight w:val="19"/>
          <w:jc w:val="center"/>
        </w:trPr>
        <w:tc>
          <w:tcPr>
            <w:tcW w:w="5123" w:type="dxa"/>
            <w:tcBorders>
              <w:top w:val="nil"/>
              <w:bottom w:val="nil"/>
              <w:right w:val="nil"/>
            </w:tcBorders>
            <w:vAlign w:val="bottom"/>
          </w:tcPr>
          <w:p w:rsidR="00431823" w:rsidRPr="0027277C" w:rsidRDefault="00431823" w:rsidP="00FE5D7A">
            <w:pPr>
              <w:tabs>
                <w:tab w:val="left" w:pos="567"/>
              </w:tabs>
              <w:jc w:val="both"/>
              <w:rPr>
                <w:rFonts w:ascii="Arial Narrow" w:hAnsi="Arial Narrow" w:cs="Arial"/>
                <w:i/>
                <w:color w:val="000000"/>
                <w:sz w:val="16"/>
                <w:szCs w:val="16"/>
                <w:vertAlign w:val="superscript"/>
              </w:rPr>
            </w:pPr>
            <w:r w:rsidRPr="003E6D6E">
              <w:rPr>
                <w:rFonts w:ascii="Arial Narrow" w:hAnsi="Arial Narrow" w:cs="Arial"/>
                <w:color w:val="000000"/>
                <w:sz w:val="16"/>
                <w:szCs w:val="16"/>
              </w:rPr>
              <w:t>Συντάξεις</w:t>
            </w:r>
            <w:r>
              <w:rPr>
                <w:rFonts w:ascii="Arial Narrow" w:hAnsi="Arial Narrow" w:cs="Arial"/>
                <w:color w:val="000000"/>
                <w:sz w:val="16"/>
                <w:szCs w:val="16"/>
                <w:vertAlign w:val="superscript"/>
              </w:rPr>
              <w:t>(2)</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28.807</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rPr>
              <w:t>28.</w:t>
            </w:r>
            <w:r w:rsidRPr="00431823">
              <w:rPr>
                <w:rFonts w:ascii="Arial Narrow" w:hAnsi="Arial Narrow"/>
                <w:sz w:val="16"/>
                <w:szCs w:val="16"/>
                <w:lang w:val="en-US"/>
              </w:rPr>
              <w:t>532</w:t>
            </w:r>
          </w:p>
        </w:tc>
      </w:tr>
      <w:tr w:rsidR="00431823" w:rsidRPr="003E6D6E" w:rsidTr="00FE5D7A">
        <w:trPr>
          <w:trHeight w:val="19"/>
          <w:jc w:val="center"/>
        </w:trPr>
        <w:tc>
          <w:tcPr>
            <w:tcW w:w="5123" w:type="dxa"/>
            <w:tcBorders>
              <w:top w:val="nil"/>
              <w:bottom w:val="nil"/>
              <w:right w:val="nil"/>
            </w:tcBorders>
            <w:vAlign w:val="bottom"/>
          </w:tcPr>
          <w:p w:rsidR="00431823" w:rsidRPr="003E6D6E" w:rsidRDefault="00431823" w:rsidP="00FE5D7A">
            <w:pPr>
              <w:tabs>
                <w:tab w:val="left" w:pos="567"/>
              </w:tabs>
              <w:jc w:val="both"/>
              <w:rPr>
                <w:rFonts w:ascii="Arial Narrow" w:hAnsi="Arial Narrow" w:cs="Arial"/>
                <w:color w:val="000000"/>
                <w:sz w:val="16"/>
                <w:szCs w:val="16"/>
              </w:rPr>
            </w:pPr>
            <w:r w:rsidRPr="003E6D6E">
              <w:rPr>
                <w:rFonts w:ascii="Arial Narrow" w:hAnsi="Arial Narrow" w:cs="Arial"/>
                <w:color w:val="000000"/>
                <w:sz w:val="16"/>
                <w:szCs w:val="16"/>
              </w:rPr>
              <w:t>Λοιπές μεταβιβάσεις</w:t>
            </w:r>
            <w:r>
              <w:rPr>
                <w:rFonts w:ascii="Arial Narrow" w:hAnsi="Arial Narrow" w:cs="Arial"/>
                <w:color w:val="000000"/>
                <w:sz w:val="16"/>
                <w:szCs w:val="16"/>
              </w:rPr>
              <w:t xml:space="preserve"> σε τρίτους</w:t>
            </w:r>
            <w:r w:rsidRPr="001A4A6C">
              <w:rPr>
                <w:rFonts w:ascii="Arial Narrow" w:hAnsi="Arial Narrow" w:cs="Arial"/>
                <w:color w:val="000000"/>
                <w:sz w:val="16"/>
                <w:szCs w:val="16"/>
                <w:vertAlign w:val="superscript"/>
              </w:rPr>
              <w:t>(</w:t>
            </w:r>
            <w:r>
              <w:rPr>
                <w:rFonts w:ascii="Arial Narrow" w:hAnsi="Arial Narrow" w:cs="Arial"/>
                <w:color w:val="000000"/>
                <w:sz w:val="16"/>
                <w:szCs w:val="16"/>
                <w:vertAlign w:val="superscript"/>
              </w:rPr>
              <w:t>3</w:t>
            </w:r>
            <w:r w:rsidRPr="001A4A6C">
              <w:rPr>
                <w:rFonts w:ascii="Arial Narrow" w:hAnsi="Arial Narrow" w:cs="Arial"/>
                <w:color w:val="000000"/>
                <w:sz w:val="16"/>
                <w:szCs w:val="16"/>
                <w:vertAlign w:val="superscript"/>
              </w:rPr>
              <w:t>)</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1.889</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rPr>
            </w:pPr>
            <w:r w:rsidRPr="00431823">
              <w:rPr>
                <w:rFonts w:ascii="Arial Narrow" w:hAnsi="Arial Narrow"/>
                <w:sz w:val="16"/>
                <w:szCs w:val="16"/>
                <w:lang w:val="en-US"/>
              </w:rPr>
              <w:t>3.606</w:t>
            </w:r>
          </w:p>
        </w:tc>
      </w:tr>
      <w:tr w:rsidR="00431823" w:rsidRPr="005D0895" w:rsidTr="00FE5D7A">
        <w:trPr>
          <w:trHeight w:val="19"/>
          <w:jc w:val="center"/>
        </w:trPr>
        <w:tc>
          <w:tcPr>
            <w:tcW w:w="5123" w:type="dxa"/>
            <w:tcBorders>
              <w:top w:val="nil"/>
              <w:bottom w:val="nil"/>
              <w:right w:val="nil"/>
            </w:tcBorders>
            <w:vAlign w:val="bottom"/>
          </w:tcPr>
          <w:p w:rsidR="00431823" w:rsidRPr="005D0895" w:rsidRDefault="00431823" w:rsidP="00FE5D7A">
            <w:pPr>
              <w:tabs>
                <w:tab w:val="left" w:pos="567"/>
              </w:tabs>
              <w:jc w:val="both"/>
              <w:rPr>
                <w:rFonts w:ascii="Arial Narrow" w:hAnsi="Arial Narrow" w:cs="Arial"/>
                <w:i/>
                <w:color w:val="000000"/>
                <w:sz w:val="16"/>
                <w:szCs w:val="16"/>
              </w:rPr>
            </w:pPr>
            <w:r>
              <w:rPr>
                <w:rFonts w:ascii="Arial Narrow" w:hAnsi="Arial Narrow" w:cs="Arial"/>
                <w:color w:val="000000"/>
                <w:sz w:val="16"/>
                <w:szCs w:val="16"/>
              </w:rPr>
              <w:t>Λ</w:t>
            </w:r>
            <w:r w:rsidRPr="005D0895">
              <w:rPr>
                <w:rFonts w:ascii="Arial Narrow" w:hAnsi="Arial Narrow" w:cs="Arial"/>
                <w:color w:val="000000"/>
                <w:sz w:val="16"/>
                <w:szCs w:val="16"/>
              </w:rPr>
              <w:t>οιπές δαπάνες</w:t>
            </w:r>
            <w:r>
              <w:rPr>
                <w:rFonts w:ascii="Arial Narrow" w:hAnsi="Arial Narrow"/>
                <w:sz w:val="16"/>
                <w:szCs w:val="16"/>
                <w:vertAlign w:val="superscript"/>
              </w:rPr>
              <w:t>(</w:t>
            </w:r>
            <w:r>
              <w:rPr>
                <w:rFonts w:ascii="Arial Narrow" w:hAnsi="Arial Narrow"/>
                <w:sz w:val="16"/>
                <w:szCs w:val="16"/>
                <w:vertAlign w:val="superscript"/>
                <w:lang w:val="en-US"/>
              </w:rPr>
              <w:t>4</w:t>
            </w:r>
            <w:r>
              <w:rPr>
                <w:rFonts w:ascii="Arial Narrow" w:hAnsi="Arial Narrow"/>
                <w:sz w:val="16"/>
                <w:szCs w:val="16"/>
                <w:vertAlign w:val="superscript"/>
              </w:rPr>
              <w:t>)</w:t>
            </w:r>
          </w:p>
        </w:tc>
        <w:tc>
          <w:tcPr>
            <w:tcW w:w="1652" w:type="dxa"/>
            <w:tcBorders>
              <w:top w:val="nil"/>
              <w:left w:val="nil"/>
              <w:bottom w:val="nil"/>
              <w:right w:val="nil"/>
            </w:tcBorders>
            <w:vAlign w:val="center"/>
          </w:tcPr>
          <w:p w:rsidR="00431823" w:rsidRPr="00C247C0" w:rsidRDefault="00C247C0" w:rsidP="00004244">
            <w:pPr>
              <w:tabs>
                <w:tab w:val="decimal" w:pos="1006"/>
              </w:tabs>
              <w:jc w:val="both"/>
              <w:rPr>
                <w:rFonts w:ascii="Arial Narrow" w:hAnsi="Arial Narrow"/>
                <w:sz w:val="16"/>
                <w:szCs w:val="16"/>
              </w:rPr>
            </w:pPr>
            <w:r>
              <w:rPr>
                <w:rFonts w:ascii="Arial Narrow" w:hAnsi="Arial Narrow"/>
                <w:sz w:val="16"/>
                <w:szCs w:val="16"/>
                <w:lang w:val="en-US"/>
              </w:rPr>
              <w:t>7.</w:t>
            </w:r>
            <w:r>
              <w:rPr>
                <w:rFonts w:ascii="Arial Narrow" w:hAnsi="Arial Narrow"/>
                <w:sz w:val="16"/>
                <w:szCs w:val="16"/>
              </w:rPr>
              <w:t>417</w:t>
            </w:r>
          </w:p>
        </w:tc>
        <w:tc>
          <w:tcPr>
            <w:tcW w:w="1724" w:type="dxa"/>
            <w:tcBorders>
              <w:top w:val="nil"/>
              <w:left w:val="nil"/>
              <w:bottom w:val="nil"/>
            </w:tcBorders>
            <w:vAlign w:val="center"/>
          </w:tcPr>
          <w:p w:rsidR="00431823" w:rsidRPr="00C247C0" w:rsidRDefault="00C247C0" w:rsidP="00004244">
            <w:pPr>
              <w:tabs>
                <w:tab w:val="decimal" w:pos="1006"/>
              </w:tabs>
              <w:jc w:val="both"/>
              <w:rPr>
                <w:rFonts w:ascii="Arial Narrow" w:hAnsi="Arial Narrow"/>
                <w:sz w:val="16"/>
                <w:szCs w:val="16"/>
              </w:rPr>
            </w:pPr>
            <w:r>
              <w:rPr>
                <w:rFonts w:ascii="Arial Narrow" w:hAnsi="Arial Narrow"/>
                <w:sz w:val="16"/>
                <w:szCs w:val="16"/>
              </w:rPr>
              <w:t>6.947</w:t>
            </w:r>
          </w:p>
        </w:tc>
      </w:tr>
      <w:tr w:rsidR="00431823" w:rsidRPr="005D0895" w:rsidTr="00FE5D7A">
        <w:trPr>
          <w:trHeight w:val="19"/>
          <w:jc w:val="center"/>
        </w:trPr>
        <w:tc>
          <w:tcPr>
            <w:tcW w:w="5123" w:type="dxa"/>
            <w:tcBorders>
              <w:top w:val="nil"/>
              <w:bottom w:val="nil"/>
              <w:right w:val="nil"/>
            </w:tcBorders>
            <w:vAlign w:val="bottom"/>
          </w:tcPr>
          <w:p w:rsidR="00431823" w:rsidRPr="001226D2" w:rsidRDefault="00431823" w:rsidP="00FE5D7A">
            <w:pPr>
              <w:tabs>
                <w:tab w:val="left" w:pos="567"/>
              </w:tabs>
              <w:jc w:val="both"/>
              <w:rPr>
                <w:rFonts w:ascii="Arial Narrow" w:hAnsi="Arial Narrow" w:cs="Arial"/>
                <w:color w:val="000000"/>
                <w:sz w:val="16"/>
                <w:szCs w:val="16"/>
                <w:vertAlign w:val="superscript"/>
              </w:rPr>
            </w:pPr>
            <w:r>
              <w:rPr>
                <w:rFonts w:ascii="Arial Narrow" w:hAnsi="Arial Narrow" w:cs="Arial"/>
                <w:color w:val="000000"/>
                <w:sz w:val="16"/>
                <w:szCs w:val="16"/>
              </w:rPr>
              <w:t>Μεταβιβάσεις σε λοιπούς φορείς ΓΚ εκτός κοινωνικού προϋπολογισμού</w:t>
            </w:r>
            <w:r w:rsidR="00CF05D1">
              <w:rPr>
                <w:rFonts w:ascii="Arial Narrow" w:hAnsi="Arial Narrow" w:cs="Arial"/>
                <w:color w:val="000000"/>
                <w:sz w:val="16"/>
                <w:szCs w:val="16"/>
                <w:vertAlign w:val="superscript"/>
              </w:rPr>
              <w:t>(5</w:t>
            </w:r>
            <w:r>
              <w:rPr>
                <w:rFonts w:ascii="Arial Narrow" w:hAnsi="Arial Narrow" w:cs="Arial"/>
                <w:color w:val="000000"/>
                <w:sz w:val="16"/>
                <w:szCs w:val="16"/>
                <w:vertAlign w:val="superscript"/>
              </w:rPr>
              <w:t>)</w:t>
            </w:r>
          </w:p>
        </w:tc>
        <w:tc>
          <w:tcPr>
            <w:tcW w:w="1652" w:type="dxa"/>
            <w:tcBorders>
              <w:top w:val="nil"/>
              <w:left w:val="nil"/>
              <w:bottom w:val="nil"/>
              <w:right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900</w:t>
            </w:r>
          </w:p>
        </w:tc>
        <w:tc>
          <w:tcPr>
            <w:tcW w:w="1724" w:type="dxa"/>
            <w:tcBorders>
              <w:top w:val="nil"/>
              <w:left w:val="nil"/>
              <w:bottom w:val="nil"/>
            </w:tcBorders>
            <w:vAlign w:val="center"/>
          </w:tcPr>
          <w:p w:rsidR="00431823" w:rsidRPr="00431823" w:rsidRDefault="00431823" w:rsidP="00004244">
            <w:pPr>
              <w:tabs>
                <w:tab w:val="decimal" w:pos="1006"/>
              </w:tabs>
              <w:jc w:val="both"/>
              <w:rPr>
                <w:rFonts w:ascii="Arial Narrow" w:hAnsi="Arial Narrow"/>
                <w:sz w:val="16"/>
                <w:szCs w:val="16"/>
                <w:lang w:val="en-US"/>
              </w:rPr>
            </w:pPr>
            <w:r w:rsidRPr="00431823">
              <w:rPr>
                <w:rFonts w:ascii="Arial Narrow" w:hAnsi="Arial Narrow"/>
                <w:sz w:val="16"/>
                <w:szCs w:val="16"/>
                <w:lang w:val="en-US"/>
              </w:rPr>
              <w:t>900</w:t>
            </w:r>
          </w:p>
        </w:tc>
      </w:tr>
      <w:tr w:rsidR="00431823" w:rsidRPr="00C30B8E" w:rsidTr="00FE5D7A">
        <w:trPr>
          <w:trHeight w:val="19"/>
          <w:jc w:val="center"/>
        </w:trPr>
        <w:tc>
          <w:tcPr>
            <w:tcW w:w="5123" w:type="dxa"/>
            <w:tcBorders>
              <w:top w:val="nil"/>
              <w:bottom w:val="nil"/>
              <w:right w:val="nil"/>
            </w:tcBorders>
            <w:shd w:val="clear" w:color="auto" w:fill="D9D9D9" w:themeFill="background1" w:themeFillShade="D9"/>
            <w:vAlign w:val="bottom"/>
          </w:tcPr>
          <w:p w:rsidR="00431823" w:rsidRPr="003E6D6E" w:rsidRDefault="00431823" w:rsidP="00FE5D7A">
            <w:pPr>
              <w:tabs>
                <w:tab w:val="left" w:pos="567"/>
              </w:tabs>
              <w:spacing w:before="120" w:after="120"/>
              <w:jc w:val="both"/>
              <w:rPr>
                <w:rFonts w:ascii="Arial Narrow" w:hAnsi="Arial Narrow" w:cs="Arial"/>
                <w:b/>
                <w:bCs/>
                <w:color w:val="000000"/>
                <w:sz w:val="16"/>
                <w:szCs w:val="16"/>
              </w:rPr>
            </w:pPr>
            <w:r>
              <w:rPr>
                <w:rFonts w:ascii="Arial Narrow" w:hAnsi="Arial Narrow" w:cs="Arial"/>
                <w:b/>
                <w:bCs/>
                <w:color w:val="000000"/>
                <w:sz w:val="16"/>
                <w:szCs w:val="16"/>
              </w:rPr>
              <w:t xml:space="preserve">Ταμειακό </w:t>
            </w:r>
            <w:r w:rsidRPr="003E6D6E">
              <w:rPr>
                <w:rFonts w:ascii="Arial Narrow" w:hAnsi="Arial Narrow" w:cs="Arial"/>
                <w:b/>
                <w:bCs/>
                <w:color w:val="000000"/>
                <w:sz w:val="16"/>
                <w:szCs w:val="16"/>
              </w:rPr>
              <w:t>Ισοζύγιο</w:t>
            </w:r>
            <w:r>
              <w:rPr>
                <w:rFonts w:ascii="Arial Narrow" w:hAnsi="Arial Narrow" w:cs="Arial"/>
                <w:b/>
                <w:bCs/>
                <w:color w:val="000000"/>
                <w:sz w:val="16"/>
                <w:szCs w:val="16"/>
                <w:vertAlign w:val="superscript"/>
              </w:rPr>
              <w:t>(1)</w:t>
            </w:r>
          </w:p>
        </w:tc>
        <w:tc>
          <w:tcPr>
            <w:tcW w:w="1652" w:type="dxa"/>
            <w:tcBorders>
              <w:top w:val="nil"/>
              <w:left w:val="nil"/>
              <w:bottom w:val="nil"/>
              <w:right w:val="nil"/>
            </w:tcBorders>
            <w:shd w:val="clear" w:color="auto" w:fill="D9D9D9" w:themeFill="background1" w:themeFillShade="D9"/>
            <w:vAlign w:val="center"/>
          </w:tcPr>
          <w:p w:rsidR="00431823" w:rsidRPr="00431823" w:rsidRDefault="00431823" w:rsidP="00004244">
            <w:pPr>
              <w:tabs>
                <w:tab w:val="decimal" w:pos="1006"/>
              </w:tabs>
              <w:jc w:val="both"/>
              <w:rPr>
                <w:rFonts w:ascii="Arial Narrow" w:hAnsi="Arial Narrow"/>
                <w:b/>
                <w:bCs/>
                <w:sz w:val="16"/>
                <w:szCs w:val="16"/>
                <w:lang w:val="en-US"/>
              </w:rPr>
            </w:pPr>
            <w:r w:rsidRPr="00431823">
              <w:rPr>
                <w:rFonts w:ascii="Arial Narrow" w:hAnsi="Arial Narrow"/>
                <w:b/>
                <w:bCs/>
                <w:sz w:val="16"/>
                <w:szCs w:val="16"/>
              </w:rPr>
              <w:t>1.</w:t>
            </w:r>
            <w:r w:rsidRPr="00431823">
              <w:rPr>
                <w:rFonts w:ascii="Arial Narrow" w:hAnsi="Arial Narrow"/>
                <w:b/>
                <w:bCs/>
                <w:sz w:val="16"/>
                <w:szCs w:val="16"/>
                <w:lang w:val="en-US"/>
              </w:rPr>
              <w:t>644</w:t>
            </w:r>
          </w:p>
        </w:tc>
        <w:tc>
          <w:tcPr>
            <w:tcW w:w="1724" w:type="dxa"/>
            <w:tcBorders>
              <w:top w:val="nil"/>
              <w:left w:val="nil"/>
              <w:bottom w:val="nil"/>
            </w:tcBorders>
            <w:shd w:val="clear" w:color="auto" w:fill="D9D9D9" w:themeFill="background1" w:themeFillShade="D9"/>
            <w:vAlign w:val="center"/>
          </w:tcPr>
          <w:p w:rsidR="00431823" w:rsidRPr="00431823" w:rsidRDefault="00431823" w:rsidP="00004244">
            <w:pPr>
              <w:tabs>
                <w:tab w:val="decimal" w:pos="1006"/>
              </w:tabs>
              <w:jc w:val="both"/>
              <w:rPr>
                <w:rFonts w:ascii="Arial Narrow" w:hAnsi="Arial Narrow"/>
                <w:b/>
                <w:bCs/>
                <w:sz w:val="16"/>
                <w:szCs w:val="16"/>
                <w:lang w:val="en-US"/>
              </w:rPr>
            </w:pPr>
            <w:r w:rsidRPr="00431823">
              <w:rPr>
                <w:rFonts w:ascii="Arial Narrow" w:hAnsi="Arial Narrow"/>
                <w:b/>
                <w:bCs/>
                <w:sz w:val="16"/>
                <w:szCs w:val="16"/>
              </w:rPr>
              <w:t>1.</w:t>
            </w:r>
            <w:r w:rsidRPr="00431823">
              <w:rPr>
                <w:rFonts w:ascii="Arial Narrow" w:hAnsi="Arial Narrow"/>
                <w:b/>
                <w:bCs/>
                <w:sz w:val="16"/>
                <w:szCs w:val="16"/>
                <w:lang w:val="en-US"/>
              </w:rPr>
              <w:t>440</w:t>
            </w:r>
          </w:p>
        </w:tc>
      </w:tr>
      <w:tr w:rsidR="00431823" w:rsidRPr="00C30B8E" w:rsidTr="00FE5D7A">
        <w:trPr>
          <w:trHeight w:val="19"/>
          <w:jc w:val="center"/>
        </w:trPr>
        <w:tc>
          <w:tcPr>
            <w:tcW w:w="5123" w:type="dxa"/>
            <w:tcBorders>
              <w:top w:val="nil"/>
              <w:bottom w:val="nil"/>
              <w:right w:val="nil"/>
            </w:tcBorders>
            <w:shd w:val="clear" w:color="auto" w:fill="auto"/>
            <w:vAlign w:val="bottom"/>
          </w:tcPr>
          <w:p w:rsidR="00431823" w:rsidRPr="003E6D6E" w:rsidRDefault="00431823" w:rsidP="00FE5D7A">
            <w:pPr>
              <w:tabs>
                <w:tab w:val="left" w:pos="567"/>
              </w:tabs>
              <w:spacing w:before="120" w:after="120"/>
              <w:jc w:val="both"/>
              <w:rPr>
                <w:rFonts w:ascii="Arial Narrow" w:hAnsi="Arial Narrow" w:cs="Arial"/>
                <w:b/>
                <w:bCs/>
                <w:color w:val="000000"/>
                <w:sz w:val="16"/>
                <w:szCs w:val="16"/>
              </w:rPr>
            </w:pPr>
            <w:r>
              <w:rPr>
                <w:rFonts w:ascii="Arial Narrow" w:hAnsi="Arial Narrow" w:cs="Arial"/>
                <w:b/>
                <w:bCs/>
                <w:color w:val="000000"/>
                <w:sz w:val="16"/>
                <w:szCs w:val="16"/>
              </w:rPr>
              <w:t>Εθνικολογιστικές προσαρμογές</w:t>
            </w:r>
          </w:p>
        </w:tc>
        <w:tc>
          <w:tcPr>
            <w:tcW w:w="1652" w:type="dxa"/>
            <w:tcBorders>
              <w:top w:val="nil"/>
              <w:left w:val="nil"/>
              <w:bottom w:val="nil"/>
              <w:right w:val="nil"/>
            </w:tcBorders>
            <w:shd w:val="clear" w:color="auto" w:fill="auto"/>
            <w:vAlign w:val="center"/>
          </w:tcPr>
          <w:p w:rsidR="00431823" w:rsidRPr="00431823" w:rsidRDefault="00431823" w:rsidP="00004244">
            <w:pPr>
              <w:tabs>
                <w:tab w:val="decimal" w:pos="1006"/>
              </w:tabs>
              <w:jc w:val="both"/>
              <w:rPr>
                <w:rFonts w:ascii="Arial Narrow" w:hAnsi="Arial Narrow"/>
                <w:b/>
                <w:bCs/>
                <w:sz w:val="16"/>
                <w:szCs w:val="16"/>
              </w:rPr>
            </w:pPr>
            <w:r w:rsidRPr="00431823">
              <w:rPr>
                <w:rFonts w:ascii="Arial Narrow" w:hAnsi="Arial Narrow"/>
                <w:b/>
                <w:bCs/>
                <w:sz w:val="16"/>
                <w:szCs w:val="16"/>
              </w:rPr>
              <w:t>533</w:t>
            </w:r>
          </w:p>
        </w:tc>
        <w:tc>
          <w:tcPr>
            <w:tcW w:w="1724" w:type="dxa"/>
            <w:tcBorders>
              <w:top w:val="nil"/>
              <w:left w:val="nil"/>
              <w:bottom w:val="nil"/>
            </w:tcBorders>
            <w:shd w:val="clear" w:color="auto" w:fill="auto"/>
            <w:vAlign w:val="center"/>
          </w:tcPr>
          <w:p w:rsidR="00431823" w:rsidRPr="00431823" w:rsidRDefault="00431823" w:rsidP="00004244">
            <w:pPr>
              <w:tabs>
                <w:tab w:val="decimal" w:pos="1006"/>
              </w:tabs>
              <w:jc w:val="both"/>
              <w:rPr>
                <w:rFonts w:ascii="Arial Narrow" w:hAnsi="Arial Narrow"/>
                <w:b/>
                <w:bCs/>
                <w:sz w:val="16"/>
                <w:szCs w:val="16"/>
              </w:rPr>
            </w:pPr>
            <w:r w:rsidRPr="00431823">
              <w:rPr>
                <w:rFonts w:ascii="Arial Narrow" w:hAnsi="Arial Narrow"/>
                <w:b/>
                <w:bCs/>
                <w:sz w:val="16"/>
                <w:szCs w:val="16"/>
              </w:rPr>
              <w:t>233</w:t>
            </w:r>
          </w:p>
        </w:tc>
      </w:tr>
      <w:tr w:rsidR="00431823" w:rsidRPr="00C30B8E" w:rsidTr="00FE5D7A">
        <w:trPr>
          <w:trHeight w:val="19"/>
          <w:jc w:val="center"/>
        </w:trPr>
        <w:tc>
          <w:tcPr>
            <w:tcW w:w="5123" w:type="dxa"/>
            <w:tcBorders>
              <w:top w:val="nil"/>
              <w:bottom w:val="single" w:sz="4" w:space="0" w:color="auto"/>
              <w:right w:val="nil"/>
            </w:tcBorders>
            <w:shd w:val="clear" w:color="auto" w:fill="D9D9D9" w:themeFill="background1" w:themeFillShade="D9"/>
            <w:vAlign w:val="bottom"/>
          </w:tcPr>
          <w:p w:rsidR="00431823" w:rsidRPr="001A4A6C" w:rsidRDefault="00431823" w:rsidP="00FE5D7A">
            <w:pPr>
              <w:tabs>
                <w:tab w:val="left" w:pos="567"/>
              </w:tabs>
              <w:spacing w:before="120" w:after="120"/>
              <w:jc w:val="both"/>
              <w:rPr>
                <w:rFonts w:ascii="Arial Narrow" w:hAnsi="Arial Narrow" w:cs="Arial"/>
                <w:b/>
                <w:bCs/>
                <w:color w:val="000000"/>
                <w:sz w:val="16"/>
                <w:szCs w:val="16"/>
                <w:lang w:val="en-GB"/>
              </w:rPr>
            </w:pPr>
            <w:r>
              <w:rPr>
                <w:rFonts w:ascii="Arial Narrow" w:hAnsi="Arial Narrow" w:cs="Arial"/>
                <w:b/>
                <w:bCs/>
                <w:color w:val="000000"/>
                <w:sz w:val="16"/>
                <w:szCs w:val="16"/>
              </w:rPr>
              <w:t xml:space="preserve">Ισοζύγιο κατά </w:t>
            </w:r>
            <w:r>
              <w:rPr>
                <w:rFonts w:ascii="Arial Narrow" w:hAnsi="Arial Narrow" w:cs="Arial"/>
                <w:b/>
                <w:bCs/>
                <w:color w:val="000000"/>
                <w:sz w:val="16"/>
                <w:szCs w:val="16"/>
                <w:lang w:val="en-GB"/>
              </w:rPr>
              <w:t>ESA 2010</w:t>
            </w:r>
          </w:p>
        </w:tc>
        <w:tc>
          <w:tcPr>
            <w:tcW w:w="1652" w:type="dxa"/>
            <w:tcBorders>
              <w:top w:val="nil"/>
              <w:left w:val="nil"/>
              <w:bottom w:val="single" w:sz="4" w:space="0" w:color="auto"/>
              <w:right w:val="nil"/>
            </w:tcBorders>
            <w:shd w:val="clear" w:color="auto" w:fill="D9D9D9" w:themeFill="background1" w:themeFillShade="D9"/>
            <w:vAlign w:val="center"/>
          </w:tcPr>
          <w:p w:rsidR="00431823" w:rsidRPr="00431823" w:rsidRDefault="00431823" w:rsidP="00004244">
            <w:pPr>
              <w:tabs>
                <w:tab w:val="decimal" w:pos="1006"/>
              </w:tabs>
              <w:jc w:val="both"/>
              <w:rPr>
                <w:rFonts w:ascii="Arial Narrow" w:hAnsi="Arial Narrow"/>
                <w:b/>
                <w:bCs/>
                <w:sz w:val="16"/>
                <w:szCs w:val="16"/>
                <w:lang w:val="en-US"/>
              </w:rPr>
            </w:pPr>
            <w:r w:rsidRPr="00431823">
              <w:rPr>
                <w:rFonts w:ascii="Arial Narrow" w:hAnsi="Arial Narrow"/>
                <w:b/>
                <w:bCs/>
                <w:sz w:val="16"/>
                <w:szCs w:val="16"/>
                <w:lang w:val="en-US"/>
              </w:rPr>
              <w:t>2.177</w:t>
            </w:r>
          </w:p>
        </w:tc>
        <w:tc>
          <w:tcPr>
            <w:tcW w:w="1724" w:type="dxa"/>
            <w:tcBorders>
              <w:top w:val="nil"/>
              <w:left w:val="nil"/>
              <w:bottom w:val="single" w:sz="4" w:space="0" w:color="auto"/>
            </w:tcBorders>
            <w:shd w:val="clear" w:color="auto" w:fill="D9D9D9" w:themeFill="background1" w:themeFillShade="D9"/>
            <w:vAlign w:val="center"/>
          </w:tcPr>
          <w:p w:rsidR="00431823" w:rsidRPr="00431823" w:rsidRDefault="00431823" w:rsidP="00004244">
            <w:pPr>
              <w:tabs>
                <w:tab w:val="decimal" w:pos="1006"/>
              </w:tabs>
              <w:jc w:val="both"/>
              <w:rPr>
                <w:rFonts w:ascii="Arial Narrow" w:hAnsi="Arial Narrow"/>
                <w:b/>
                <w:bCs/>
                <w:sz w:val="16"/>
                <w:szCs w:val="16"/>
                <w:lang w:val="en-US"/>
              </w:rPr>
            </w:pPr>
            <w:r w:rsidRPr="00431823">
              <w:rPr>
                <w:rFonts w:ascii="Arial Narrow" w:hAnsi="Arial Narrow"/>
                <w:b/>
                <w:bCs/>
                <w:sz w:val="16"/>
                <w:szCs w:val="16"/>
              </w:rPr>
              <w:t>1.</w:t>
            </w:r>
            <w:r w:rsidRPr="00431823">
              <w:rPr>
                <w:rFonts w:ascii="Arial Narrow" w:hAnsi="Arial Narrow"/>
                <w:b/>
                <w:bCs/>
                <w:sz w:val="16"/>
                <w:szCs w:val="16"/>
                <w:lang w:val="en-US"/>
              </w:rPr>
              <w:t>673</w:t>
            </w:r>
          </w:p>
        </w:tc>
      </w:tr>
    </w:tbl>
    <w:p w:rsidR="00736C0C" w:rsidRDefault="00736C0C" w:rsidP="006556BD">
      <w:pPr>
        <w:pStyle w:val="af2"/>
        <w:numPr>
          <w:ilvl w:val="0"/>
          <w:numId w:val="7"/>
        </w:numPr>
        <w:spacing w:after="0" w:line="240" w:lineRule="auto"/>
        <w:ind w:left="567" w:right="140" w:hanging="283"/>
        <w:rPr>
          <w:rFonts w:ascii="Arial Narrow" w:hAnsi="Arial Narrow"/>
          <w:sz w:val="16"/>
          <w:szCs w:val="16"/>
        </w:rPr>
      </w:pPr>
      <w:r w:rsidRPr="00F677E2">
        <w:rPr>
          <w:rFonts w:ascii="Arial Narrow" w:hAnsi="Arial Narrow"/>
          <w:sz w:val="16"/>
          <w:szCs w:val="16"/>
        </w:rPr>
        <w:t>Περιλαμβάνεται το ισοζύγιο των ΟΚΑ.</w:t>
      </w:r>
    </w:p>
    <w:p w:rsidR="00736C0C" w:rsidRPr="00F677E2" w:rsidRDefault="00736C0C" w:rsidP="006556BD">
      <w:pPr>
        <w:pStyle w:val="af2"/>
        <w:numPr>
          <w:ilvl w:val="0"/>
          <w:numId w:val="7"/>
        </w:numPr>
        <w:spacing w:after="0" w:line="240" w:lineRule="auto"/>
        <w:ind w:left="567" w:right="140" w:hanging="283"/>
        <w:rPr>
          <w:rFonts w:ascii="Arial Narrow" w:hAnsi="Arial Narrow"/>
          <w:sz w:val="16"/>
          <w:szCs w:val="16"/>
        </w:rPr>
      </w:pPr>
      <w:r>
        <w:rPr>
          <w:rFonts w:ascii="Arial Narrow" w:hAnsi="Arial Narrow"/>
          <w:sz w:val="16"/>
          <w:szCs w:val="16"/>
        </w:rPr>
        <w:t>Περιλαμβάνονται και οι παροχές σε ανασφάλιστους υπερήλικες που καταβάλλονται από τον ΟΠΕΚΑ.</w:t>
      </w:r>
    </w:p>
    <w:p w:rsidR="00736C0C" w:rsidRDefault="00736C0C" w:rsidP="006556BD">
      <w:pPr>
        <w:pStyle w:val="af2"/>
        <w:numPr>
          <w:ilvl w:val="0"/>
          <w:numId w:val="7"/>
        </w:numPr>
        <w:spacing w:after="0" w:line="240" w:lineRule="auto"/>
        <w:ind w:left="567" w:right="140" w:hanging="283"/>
        <w:rPr>
          <w:rFonts w:ascii="Arial Narrow" w:hAnsi="Arial Narrow"/>
          <w:sz w:val="16"/>
          <w:szCs w:val="16"/>
        </w:rPr>
      </w:pPr>
      <w:r>
        <w:rPr>
          <w:rFonts w:ascii="Arial Narrow" w:hAnsi="Arial Narrow"/>
          <w:sz w:val="16"/>
          <w:szCs w:val="16"/>
        </w:rPr>
        <w:t>Περιλαμβάνονται κυρίως οι δαπάνες για τα προγράμματα απασχόλησης του ΟΑΕΔ, τα οικογενειακά επιδόματα, το Κοινωνικό Εισόδημα Αλληλεγγύης</w:t>
      </w:r>
      <w:r w:rsidR="00F44E51">
        <w:rPr>
          <w:rFonts w:ascii="Arial Narrow" w:hAnsi="Arial Narrow"/>
          <w:sz w:val="16"/>
          <w:szCs w:val="16"/>
        </w:rPr>
        <w:t>, το στεγαστικό επίδομα</w:t>
      </w:r>
      <w:r>
        <w:rPr>
          <w:rFonts w:ascii="Arial Narrow" w:hAnsi="Arial Narrow"/>
          <w:sz w:val="16"/>
          <w:szCs w:val="16"/>
        </w:rPr>
        <w:t xml:space="preserve"> και τα επιδόματα ΑμΕΑ που καταβάλλονται από τον ΟΠΕΚΑ.</w:t>
      </w:r>
    </w:p>
    <w:p w:rsidR="00736C0C" w:rsidRDefault="00736C0C" w:rsidP="006556BD">
      <w:pPr>
        <w:pStyle w:val="af2"/>
        <w:numPr>
          <w:ilvl w:val="0"/>
          <w:numId w:val="7"/>
        </w:numPr>
        <w:spacing w:after="0" w:line="240" w:lineRule="auto"/>
        <w:ind w:left="567" w:right="140" w:hanging="283"/>
        <w:rPr>
          <w:rFonts w:ascii="Arial Narrow" w:hAnsi="Arial Narrow"/>
          <w:sz w:val="16"/>
          <w:szCs w:val="16"/>
        </w:rPr>
      </w:pPr>
      <w:r>
        <w:rPr>
          <w:rFonts w:ascii="Arial Narrow" w:hAnsi="Arial Narrow"/>
          <w:sz w:val="16"/>
          <w:szCs w:val="16"/>
        </w:rPr>
        <w:t>Περιλαμβάνονται και η φαρμακευτική δαπάνη, καθώς και η δαπάνη για παροχές ασθένειας του ΕΟΠΥΥ και τα επιδόματα ανεργίας του ΟΑΕΔ.</w:t>
      </w:r>
    </w:p>
    <w:p w:rsidR="00736C0C" w:rsidRPr="00F677E2" w:rsidRDefault="00736C0C" w:rsidP="006556BD">
      <w:pPr>
        <w:pStyle w:val="af2"/>
        <w:numPr>
          <w:ilvl w:val="0"/>
          <w:numId w:val="7"/>
        </w:numPr>
        <w:spacing w:after="0" w:line="240" w:lineRule="auto"/>
        <w:ind w:left="567" w:right="140" w:hanging="283"/>
        <w:rPr>
          <w:rFonts w:ascii="Arial Narrow" w:hAnsi="Arial Narrow"/>
          <w:sz w:val="16"/>
          <w:szCs w:val="16"/>
        </w:rPr>
      </w:pPr>
      <w:r>
        <w:rPr>
          <w:rFonts w:ascii="Arial Narrow" w:hAnsi="Arial Narrow"/>
          <w:sz w:val="16"/>
          <w:szCs w:val="16"/>
        </w:rPr>
        <w:t>Αφορά τις μεταβιβάσεις του ΕΟΠΥΥ προς τα δημόσια νοσοκομεία και το ΕΚΑΒ.</w:t>
      </w:r>
    </w:p>
    <w:p w:rsidR="00736C0C" w:rsidRDefault="00736C0C" w:rsidP="00736C0C">
      <w:pPr>
        <w:ind w:hanging="283"/>
        <w:jc w:val="both"/>
        <w:rPr>
          <w:sz w:val="22"/>
        </w:rPr>
      </w:pPr>
    </w:p>
    <w:p w:rsidR="000074CC" w:rsidRDefault="000074CC" w:rsidP="00736C0C">
      <w:pPr>
        <w:jc w:val="both"/>
        <w:rPr>
          <w:sz w:val="22"/>
          <w:szCs w:val="22"/>
        </w:rPr>
      </w:pPr>
    </w:p>
    <w:p w:rsidR="00431823" w:rsidRPr="00E2781B" w:rsidRDefault="00431823" w:rsidP="00431823">
      <w:pPr>
        <w:jc w:val="both"/>
        <w:rPr>
          <w:sz w:val="22"/>
          <w:szCs w:val="22"/>
        </w:rPr>
      </w:pPr>
      <w:r w:rsidRPr="00E2781B">
        <w:rPr>
          <w:sz w:val="22"/>
          <w:szCs w:val="22"/>
        </w:rPr>
        <w:t>Τα συνολικά έσοδα του ενοποιημένου κοινωνικού προϋπολογισμού στο 201</w:t>
      </w:r>
      <w:r>
        <w:rPr>
          <w:sz w:val="22"/>
          <w:szCs w:val="22"/>
        </w:rPr>
        <w:t>9</w:t>
      </w:r>
      <w:r w:rsidRPr="00E2781B">
        <w:rPr>
          <w:sz w:val="22"/>
          <w:szCs w:val="22"/>
        </w:rPr>
        <w:t xml:space="preserve"> προβλέπονται αυξημένα κατά </w:t>
      </w:r>
      <w:r w:rsidR="00A96D91">
        <w:rPr>
          <w:sz w:val="22"/>
          <w:szCs w:val="22"/>
        </w:rPr>
        <w:t>77</w:t>
      </w:r>
      <w:r>
        <w:rPr>
          <w:sz w:val="22"/>
          <w:szCs w:val="22"/>
        </w:rPr>
        <w:t>6</w:t>
      </w:r>
      <w:r w:rsidRPr="00E2781B">
        <w:rPr>
          <w:sz w:val="22"/>
          <w:szCs w:val="22"/>
        </w:rPr>
        <w:t xml:space="preserve"> εκατ. ευρώ σε σχέση με το 2018</w:t>
      </w:r>
      <w:r>
        <w:rPr>
          <w:sz w:val="22"/>
          <w:szCs w:val="22"/>
        </w:rPr>
        <w:t>,</w:t>
      </w:r>
      <w:r w:rsidRPr="00E2781B">
        <w:rPr>
          <w:sz w:val="22"/>
          <w:szCs w:val="22"/>
        </w:rPr>
        <w:t xml:space="preserve"> κυρίως λόγω της αναμενόμενης αύξησης των </w:t>
      </w:r>
      <w:r>
        <w:rPr>
          <w:sz w:val="22"/>
          <w:szCs w:val="22"/>
        </w:rPr>
        <w:t xml:space="preserve">εσόδων από τις </w:t>
      </w:r>
      <w:r w:rsidRPr="00E2781B">
        <w:rPr>
          <w:sz w:val="22"/>
          <w:szCs w:val="22"/>
        </w:rPr>
        <w:t>ασφαλιστι</w:t>
      </w:r>
      <w:r>
        <w:rPr>
          <w:sz w:val="22"/>
          <w:szCs w:val="22"/>
        </w:rPr>
        <w:t>κές εισφορές</w:t>
      </w:r>
      <w:r w:rsidRPr="00E2781B">
        <w:rPr>
          <w:sz w:val="22"/>
          <w:szCs w:val="22"/>
        </w:rPr>
        <w:t xml:space="preserve"> </w:t>
      </w:r>
      <w:r>
        <w:rPr>
          <w:sz w:val="22"/>
          <w:szCs w:val="22"/>
        </w:rPr>
        <w:t xml:space="preserve">των μισθωτών, τόσο </w:t>
      </w:r>
      <w:r w:rsidRPr="00E2781B">
        <w:rPr>
          <w:sz w:val="22"/>
          <w:szCs w:val="22"/>
        </w:rPr>
        <w:t>του ιδιωτικού</w:t>
      </w:r>
      <w:r>
        <w:rPr>
          <w:sz w:val="22"/>
          <w:szCs w:val="22"/>
        </w:rPr>
        <w:t>, όσο</w:t>
      </w:r>
      <w:r w:rsidRPr="00E2781B">
        <w:rPr>
          <w:sz w:val="22"/>
          <w:szCs w:val="22"/>
        </w:rPr>
        <w:t xml:space="preserve"> και του δημόσιου τομέα. </w:t>
      </w:r>
      <w:r>
        <w:rPr>
          <w:sz w:val="22"/>
          <w:szCs w:val="22"/>
        </w:rPr>
        <w:t xml:space="preserve">Παράλληλα, τα συνολικά έσοδα από μεταβιβάσεις από τον </w:t>
      </w:r>
      <w:r w:rsidR="00EA7943">
        <w:rPr>
          <w:sz w:val="22"/>
          <w:szCs w:val="22"/>
        </w:rPr>
        <w:t>Τακτικό</w:t>
      </w:r>
      <w:r>
        <w:rPr>
          <w:sz w:val="22"/>
          <w:szCs w:val="22"/>
        </w:rPr>
        <w:t xml:space="preserve"> Προϋπολογισμό είναι αυξημένα σε σχέση με το 2018 κατά 1.022 εκατ. ευρώ.</w:t>
      </w:r>
    </w:p>
    <w:p w:rsidR="00431823" w:rsidRPr="003E000C" w:rsidRDefault="00431823" w:rsidP="00431823">
      <w:pPr>
        <w:jc w:val="both"/>
        <w:rPr>
          <w:strike/>
          <w:sz w:val="22"/>
          <w:szCs w:val="22"/>
          <w:highlight w:val="yellow"/>
        </w:rPr>
      </w:pPr>
    </w:p>
    <w:p w:rsidR="00431823" w:rsidRPr="00EA7E6D" w:rsidRDefault="00431823" w:rsidP="00431823">
      <w:pPr>
        <w:jc w:val="both"/>
        <w:rPr>
          <w:sz w:val="22"/>
          <w:szCs w:val="22"/>
        </w:rPr>
      </w:pPr>
      <w:r w:rsidRPr="00EA7E6D">
        <w:rPr>
          <w:sz w:val="22"/>
          <w:szCs w:val="22"/>
        </w:rPr>
        <w:t xml:space="preserve">Τα συνολικά έξοδα προβλέπονται επίσης αυξημένα κατά </w:t>
      </w:r>
      <w:r w:rsidR="0021237F">
        <w:rPr>
          <w:sz w:val="22"/>
          <w:szCs w:val="22"/>
        </w:rPr>
        <w:t>97</w:t>
      </w:r>
      <w:r>
        <w:rPr>
          <w:sz w:val="22"/>
          <w:szCs w:val="22"/>
        </w:rPr>
        <w:t>9</w:t>
      </w:r>
      <w:r w:rsidRPr="00EA7E6D">
        <w:rPr>
          <w:sz w:val="22"/>
          <w:szCs w:val="22"/>
        </w:rPr>
        <w:t xml:space="preserve"> εκατ. ευρώ σε σχέση με το 2018, κυρίως λόγω της αύξησης των μεταβιβάσεων σε τρίτους κατά 1.</w:t>
      </w:r>
      <w:r>
        <w:rPr>
          <w:sz w:val="22"/>
          <w:szCs w:val="22"/>
        </w:rPr>
        <w:t>717</w:t>
      </w:r>
      <w:r w:rsidRPr="00EA7E6D">
        <w:rPr>
          <w:sz w:val="22"/>
          <w:szCs w:val="22"/>
        </w:rPr>
        <w:t xml:space="preserve"> εκατ. ευρώ. Οι αυξημένες μεταβιβάσεις αφορούν τα προγράμματα απασχόλησης του ΟΑΕΔ, καθώς και το επίδομα παιδιού, το Κοινωνικό Εισόδημα Αλληλεγγύης</w:t>
      </w:r>
      <w:r>
        <w:rPr>
          <w:sz w:val="22"/>
          <w:szCs w:val="22"/>
        </w:rPr>
        <w:t>, το στεγαστικό επίδομα</w:t>
      </w:r>
      <w:r w:rsidRPr="00EA7E6D">
        <w:rPr>
          <w:sz w:val="22"/>
          <w:szCs w:val="22"/>
        </w:rPr>
        <w:t xml:space="preserve"> και τα προνοιακά επιδόματα ΑμΕΑ που πλέον καταβάλλονται από τον ΟΠΕΚΑ.</w:t>
      </w:r>
    </w:p>
    <w:p w:rsidR="00431823" w:rsidRPr="003E000C" w:rsidRDefault="00431823" w:rsidP="00431823">
      <w:pPr>
        <w:jc w:val="both"/>
        <w:rPr>
          <w:strike/>
          <w:sz w:val="22"/>
          <w:szCs w:val="22"/>
          <w:highlight w:val="yellow"/>
        </w:rPr>
      </w:pPr>
    </w:p>
    <w:p w:rsidR="00431823" w:rsidRPr="00EA7E6D" w:rsidRDefault="00431823" w:rsidP="00431823">
      <w:pPr>
        <w:jc w:val="both"/>
        <w:rPr>
          <w:sz w:val="22"/>
          <w:szCs w:val="22"/>
        </w:rPr>
      </w:pPr>
      <w:r w:rsidRPr="00EA7E6D">
        <w:rPr>
          <w:sz w:val="22"/>
          <w:szCs w:val="22"/>
        </w:rPr>
        <w:t>Για το 2018 το ταμειακό ισοζύγιο των Οργανισμών Κοινωνικής Ασφάλισης (Ασφαλιστικά Ταμεία, Οργανισμοί Απασχόλησης, ΕΟΠΥΥ) εκτιμάται ότι θα διαμορφωθεί σε πλεόνασμα ύψους 1.</w:t>
      </w:r>
      <w:r>
        <w:rPr>
          <w:sz w:val="22"/>
          <w:szCs w:val="22"/>
        </w:rPr>
        <w:t>644</w:t>
      </w:r>
      <w:r w:rsidRPr="00EA7E6D">
        <w:rPr>
          <w:sz w:val="22"/>
          <w:szCs w:val="22"/>
        </w:rPr>
        <w:t xml:space="preserve"> εκατ. ευρώ, ενώ σε δημοσιονομική βάση αναμένεται να ανέλθει σε πλεόνασμα ύψους </w:t>
      </w:r>
      <w:r>
        <w:rPr>
          <w:sz w:val="22"/>
          <w:szCs w:val="22"/>
        </w:rPr>
        <w:t>2.177</w:t>
      </w:r>
      <w:r w:rsidRPr="00EA7E6D">
        <w:rPr>
          <w:sz w:val="22"/>
          <w:szCs w:val="22"/>
        </w:rPr>
        <w:t xml:space="preserve"> εκατ. ευρώ. Αντίστοιχα, για το έτος 2019 </w:t>
      </w:r>
      <w:r w:rsidR="008B3840">
        <w:rPr>
          <w:sz w:val="22"/>
          <w:szCs w:val="22"/>
        </w:rPr>
        <w:t>προβλέπεται</w:t>
      </w:r>
      <w:r w:rsidRPr="00EA7E6D">
        <w:rPr>
          <w:sz w:val="22"/>
          <w:szCs w:val="22"/>
        </w:rPr>
        <w:t xml:space="preserve"> σε </w:t>
      </w:r>
      <w:r>
        <w:rPr>
          <w:sz w:val="22"/>
          <w:szCs w:val="22"/>
        </w:rPr>
        <w:t>1.440</w:t>
      </w:r>
      <w:r w:rsidRPr="00EA7E6D">
        <w:rPr>
          <w:sz w:val="22"/>
          <w:szCs w:val="22"/>
        </w:rPr>
        <w:t xml:space="preserve"> εκατ. ευρώ και 1.</w:t>
      </w:r>
      <w:r>
        <w:rPr>
          <w:sz w:val="22"/>
          <w:szCs w:val="22"/>
        </w:rPr>
        <w:t>673</w:t>
      </w:r>
      <w:r w:rsidRPr="00EA7E6D">
        <w:rPr>
          <w:sz w:val="22"/>
          <w:szCs w:val="22"/>
        </w:rPr>
        <w:t xml:space="preserve"> εκατ. ευρώ (πίνακας </w:t>
      </w:r>
      <w:r w:rsidR="001528EA">
        <w:rPr>
          <w:sz w:val="22"/>
          <w:szCs w:val="22"/>
        </w:rPr>
        <w:t>3.25</w:t>
      </w:r>
      <w:r w:rsidRPr="001528EA">
        <w:rPr>
          <w:sz w:val="22"/>
          <w:szCs w:val="22"/>
        </w:rPr>
        <w:t>).</w:t>
      </w:r>
    </w:p>
    <w:p w:rsidR="00431823" w:rsidRDefault="00431823" w:rsidP="00431823">
      <w:pPr>
        <w:jc w:val="both"/>
        <w:rPr>
          <w:sz w:val="22"/>
          <w:szCs w:val="22"/>
        </w:rPr>
      </w:pPr>
    </w:p>
    <w:p w:rsidR="00431823" w:rsidRPr="005A161C" w:rsidRDefault="00431823" w:rsidP="00431823">
      <w:pPr>
        <w:jc w:val="both"/>
        <w:rPr>
          <w:rFonts w:ascii="Arial Narrow" w:hAnsi="Arial Narrow"/>
          <w:b/>
          <w:color w:val="000080"/>
          <w:szCs w:val="22"/>
        </w:rPr>
      </w:pPr>
      <w:r w:rsidRPr="005A161C">
        <w:rPr>
          <w:rFonts w:ascii="Arial Narrow" w:hAnsi="Arial Narrow"/>
          <w:b/>
          <w:color w:val="000080"/>
          <w:szCs w:val="22"/>
        </w:rPr>
        <w:t>Ασφαλιστικά Ταμεία</w:t>
      </w:r>
    </w:p>
    <w:p w:rsidR="00431823" w:rsidRDefault="00431823" w:rsidP="00431823">
      <w:pPr>
        <w:jc w:val="both"/>
        <w:rPr>
          <w:sz w:val="22"/>
          <w:szCs w:val="22"/>
        </w:rPr>
      </w:pPr>
    </w:p>
    <w:p w:rsidR="00431823" w:rsidRDefault="00431823" w:rsidP="00431823">
      <w:pPr>
        <w:contextualSpacing/>
        <w:jc w:val="both"/>
        <w:rPr>
          <w:sz w:val="22"/>
        </w:rPr>
      </w:pPr>
      <w:r w:rsidRPr="00AF11B7">
        <w:rPr>
          <w:sz w:val="22"/>
        </w:rPr>
        <w:t xml:space="preserve">Το ισοζύγιο των ασφαλιστικών ταμείων για το 2019 προβλέπεται να παρουσιάσει πλεόνασμα ύψους </w:t>
      </w:r>
      <w:r w:rsidR="0021237F">
        <w:rPr>
          <w:sz w:val="22"/>
        </w:rPr>
        <w:t>9</w:t>
      </w:r>
      <w:r w:rsidRPr="00AF11B7">
        <w:rPr>
          <w:sz w:val="22"/>
        </w:rPr>
        <w:t xml:space="preserve">10 εκατ. ευρώ, μειωμένο κατά </w:t>
      </w:r>
      <w:r w:rsidR="0021237F">
        <w:rPr>
          <w:sz w:val="22"/>
        </w:rPr>
        <w:t>344</w:t>
      </w:r>
      <w:r w:rsidRPr="00AF11B7">
        <w:rPr>
          <w:sz w:val="22"/>
        </w:rPr>
        <w:t xml:space="preserve"> εκατ. ευρώ έναντι των εκτιμήσεων για το 2018. </w:t>
      </w:r>
    </w:p>
    <w:p w:rsidR="00431823" w:rsidRPr="00AF11B7" w:rsidRDefault="00431823" w:rsidP="00431823">
      <w:pPr>
        <w:contextualSpacing/>
        <w:jc w:val="both"/>
        <w:rPr>
          <w:sz w:val="22"/>
        </w:rPr>
      </w:pPr>
    </w:p>
    <w:p w:rsidR="00431823" w:rsidRDefault="00431823" w:rsidP="00431823">
      <w:pPr>
        <w:contextualSpacing/>
        <w:jc w:val="both"/>
        <w:rPr>
          <w:sz w:val="22"/>
        </w:rPr>
      </w:pPr>
      <w:r w:rsidRPr="00AF11B7">
        <w:rPr>
          <w:sz w:val="22"/>
        </w:rPr>
        <w:t>Η μεταβολή αυτή οφείλεται κυρίως:</w:t>
      </w:r>
    </w:p>
    <w:p w:rsidR="00431823" w:rsidRPr="00AF11B7" w:rsidRDefault="00431823" w:rsidP="00431823">
      <w:pPr>
        <w:contextualSpacing/>
        <w:jc w:val="both"/>
        <w:rPr>
          <w:sz w:val="22"/>
        </w:rPr>
      </w:pPr>
    </w:p>
    <w:p w:rsidR="00431823" w:rsidRDefault="00A801FF" w:rsidP="00431823">
      <w:pPr>
        <w:pStyle w:val="af2"/>
        <w:numPr>
          <w:ilvl w:val="0"/>
          <w:numId w:val="17"/>
        </w:numPr>
        <w:spacing w:after="0" w:line="240" w:lineRule="auto"/>
        <w:ind w:left="284" w:hanging="284"/>
        <w:jc w:val="both"/>
        <w:rPr>
          <w:rFonts w:ascii="Times New Roman" w:eastAsia="Times New Roman" w:hAnsi="Times New Roman"/>
          <w:szCs w:val="24"/>
          <w:lang w:eastAsia="el-GR"/>
        </w:rPr>
      </w:pPr>
      <w:r>
        <w:rPr>
          <w:rFonts w:ascii="Times New Roman" w:eastAsia="Times New Roman" w:hAnsi="Times New Roman"/>
          <w:szCs w:val="24"/>
          <w:lang w:eastAsia="el-GR"/>
        </w:rPr>
        <w:t>Σ</w:t>
      </w:r>
      <w:r w:rsidR="00431823" w:rsidRPr="00AF11B7">
        <w:rPr>
          <w:rFonts w:ascii="Times New Roman" w:eastAsia="Times New Roman" w:hAnsi="Times New Roman"/>
          <w:szCs w:val="24"/>
          <w:lang w:eastAsia="el-GR"/>
        </w:rPr>
        <w:t xml:space="preserve">την αύξηση των ασφαλιστικών εισφορών κατά </w:t>
      </w:r>
      <w:r>
        <w:rPr>
          <w:rFonts w:ascii="Times New Roman" w:eastAsia="Times New Roman" w:hAnsi="Times New Roman"/>
          <w:szCs w:val="24"/>
          <w:lang w:eastAsia="el-GR"/>
        </w:rPr>
        <w:t>144</w:t>
      </w:r>
      <w:r w:rsidR="00431823" w:rsidRPr="00AF11B7">
        <w:rPr>
          <w:rFonts w:ascii="Times New Roman" w:eastAsia="Times New Roman" w:hAnsi="Times New Roman"/>
          <w:szCs w:val="24"/>
          <w:lang w:eastAsia="el-GR"/>
        </w:rPr>
        <w:t xml:space="preserve"> εκατ. ευρώ, κυρίως </w:t>
      </w:r>
      <w:r w:rsidR="00431823">
        <w:rPr>
          <w:rFonts w:ascii="Times New Roman" w:eastAsia="Times New Roman" w:hAnsi="Times New Roman"/>
          <w:szCs w:val="24"/>
          <w:lang w:eastAsia="el-GR"/>
        </w:rPr>
        <w:t>λόγω της αύξησης της</w:t>
      </w:r>
      <w:r w:rsidR="00431823" w:rsidRPr="00AF11B7">
        <w:rPr>
          <w:rFonts w:ascii="Times New Roman" w:eastAsia="Times New Roman" w:hAnsi="Times New Roman"/>
          <w:szCs w:val="24"/>
          <w:lang w:eastAsia="el-GR"/>
        </w:rPr>
        <w:t xml:space="preserve"> απασχόλησης</w:t>
      </w:r>
      <w:r>
        <w:rPr>
          <w:rFonts w:ascii="Times New Roman" w:eastAsia="Times New Roman" w:hAnsi="Times New Roman"/>
          <w:szCs w:val="24"/>
          <w:lang w:eastAsia="el-GR"/>
        </w:rPr>
        <w:t>. Σημειώνεται ότι παρά τη μείωση των ασφαλιστικών εισφορών των ελεύθερων επαγγελματιών τα έσοδα από εισφορές αναμένονται αυξημένα λόγω αναμενόμενης βελτίωσης των εισφορών από τους μισθωτούς.</w:t>
      </w:r>
    </w:p>
    <w:p w:rsidR="00A801FF" w:rsidRPr="00AF11B7" w:rsidRDefault="00A801FF" w:rsidP="00A801FF">
      <w:pPr>
        <w:pStyle w:val="af2"/>
        <w:spacing w:after="0" w:line="240" w:lineRule="auto"/>
        <w:ind w:left="284"/>
        <w:jc w:val="both"/>
        <w:rPr>
          <w:rFonts w:ascii="Times New Roman" w:eastAsia="Times New Roman" w:hAnsi="Times New Roman"/>
          <w:szCs w:val="24"/>
          <w:lang w:eastAsia="el-GR"/>
        </w:rPr>
      </w:pPr>
    </w:p>
    <w:p w:rsidR="00A801FF" w:rsidRPr="00A801FF" w:rsidRDefault="00A801FF" w:rsidP="00431823">
      <w:pPr>
        <w:pStyle w:val="af2"/>
        <w:numPr>
          <w:ilvl w:val="0"/>
          <w:numId w:val="17"/>
        </w:numPr>
        <w:spacing w:after="0" w:line="240" w:lineRule="auto"/>
        <w:ind w:left="284" w:hanging="284"/>
        <w:jc w:val="both"/>
      </w:pPr>
      <w:r>
        <w:rPr>
          <w:rFonts w:ascii="Times New Roman" w:eastAsia="Times New Roman" w:hAnsi="Times New Roman"/>
          <w:szCs w:val="24"/>
          <w:lang w:eastAsia="el-GR"/>
        </w:rPr>
        <w:t>Σ</w:t>
      </w:r>
      <w:r w:rsidR="00431823" w:rsidRPr="00AF11B7">
        <w:rPr>
          <w:rFonts w:ascii="Times New Roman" w:eastAsia="Times New Roman" w:hAnsi="Times New Roman"/>
          <w:szCs w:val="24"/>
          <w:lang w:eastAsia="el-GR"/>
        </w:rPr>
        <w:t xml:space="preserve">τη μείωση της </w:t>
      </w:r>
      <w:r>
        <w:rPr>
          <w:rFonts w:ascii="Times New Roman" w:eastAsia="Times New Roman" w:hAnsi="Times New Roman"/>
          <w:szCs w:val="24"/>
          <w:lang w:eastAsia="el-GR"/>
        </w:rPr>
        <w:t>συνταξιοδοτικής δαπάνης κατά 275</w:t>
      </w:r>
      <w:r w:rsidR="00431823" w:rsidRPr="00AF11B7">
        <w:rPr>
          <w:rFonts w:ascii="Times New Roman" w:eastAsia="Times New Roman" w:hAnsi="Times New Roman"/>
          <w:szCs w:val="24"/>
          <w:lang w:eastAsia="el-GR"/>
        </w:rPr>
        <w:t xml:space="preserve"> εκατ. ευρώ και ειδικότερα </w:t>
      </w:r>
      <w:r>
        <w:rPr>
          <w:rFonts w:ascii="Times New Roman" w:eastAsia="Times New Roman" w:hAnsi="Times New Roman"/>
          <w:szCs w:val="24"/>
          <w:lang w:eastAsia="el-GR"/>
        </w:rPr>
        <w:t>σ</w:t>
      </w:r>
      <w:r w:rsidR="00431823" w:rsidRPr="00AF11B7">
        <w:rPr>
          <w:rFonts w:ascii="Times New Roman" w:eastAsia="Times New Roman" w:hAnsi="Times New Roman"/>
          <w:szCs w:val="24"/>
          <w:lang w:eastAsia="el-GR"/>
        </w:rPr>
        <w:t xml:space="preserve">τη μείωση της δαπάνης </w:t>
      </w:r>
      <w:r>
        <w:rPr>
          <w:rFonts w:ascii="Times New Roman" w:eastAsia="Times New Roman" w:hAnsi="Times New Roman"/>
          <w:szCs w:val="24"/>
          <w:lang w:eastAsia="el-GR"/>
        </w:rPr>
        <w:t>για τις κύριες συντάξεις κατά 34</w:t>
      </w:r>
      <w:r w:rsidR="00431823" w:rsidRPr="00AF11B7">
        <w:rPr>
          <w:rFonts w:ascii="Times New Roman" w:eastAsia="Times New Roman" w:hAnsi="Times New Roman"/>
          <w:szCs w:val="24"/>
          <w:lang w:eastAsia="el-GR"/>
        </w:rPr>
        <w:t>8 εκατ. ευρώ</w:t>
      </w:r>
      <w:r>
        <w:rPr>
          <w:rFonts w:ascii="Times New Roman" w:eastAsia="Times New Roman" w:hAnsi="Times New Roman"/>
          <w:szCs w:val="24"/>
          <w:lang w:eastAsia="el-GR"/>
        </w:rPr>
        <w:t>, παράλληλα με την αύξηση</w:t>
      </w:r>
      <w:r w:rsidR="00431823" w:rsidRPr="00AF11B7">
        <w:rPr>
          <w:rFonts w:ascii="Times New Roman" w:eastAsia="Times New Roman" w:hAnsi="Times New Roman"/>
          <w:szCs w:val="24"/>
          <w:lang w:eastAsia="el-GR"/>
        </w:rPr>
        <w:t xml:space="preserve"> της δαπάνης για τις επικουρικές συντάξεις κατά 74 εκατ. ευρώ</w:t>
      </w:r>
      <w:r w:rsidR="00431823">
        <w:rPr>
          <w:rFonts w:ascii="Times New Roman" w:eastAsia="Times New Roman" w:hAnsi="Times New Roman"/>
          <w:szCs w:val="24"/>
          <w:lang w:eastAsia="el-GR"/>
        </w:rPr>
        <w:t xml:space="preserve">. </w:t>
      </w:r>
      <w:r w:rsidR="00431823" w:rsidRPr="00812E25">
        <w:rPr>
          <w:rFonts w:ascii="Times New Roman" w:eastAsia="Times New Roman" w:hAnsi="Times New Roman"/>
          <w:szCs w:val="24"/>
          <w:lang w:eastAsia="el-GR"/>
        </w:rPr>
        <w:t xml:space="preserve">Η αυξημένη δαπάνη για τις κύριες συντάξεις το 2018 οφείλεται κατά κύριο λόγο στην εκκαθάριση και αποπληρωμή μεγάλου αριθμού εκκρεμών αιτήσεων συνταξιοδότησης, γεγονός που </w:t>
      </w:r>
      <w:r>
        <w:rPr>
          <w:rFonts w:ascii="Times New Roman" w:eastAsia="Times New Roman" w:hAnsi="Times New Roman"/>
          <w:szCs w:val="24"/>
          <w:lang w:eastAsia="el-GR"/>
        </w:rPr>
        <w:t xml:space="preserve">συμπαρασύρει </w:t>
      </w:r>
      <w:r w:rsidRPr="00812E25">
        <w:rPr>
          <w:rFonts w:ascii="Times New Roman" w:eastAsia="Times New Roman" w:hAnsi="Times New Roman"/>
          <w:szCs w:val="24"/>
          <w:lang w:eastAsia="el-GR"/>
        </w:rPr>
        <w:t>το 2019</w:t>
      </w:r>
      <w:r>
        <w:rPr>
          <w:rFonts w:ascii="Times New Roman" w:eastAsia="Times New Roman" w:hAnsi="Times New Roman"/>
          <w:szCs w:val="24"/>
          <w:lang w:eastAsia="el-GR"/>
        </w:rPr>
        <w:t xml:space="preserve"> </w:t>
      </w:r>
      <w:r w:rsidR="00431823" w:rsidRPr="00812E25">
        <w:rPr>
          <w:rFonts w:ascii="Times New Roman" w:eastAsia="Times New Roman" w:hAnsi="Times New Roman"/>
          <w:szCs w:val="24"/>
          <w:lang w:eastAsia="el-GR"/>
        </w:rPr>
        <w:t>και τη δαπάνη για τις επικουρικές συντάξεις</w:t>
      </w:r>
      <w:r>
        <w:rPr>
          <w:rFonts w:ascii="Times New Roman" w:eastAsia="Times New Roman" w:hAnsi="Times New Roman"/>
          <w:szCs w:val="24"/>
          <w:lang w:eastAsia="el-GR"/>
        </w:rPr>
        <w:t xml:space="preserve"> λόγω εκκαθάρισης εκκρεμών αιτήσεων.</w:t>
      </w:r>
    </w:p>
    <w:p w:rsidR="00A801FF" w:rsidRPr="00A801FF" w:rsidRDefault="00A801FF" w:rsidP="00A801FF">
      <w:pPr>
        <w:pStyle w:val="af2"/>
        <w:spacing w:after="0" w:line="240" w:lineRule="auto"/>
        <w:ind w:left="284"/>
        <w:jc w:val="both"/>
      </w:pPr>
    </w:p>
    <w:p w:rsidR="00431823" w:rsidRDefault="00431823" w:rsidP="00431823">
      <w:pPr>
        <w:pStyle w:val="af2"/>
        <w:numPr>
          <w:ilvl w:val="0"/>
          <w:numId w:val="17"/>
        </w:numPr>
        <w:spacing w:after="0" w:line="240" w:lineRule="auto"/>
        <w:ind w:left="284" w:hanging="284"/>
        <w:jc w:val="both"/>
      </w:pPr>
      <w:r w:rsidRPr="00AF11B7">
        <w:rPr>
          <w:rFonts w:ascii="Times New Roman" w:eastAsia="Times New Roman" w:hAnsi="Times New Roman"/>
          <w:szCs w:val="24"/>
          <w:lang w:eastAsia="el-GR"/>
        </w:rPr>
        <w:t xml:space="preserve">στη μείωση της κρατικής χρηματοδότησης κατά </w:t>
      </w:r>
      <w:r w:rsidR="00A801FF">
        <w:rPr>
          <w:rFonts w:ascii="Times New Roman" w:eastAsia="Times New Roman" w:hAnsi="Times New Roman"/>
          <w:szCs w:val="24"/>
          <w:lang w:eastAsia="el-GR"/>
        </w:rPr>
        <w:t>935</w:t>
      </w:r>
      <w:r w:rsidRPr="00AF11B7">
        <w:rPr>
          <w:rFonts w:ascii="Times New Roman" w:eastAsia="Times New Roman" w:hAnsi="Times New Roman"/>
          <w:szCs w:val="24"/>
          <w:lang w:eastAsia="el-GR"/>
        </w:rPr>
        <w:t xml:space="preserve"> εκατ. ευρώ</w:t>
      </w:r>
      <w:r>
        <w:rPr>
          <w:rFonts w:ascii="Times New Roman" w:eastAsia="Times New Roman" w:hAnsi="Times New Roman"/>
          <w:szCs w:val="24"/>
          <w:lang w:eastAsia="el-GR"/>
        </w:rPr>
        <w:t xml:space="preserve">.  </w:t>
      </w:r>
    </w:p>
    <w:p w:rsidR="00431823" w:rsidRDefault="00431823" w:rsidP="00431823">
      <w:pPr>
        <w:contextualSpacing/>
        <w:jc w:val="both"/>
        <w:rPr>
          <w:sz w:val="22"/>
        </w:rPr>
      </w:pPr>
    </w:p>
    <w:p w:rsidR="00431823" w:rsidRPr="00DC3E9F" w:rsidRDefault="00431823" w:rsidP="00431823">
      <w:pPr>
        <w:contextualSpacing/>
        <w:jc w:val="both"/>
        <w:rPr>
          <w:sz w:val="22"/>
        </w:rPr>
      </w:pPr>
      <w:r>
        <w:rPr>
          <w:sz w:val="22"/>
        </w:rPr>
        <w:t>Μετά</w:t>
      </w:r>
      <w:r w:rsidRPr="00DC3E9F">
        <w:rPr>
          <w:sz w:val="22"/>
        </w:rPr>
        <w:t xml:space="preserve"> την πάροδο διετίας από την έναρξη λειτουργίας του ΕΦΚΑ</w:t>
      </w:r>
      <w:r>
        <w:rPr>
          <w:sz w:val="22"/>
        </w:rPr>
        <w:t>,</w:t>
      </w:r>
      <w:r w:rsidRPr="00DC3E9F">
        <w:rPr>
          <w:sz w:val="22"/>
        </w:rPr>
        <w:t xml:space="preserve"> </w:t>
      </w:r>
      <w:r>
        <w:rPr>
          <w:sz w:val="22"/>
        </w:rPr>
        <w:t xml:space="preserve">η </w:t>
      </w:r>
      <w:r w:rsidRPr="00DC3E9F">
        <w:rPr>
          <w:sz w:val="22"/>
        </w:rPr>
        <w:t>σταθεροπο</w:t>
      </w:r>
      <w:r w:rsidR="00F02DD3">
        <w:rPr>
          <w:sz w:val="22"/>
        </w:rPr>
        <w:t>ιούμενη</w:t>
      </w:r>
      <w:r w:rsidRPr="00DC3E9F">
        <w:rPr>
          <w:sz w:val="22"/>
        </w:rPr>
        <w:t xml:space="preserve"> αύξηση των εσόδων από ασφαλιστικές εισφορές σε συνδυασμό με την προβλεπόμενη μείωση της δαπάνης για τις κύριες συντάξεις</w:t>
      </w:r>
      <w:r>
        <w:rPr>
          <w:sz w:val="22"/>
        </w:rPr>
        <w:t>,</w:t>
      </w:r>
      <w:r w:rsidRPr="00DC3E9F">
        <w:rPr>
          <w:sz w:val="22"/>
        </w:rPr>
        <w:t xml:space="preserve"> παρά τη μη εφαρμογή των συνταξιοδοτικών παρεμβάσεων,</w:t>
      </w:r>
      <w:r>
        <w:rPr>
          <w:sz w:val="22"/>
        </w:rPr>
        <w:t xml:space="preserve"> επιτρέπει τη μείωση της κρατικής χρηματοδότησης</w:t>
      </w:r>
      <w:r w:rsidRPr="00DC3E9F">
        <w:rPr>
          <w:sz w:val="22"/>
        </w:rPr>
        <w:t xml:space="preserve">, </w:t>
      </w:r>
      <w:r>
        <w:rPr>
          <w:sz w:val="22"/>
        </w:rPr>
        <w:t>διασφαλίζοντας παράλληλα την ομαλή</w:t>
      </w:r>
      <w:r w:rsidRPr="00DC3E9F">
        <w:rPr>
          <w:sz w:val="22"/>
        </w:rPr>
        <w:t xml:space="preserve"> καταβολή του συνόλου των ασφαλιστικών παροχών από το ασφαλιστικό σύστημα</w:t>
      </w:r>
      <w:r>
        <w:rPr>
          <w:sz w:val="22"/>
        </w:rPr>
        <w:t>.</w:t>
      </w:r>
    </w:p>
    <w:p w:rsidR="00431823" w:rsidRPr="00F02DD3" w:rsidRDefault="00431823" w:rsidP="00431823">
      <w:pPr>
        <w:jc w:val="both"/>
        <w:rPr>
          <w:sz w:val="22"/>
          <w:szCs w:val="22"/>
        </w:rPr>
      </w:pPr>
    </w:p>
    <w:p w:rsidR="00F02DD3" w:rsidRDefault="00F02DD3" w:rsidP="00431823">
      <w:pPr>
        <w:jc w:val="both"/>
        <w:rPr>
          <w:sz w:val="22"/>
          <w:szCs w:val="22"/>
        </w:rPr>
      </w:pPr>
      <w:r w:rsidRPr="00F02DD3">
        <w:rPr>
          <w:sz w:val="22"/>
          <w:szCs w:val="22"/>
        </w:rPr>
        <w:t xml:space="preserve">Για τους παραπάνω λόγους </w:t>
      </w:r>
      <w:r>
        <w:rPr>
          <w:sz w:val="22"/>
          <w:szCs w:val="22"/>
        </w:rPr>
        <w:t>το 2019 δεν αναμένεται να μεταβιβαστούν πόροι από το ΑΚΑΓΕ στο ασφαλιστικό σύστημα.</w:t>
      </w:r>
    </w:p>
    <w:p w:rsidR="00ED0B30" w:rsidRDefault="00ED0B30" w:rsidP="00431823">
      <w:pPr>
        <w:jc w:val="both"/>
        <w:rPr>
          <w:sz w:val="22"/>
          <w:szCs w:val="22"/>
        </w:rPr>
      </w:pPr>
    </w:p>
    <w:p w:rsidR="00ED0B30" w:rsidRDefault="00ED0B30" w:rsidP="00431823">
      <w:pPr>
        <w:jc w:val="both"/>
        <w:rPr>
          <w:sz w:val="22"/>
          <w:szCs w:val="22"/>
        </w:rPr>
      </w:pPr>
    </w:p>
    <w:p w:rsidR="00ED0B30" w:rsidRDefault="00ED0B30" w:rsidP="00431823">
      <w:pPr>
        <w:jc w:val="both"/>
        <w:rPr>
          <w:sz w:val="22"/>
          <w:szCs w:val="22"/>
        </w:rPr>
      </w:pPr>
    </w:p>
    <w:p w:rsidR="00ED0B30" w:rsidRDefault="00ED0B30" w:rsidP="00431823">
      <w:pPr>
        <w:jc w:val="both"/>
        <w:rPr>
          <w:sz w:val="22"/>
          <w:szCs w:val="22"/>
        </w:rPr>
      </w:pPr>
    </w:p>
    <w:p w:rsidR="00ED0B30" w:rsidRPr="00F02DD3" w:rsidRDefault="00ED0B30" w:rsidP="00431823">
      <w:pPr>
        <w:jc w:val="both"/>
        <w:rPr>
          <w:sz w:val="22"/>
          <w:szCs w:val="22"/>
        </w:rPr>
      </w:pPr>
    </w:p>
    <w:p w:rsidR="00B472ED" w:rsidRDefault="00B472ED" w:rsidP="00736C0C">
      <w:pPr>
        <w:jc w:val="both"/>
        <w:rPr>
          <w:sz w:val="22"/>
          <w:szCs w:val="22"/>
        </w:rPr>
      </w:pPr>
    </w:p>
    <w:p w:rsidR="0040312D" w:rsidRDefault="0040312D" w:rsidP="00736C0C">
      <w:pPr>
        <w:jc w:val="both"/>
        <w:rPr>
          <w:sz w:val="22"/>
          <w:szCs w:val="22"/>
        </w:rPr>
      </w:pPr>
    </w:p>
    <w:p w:rsidR="0040312D" w:rsidRPr="00F02DD3" w:rsidRDefault="0040312D" w:rsidP="00736C0C">
      <w:pPr>
        <w:jc w:val="both"/>
        <w:rPr>
          <w:sz w:val="22"/>
          <w:szCs w:val="22"/>
        </w:rPr>
      </w:pPr>
    </w:p>
    <w:p w:rsidR="000074CC" w:rsidRDefault="000074CC" w:rsidP="00736C0C">
      <w:pPr>
        <w:jc w:val="both"/>
      </w:pPr>
    </w:p>
    <w:p w:rsidR="00B472ED" w:rsidRPr="002E57C2" w:rsidRDefault="00B472ED" w:rsidP="00736C0C">
      <w:pPr>
        <w:jc w:val="both"/>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1"/>
        <w:gridCol w:w="1787"/>
        <w:gridCol w:w="1773"/>
      </w:tblGrid>
      <w:tr w:rsidR="00736C0C" w:rsidRPr="009B0848" w:rsidTr="00FE5D7A">
        <w:trPr>
          <w:tblHeader/>
          <w:jc w:val="center"/>
        </w:trPr>
        <w:tc>
          <w:tcPr>
            <w:tcW w:w="8751" w:type="dxa"/>
            <w:gridSpan w:val="3"/>
            <w:tcBorders>
              <w:bottom w:val="nil"/>
            </w:tcBorders>
            <w:shd w:val="clear" w:color="auto" w:fill="404040"/>
          </w:tcPr>
          <w:p w:rsidR="00736C0C" w:rsidRPr="009B0848" w:rsidRDefault="00736C0C" w:rsidP="00FE5D7A">
            <w:pPr>
              <w:tabs>
                <w:tab w:val="num" w:pos="720"/>
              </w:tabs>
              <w:spacing w:before="120"/>
              <w:jc w:val="center"/>
              <w:rPr>
                <w:rFonts w:ascii="Arial Narrow" w:hAnsi="Arial Narrow"/>
                <w:b/>
                <w:color w:val="FFFFFF"/>
                <w:szCs w:val="16"/>
              </w:rPr>
            </w:pPr>
            <w:r>
              <w:rPr>
                <w:rFonts w:ascii="Arial Narrow" w:hAnsi="Arial Narrow"/>
                <w:b/>
                <w:color w:val="FFFFFF"/>
                <w:szCs w:val="16"/>
              </w:rPr>
              <w:t xml:space="preserve">Πίνακας </w:t>
            </w:r>
            <w:r w:rsidR="007248D6">
              <w:rPr>
                <w:rFonts w:ascii="Arial Narrow" w:hAnsi="Arial Narrow"/>
                <w:b/>
                <w:color w:val="FFFFFF"/>
                <w:szCs w:val="16"/>
              </w:rPr>
              <w:t>3</w:t>
            </w:r>
            <w:r w:rsidR="001528EA">
              <w:rPr>
                <w:rFonts w:ascii="Arial Narrow" w:hAnsi="Arial Narrow"/>
                <w:b/>
                <w:color w:val="FFFFFF"/>
                <w:szCs w:val="16"/>
              </w:rPr>
              <w:t>.26</w:t>
            </w:r>
            <w:r w:rsidRPr="009B0848">
              <w:rPr>
                <w:rFonts w:ascii="Arial Narrow" w:hAnsi="Arial Narrow"/>
                <w:b/>
                <w:color w:val="FFFFFF"/>
                <w:szCs w:val="16"/>
              </w:rPr>
              <w:t xml:space="preserve"> Προϋπολογισμοί φορέων κοινωνικής ασφάλισης </w:t>
            </w:r>
          </w:p>
          <w:p w:rsidR="00736C0C" w:rsidRPr="009B0848" w:rsidRDefault="00736C0C" w:rsidP="00FE5D7A">
            <w:pPr>
              <w:tabs>
                <w:tab w:val="num" w:pos="720"/>
              </w:tabs>
              <w:spacing w:after="120"/>
              <w:jc w:val="center"/>
              <w:rPr>
                <w:rFonts w:ascii="Arial Narrow" w:hAnsi="Arial Narrow"/>
                <w:b/>
                <w:color w:val="FFFFFF"/>
                <w:szCs w:val="16"/>
              </w:rPr>
            </w:pPr>
            <w:r w:rsidRPr="009B0848">
              <w:rPr>
                <w:rFonts w:ascii="Arial Narrow" w:hAnsi="Arial Narrow"/>
                <w:b/>
                <w:color w:val="FFFFFF"/>
                <w:szCs w:val="16"/>
              </w:rPr>
              <w:t>(σε εκατ. ευρώ)</w:t>
            </w:r>
          </w:p>
        </w:tc>
      </w:tr>
      <w:tr w:rsidR="00736C0C" w:rsidRPr="00E91600" w:rsidTr="00FE5D7A">
        <w:trPr>
          <w:trHeight w:val="170"/>
          <w:tblHeader/>
          <w:jc w:val="center"/>
        </w:trPr>
        <w:tc>
          <w:tcPr>
            <w:tcW w:w="8751" w:type="dxa"/>
            <w:gridSpan w:val="3"/>
            <w:tcBorders>
              <w:top w:val="nil"/>
            </w:tcBorders>
          </w:tcPr>
          <w:p w:rsidR="00736C0C" w:rsidRPr="00E91600" w:rsidRDefault="00736C0C" w:rsidP="00FE5D7A">
            <w:pPr>
              <w:tabs>
                <w:tab w:val="num" w:pos="720"/>
              </w:tabs>
              <w:jc w:val="center"/>
              <w:rPr>
                <w:rFonts w:ascii="Arial Narrow" w:hAnsi="Arial Narrow"/>
                <w:b/>
                <w:sz w:val="16"/>
                <w:szCs w:val="16"/>
              </w:rPr>
            </w:pPr>
          </w:p>
        </w:tc>
      </w:tr>
      <w:tr w:rsidR="00736C0C" w:rsidRPr="009B0848" w:rsidTr="00FE5D7A">
        <w:trPr>
          <w:tblHeader/>
          <w:jc w:val="center"/>
        </w:trPr>
        <w:tc>
          <w:tcPr>
            <w:tcW w:w="5191" w:type="dxa"/>
            <w:tcBorders>
              <w:bottom w:val="single" w:sz="4" w:space="0" w:color="auto"/>
            </w:tcBorders>
          </w:tcPr>
          <w:p w:rsidR="00736C0C" w:rsidRPr="009B0848" w:rsidRDefault="00736C0C" w:rsidP="00FE5D7A">
            <w:pPr>
              <w:tabs>
                <w:tab w:val="num" w:pos="720"/>
              </w:tabs>
              <w:jc w:val="center"/>
              <w:rPr>
                <w:rFonts w:ascii="Arial Narrow" w:hAnsi="Arial Narrow"/>
                <w:b/>
                <w:sz w:val="16"/>
                <w:szCs w:val="16"/>
              </w:rPr>
            </w:pPr>
          </w:p>
        </w:tc>
        <w:tc>
          <w:tcPr>
            <w:tcW w:w="1787" w:type="dxa"/>
            <w:tcBorders>
              <w:bottom w:val="single" w:sz="4" w:space="0" w:color="auto"/>
            </w:tcBorders>
          </w:tcPr>
          <w:p w:rsidR="00736C0C" w:rsidRPr="009B0848" w:rsidRDefault="00736C0C" w:rsidP="00FE5D7A">
            <w:pPr>
              <w:tabs>
                <w:tab w:val="num" w:pos="720"/>
              </w:tabs>
              <w:jc w:val="center"/>
              <w:rPr>
                <w:rFonts w:ascii="Arial Narrow" w:hAnsi="Arial Narrow"/>
                <w:b/>
                <w:sz w:val="16"/>
                <w:szCs w:val="16"/>
              </w:rPr>
            </w:pPr>
            <w:r>
              <w:rPr>
                <w:rFonts w:ascii="Arial Narrow" w:hAnsi="Arial Narrow"/>
                <w:b/>
                <w:sz w:val="16"/>
                <w:szCs w:val="16"/>
              </w:rPr>
              <w:t>2018</w:t>
            </w:r>
          </w:p>
          <w:p w:rsidR="00736C0C" w:rsidRPr="009B0848" w:rsidRDefault="00736C0C" w:rsidP="00FE5D7A">
            <w:pPr>
              <w:tabs>
                <w:tab w:val="num" w:pos="720"/>
              </w:tabs>
              <w:jc w:val="center"/>
              <w:rPr>
                <w:rFonts w:ascii="Arial Narrow" w:hAnsi="Arial Narrow"/>
                <w:b/>
                <w:sz w:val="16"/>
                <w:szCs w:val="16"/>
              </w:rPr>
            </w:pPr>
            <w:r w:rsidRPr="009B0848">
              <w:rPr>
                <w:rFonts w:ascii="Arial Narrow" w:hAnsi="Arial Narrow"/>
                <w:b/>
                <w:sz w:val="16"/>
                <w:szCs w:val="16"/>
              </w:rPr>
              <w:t>Εκτιμήσεις</w:t>
            </w:r>
          </w:p>
        </w:tc>
        <w:tc>
          <w:tcPr>
            <w:tcW w:w="1773" w:type="dxa"/>
            <w:tcBorders>
              <w:bottom w:val="single" w:sz="4" w:space="0" w:color="auto"/>
            </w:tcBorders>
          </w:tcPr>
          <w:p w:rsidR="00736C0C" w:rsidRPr="009B0848" w:rsidRDefault="00736C0C" w:rsidP="00FE5D7A">
            <w:pPr>
              <w:tabs>
                <w:tab w:val="num" w:pos="720"/>
              </w:tabs>
              <w:jc w:val="center"/>
              <w:rPr>
                <w:rFonts w:ascii="Arial Narrow" w:hAnsi="Arial Narrow"/>
                <w:b/>
                <w:sz w:val="16"/>
                <w:szCs w:val="16"/>
              </w:rPr>
            </w:pPr>
            <w:r>
              <w:rPr>
                <w:rFonts w:ascii="Arial Narrow" w:hAnsi="Arial Narrow"/>
                <w:b/>
                <w:sz w:val="16"/>
                <w:szCs w:val="16"/>
              </w:rPr>
              <w:t>2019</w:t>
            </w:r>
          </w:p>
          <w:p w:rsidR="00736C0C" w:rsidRPr="009B0848" w:rsidRDefault="00736C0C" w:rsidP="00FE5D7A">
            <w:pPr>
              <w:tabs>
                <w:tab w:val="num" w:pos="720"/>
              </w:tabs>
              <w:jc w:val="center"/>
              <w:rPr>
                <w:rFonts w:ascii="Arial Narrow" w:hAnsi="Arial Narrow"/>
                <w:b/>
                <w:sz w:val="16"/>
                <w:szCs w:val="16"/>
              </w:rPr>
            </w:pPr>
            <w:r w:rsidRPr="009B0848">
              <w:rPr>
                <w:rFonts w:ascii="Arial Narrow" w:hAnsi="Arial Narrow"/>
                <w:b/>
                <w:sz w:val="16"/>
                <w:szCs w:val="16"/>
              </w:rPr>
              <w:t>Προβλέψεις</w:t>
            </w:r>
          </w:p>
        </w:tc>
      </w:tr>
      <w:tr w:rsidR="00736C0C" w:rsidRPr="009B0848" w:rsidTr="007248D6">
        <w:trPr>
          <w:jc w:val="center"/>
        </w:trPr>
        <w:tc>
          <w:tcPr>
            <w:tcW w:w="5191" w:type="dxa"/>
            <w:tcBorders>
              <w:bottom w:val="nil"/>
              <w:right w:val="nil"/>
            </w:tcBorders>
            <w:shd w:val="clear" w:color="auto" w:fill="BFBFBF" w:themeFill="background1" w:themeFillShade="BF"/>
          </w:tcPr>
          <w:p w:rsidR="00736C0C" w:rsidRPr="009B0848" w:rsidRDefault="00736C0C" w:rsidP="00FE5D7A">
            <w:pPr>
              <w:tabs>
                <w:tab w:val="num" w:pos="720"/>
              </w:tabs>
              <w:spacing w:line="235" w:lineRule="auto"/>
              <w:rPr>
                <w:rFonts w:ascii="Arial Narrow" w:hAnsi="Arial Narrow"/>
                <w:b/>
                <w:sz w:val="16"/>
                <w:szCs w:val="16"/>
              </w:rPr>
            </w:pPr>
            <w:r w:rsidRPr="009B0848">
              <w:rPr>
                <w:rFonts w:ascii="Arial Narrow" w:hAnsi="Arial Narrow"/>
                <w:b/>
                <w:sz w:val="16"/>
                <w:szCs w:val="16"/>
              </w:rPr>
              <w:t>Φορείς κοινωνικής ασφάλισης</w:t>
            </w:r>
          </w:p>
        </w:tc>
        <w:tc>
          <w:tcPr>
            <w:tcW w:w="1787" w:type="dxa"/>
            <w:tcBorders>
              <w:left w:val="nil"/>
              <w:bottom w:val="nil"/>
              <w:right w:val="nil"/>
            </w:tcBorders>
            <w:shd w:val="clear" w:color="auto" w:fill="BFBFBF" w:themeFill="background1" w:themeFillShade="BF"/>
            <w:vAlign w:val="center"/>
          </w:tcPr>
          <w:p w:rsidR="00736C0C" w:rsidRPr="00F74488" w:rsidRDefault="00736C0C" w:rsidP="00FE5D7A">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c>
          <w:tcPr>
            <w:tcW w:w="1773" w:type="dxa"/>
            <w:tcBorders>
              <w:left w:val="nil"/>
              <w:bottom w:val="nil"/>
            </w:tcBorders>
            <w:shd w:val="clear" w:color="auto" w:fill="BFBFBF" w:themeFill="background1" w:themeFillShade="BF"/>
            <w:vAlign w:val="center"/>
          </w:tcPr>
          <w:p w:rsidR="00736C0C" w:rsidRPr="00F74488" w:rsidRDefault="00736C0C" w:rsidP="00FE5D7A">
            <w:pPr>
              <w:spacing w:line="235" w:lineRule="auto"/>
              <w:ind w:right="567"/>
              <w:jc w:val="right"/>
              <w:rPr>
                <w:rFonts w:ascii="Arial Narrow" w:hAnsi="Arial Narrow"/>
                <w:b/>
                <w:bCs/>
                <w:sz w:val="16"/>
                <w:szCs w:val="16"/>
              </w:rPr>
            </w:pPr>
            <w:r w:rsidRPr="00F74488">
              <w:rPr>
                <w:rFonts w:ascii="Arial Narrow" w:hAnsi="Arial Narrow"/>
                <w:b/>
                <w:bCs/>
                <w:sz w:val="16"/>
                <w:szCs w:val="16"/>
              </w:rPr>
              <w:t> </w:t>
            </w:r>
          </w:p>
        </w:tc>
      </w:tr>
      <w:tr w:rsidR="00736C0C" w:rsidRPr="009B0848" w:rsidTr="00FE5D7A">
        <w:trPr>
          <w:jc w:val="center"/>
        </w:trPr>
        <w:tc>
          <w:tcPr>
            <w:tcW w:w="5191" w:type="dxa"/>
            <w:tcBorders>
              <w:top w:val="nil"/>
              <w:bottom w:val="nil"/>
              <w:right w:val="nil"/>
            </w:tcBorders>
          </w:tcPr>
          <w:p w:rsidR="00736C0C" w:rsidRPr="009B0848" w:rsidRDefault="00736C0C" w:rsidP="00FE5D7A">
            <w:pPr>
              <w:spacing w:line="235" w:lineRule="auto"/>
              <w:rPr>
                <w:rFonts w:ascii="Arial Narrow" w:hAnsi="Arial Narrow"/>
                <w:sz w:val="16"/>
                <w:szCs w:val="16"/>
              </w:rPr>
            </w:pPr>
            <w:r w:rsidRPr="009B0848">
              <w:rPr>
                <w:rFonts w:ascii="Arial Narrow" w:hAnsi="Arial Narrow"/>
                <w:sz w:val="16"/>
                <w:szCs w:val="16"/>
              </w:rPr>
              <w:t xml:space="preserve">α) </w:t>
            </w:r>
            <w:r>
              <w:rPr>
                <w:rFonts w:ascii="Arial Narrow" w:hAnsi="Arial Narrow"/>
                <w:sz w:val="16"/>
                <w:szCs w:val="16"/>
              </w:rPr>
              <w:t>Ασφαλιστικά Ταμεία</w:t>
            </w:r>
          </w:p>
        </w:tc>
        <w:tc>
          <w:tcPr>
            <w:tcW w:w="1787" w:type="dxa"/>
            <w:tcBorders>
              <w:top w:val="nil"/>
              <w:left w:val="nil"/>
              <w:bottom w:val="nil"/>
              <w:right w:val="nil"/>
            </w:tcBorders>
            <w:vAlign w:val="center"/>
          </w:tcPr>
          <w:p w:rsidR="00736C0C" w:rsidRPr="00F74488" w:rsidRDefault="00736C0C" w:rsidP="00FE5D7A">
            <w:pPr>
              <w:spacing w:line="235" w:lineRule="auto"/>
              <w:ind w:right="567"/>
              <w:jc w:val="right"/>
              <w:rPr>
                <w:rFonts w:ascii="Arial Narrow" w:hAnsi="Arial Narrow"/>
                <w:sz w:val="16"/>
                <w:szCs w:val="16"/>
              </w:rPr>
            </w:pPr>
            <w:r w:rsidRPr="00F74488">
              <w:rPr>
                <w:rFonts w:ascii="Arial Narrow" w:hAnsi="Arial Narrow"/>
                <w:sz w:val="16"/>
                <w:szCs w:val="16"/>
              </w:rPr>
              <w:t> </w:t>
            </w:r>
          </w:p>
        </w:tc>
        <w:tc>
          <w:tcPr>
            <w:tcW w:w="1773" w:type="dxa"/>
            <w:tcBorders>
              <w:top w:val="nil"/>
              <w:left w:val="nil"/>
              <w:bottom w:val="nil"/>
            </w:tcBorders>
            <w:vAlign w:val="center"/>
          </w:tcPr>
          <w:p w:rsidR="00736C0C" w:rsidRPr="00F74488" w:rsidRDefault="00736C0C" w:rsidP="00FE5D7A">
            <w:pPr>
              <w:spacing w:line="235" w:lineRule="auto"/>
              <w:ind w:right="567"/>
              <w:jc w:val="right"/>
              <w:rPr>
                <w:rFonts w:ascii="Arial Narrow" w:hAnsi="Arial Narrow"/>
                <w:sz w:val="16"/>
                <w:szCs w:val="16"/>
              </w:rPr>
            </w:pPr>
            <w:r w:rsidRPr="00F74488">
              <w:rPr>
                <w:rFonts w:ascii="Arial Narrow" w:hAnsi="Arial Narrow"/>
                <w:sz w:val="16"/>
                <w:szCs w:val="16"/>
              </w:rPr>
              <w:t> </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b/>
                <w:bCs/>
                <w:sz w:val="16"/>
                <w:szCs w:val="16"/>
              </w:rPr>
            </w:pPr>
            <w:r w:rsidRPr="009B0848">
              <w:rPr>
                <w:rFonts w:ascii="Arial Narrow" w:hAnsi="Arial Narrow"/>
                <w:b/>
                <w:bCs/>
                <w:sz w:val="16"/>
                <w:szCs w:val="16"/>
              </w:rPr>
              <w:t>Έσοδα</w:t>
            </w:r>
          </w:p>
        </w:tc>
        <w:tc>
          <w:tcPr>
            <w:tcW w:w="1787" w:type="dxa"/>
            <w:tcBorders>
              <w:top w:val="nil"/>
              <w:left w:val="nil"/>
              <w:bottom w:val="nil"/>
              <w:right w:val="nil"/>
            </w:tcBorders>
            <w:vAlign w:val="center"/>
          </w:tcPr>
          <w:p w:rsidR="00004244" w:rsidRPr="001528EA" w:rsidRDefault="00004244" w:rsidP="00004244">
            <w:pPr>
              <w:ind w:right="567"/>
              <w:jc w:val="right"/>
              <w:rPr>
                <w:rFonts w:ascii="Arial Narrow" w:hAnsi="Arial Narrow"/>
                <w:b/>
                <w:bCs/>
                <w:sz w:val="16"/>
                <w:szCs w:val="16"/>
              </w:rPr>
            </w:pPr>
            <w:r w:rsidRPr="001528EA">
              <w:rPr>
                <w:rFonts w:ascii="Arial Narrow" w:hAnsi="Arial Narrow"/>
                <w:b/>
                <w:bCs/>
                <w:sz w:val="16"/>
                <w:szCs w:val="16"/>
              </w:rPr>
              <w:t>44.154</w:t>
            </w:r>
          </w:p>
        </w:tc>
        <w:tc>
          <w:tcPr>
            <w:tcW w:w="1773" w:type="dxa"/>
            <w:tcBorders>
              <w:top w:val="nil"/>
              <w:left w:val="nil"/>
              <w:bottom w:val="nil"/>
            </w:tcBorders>
            <w:vAlign w:val="center"/>
          </w:tcPr>
          <w:p w:rsidR="00004244" w:rsidRPr="001528EA" w:rsidRDefault="00004244" w:rsidP="00004244">
            <w:pPr>
              <w:ind w:right="567"/>
              <w:jc w:val="right"/>
              <w:rPr>
                <w:rFonts w:ascii="Arial Narrow" w:hAnsi="Arial Narrow"/>
                <w:b/>
                <w:bCs/>
                <w:sz w:val="16"/>
                <w:szCs w:val="16"/>
              </w:rPr>
            </w:pPr>
            <w:r w:rsidRPr="00004244">
              <w:rPr>
                <w:rFonts w:ascii="Arial Narrow" w:hAnsi="Arial Narrow"/>
                <w:b/>
                <w:bCs/>
                <w:sz w:val="16"/>
                <w:szCs w:val="16"/>
              </w:rPr>
              <w:t>42.</w:t>
            </w:r>
            <w:r w:rsidRPr="001528EA">
              <w:rPr>
                <w:rFonts w:ascii="Arial Narrow" w:hAnsi="Arial Narrow"/>
                <w:b/>
                <w:bCs/>
                <w:sz w:val="16"/>
                <w:szCs w:val="16"/>
              </w:rPr>
              <w:t>755</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Ασφαλιστικές εισφορές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13.</w:t>
            </w:r>
            <w:r w:rsidRPr="00004244">
              <w:rPr>
                <w:rFonts w:ascii="Arial Narrow" w:hAnsi="Arial Narrow"/>
                <w:sz w:val="16"/>
                <w:szCs w:val="16"/>
                <w:lang w:val="en-US"/>
              </w:rPr>
              <w:t>477</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13.6</w:t>
            </w:r>
            <w:r w:rsidRPr="00004244">
              <w:rPr>
                <w:rFonts w:ascii="Arial Narrow" w:hAnsi="Arial Narrow"/>
                <w:sz w:val="16"/>
                <w:szCs w:val="16"/>
                <w:lang w:val="en-US"/>
              </w:rPr>
              <w:t>90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Ρύθμιση οφειλών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1.1</w:t>
            </w:r>
            <w:r w:rsidRPr="00004244">
              <w:rPr>
                <w:rFonts w:ascii="Arial Narrow" w:hAnsi="Arial Narrow"/>
                <w:sz w:val="16"/>
                <w:szCs w:val="16"/>
                <w:lang w:val="en-US"/>
              </w:rPr>
              <w:t>78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1.109</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Μεταβιβάσεις από ΑΚΑΓΕ</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395</w:t>
            </w:r>
          </w:p>
        </w:tc>
        <w:tc>
          <w:tcPr>
            <w:tcW w:w="1773" w:type="dxa"/>
            <w:tcBorders>
              <w:top w:val="nil"/>
              <w:left w:val="nil"/>
              <w:bottom w:val="nil"/>
            </w:tcBorders>
            <w:vAlign w:val="center"/>
          </w:tcPr>
          <w:p w:rsidR="00004244" w:rsidRPr="00004244" w:rsidRDefault="0021237F" w:rsidP="00004244">
            <w:pPr>
              <w:ind w:right="567"/>
              <w:jc w:val="right"/>
              <w:rPr>
                <w:rFonts w:ascii="Arial Narrow" w:hAnsi="Arial Narrow"/>
                <w:sz w:val="16"/>
                <w:szCs w:val="16"/>
              </w:rPr>
            </w:pPr>
            <w:r>
              <w:rPr>
                <w:rFonts w:ascii="Arial Narrow" w:hAnsi="Arial Narrow"/>
                <w:sz w:val="16"/>
                <w:szCs w:val="16"/>
              </w:rPr>
              <w:t>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Κοινωνικοί πόροι</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677</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694</w:t>
            </w:r>
          </w:p>
        </w:tc>
      </w:tr>
      <w:tr w:rsidR="00004244" w:rsidRPr="009B0848" w:rsidTr="00FE5D7A">
        <w:trPr>
          <w:jc w:val="center"/>
        </w:trPr>
        <w:tc>
          <w:tcPr>
            <w:tcW w:w="5191" w:type="dxa"/>
            <w:tcBorders>
              <w:top w:val="nil"/>
              <w:bottom w:val="nil"/>
              <w:right w:val="nil"/>
            </w:tcBorders>
          </w:tcPr>
          <w:p w:rsidR="00004244" w:rsidRPr="00ED0B30" w:rsidRDefault="00004244" w:rsidP="00FE5D7A">
            <w:pPr>
              <w:spacing w:line="235" w:lineRule="auto"/>
              <w:rPr>
                <w:rFonts w:ascii="Arial Narrow" w:hAnsi="Arial Narrow"/>
                <w:sz w:val="16"/>
                <w:szCs w:val="16"/>
                <w:vertAlign w:val="superscript"/>
              </w:rPr>
            </w:pPr>
            <w:r w:rsidRPr="009B0848">
              <w:rPr>
                <w:rFonts w:ascii="Arial Narrow" w:hAnsi="Arial Narrow"/>
                <w:sz w:val="16"/>
                <w:szCs w:val="16"/>
              </w:rPr>
              <w:t>Μεταβιβάσεις από τακτικό προϋπολογισμό</w:t>
            </w:r>
            <w:r>
              <w:rPr>
                <w:rFonts w:ascii="Arial Narrow" w:hAnsi="Arial Narrow"/>
                <w:sz w:val="16"/>
                <w:szCs w:val="16"/>
                <w:vertAlign w:val="superscript"/>
              </w:rPr>
              <w:t>(1)</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lang w:val="en-US"/>
              </w:rPr>
              <w:t>14.790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13.</w:t>
            </w:r>
            <w:r w:rsidRPr="00004244">
              <w:rPr>
                <w:rFonts w:ascii="Arial Narrow" w:hAnsi="Arial Narrow"/>
                <w:sz w:val="16"/>
                <w:szCs w:val="16"/>
                <w:lang w:val="en-US"/>
              </w:rPr>
              <w:t>855</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Pr>
                <w:rFonts w:ascii="Arial Narrow" w:hAnsi="Arial Narrow"/>
                <w:sz w:val="16"/>
                <w:szCs w:val="16"/>
              </w:rPr>
              <w:t>Αντικρι</w:t>
            </w:r>
            <w:r w:rsidRPr="009B0848">
              <w:rPr>
                <w:rFonts w:ascii="Arial Narrow" w:hAnsi="Arial Narrow"/>
                <w:sz w:val="16"/>
                <w:szCs w:val="16"/>
              </w:rPr>
              <w:t>ζόμενα έσοδα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Απόδοση περιουσίας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1.149</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1.149</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Εισπράξεις υπέρ Δημοσίου και τρίτων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12.</w:t>
            </w:r>
            <w:r w:rsidRPr="00004244">
              <w:rPr>
                <w:rFonts w:ascii="Arial Narrow" w:hAnsi="Arial Narrow"/>
                <w:sz w:val="16"/>
                <w:szCs w:val="16"/>
                <w:lang w:val="en-US"/>
              </w:rPr>
              <w:t>282</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12.063</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Λοιπά έσοδα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lang w:val="en-US"/>
              </w:rPr>
              <w:t>20</w:t>
            </w:r>
            <w:r w:rsidRPr="00004244">
              <w:rPr>
                <w:rFonts w:ascii="Arial Narrow" w:hAnsi="Arial Narrow"/>
                <w:sz w:val="16"/>
                <w:szCs w:val="16"/>
              </w:rPr>
              <w:t>6</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196</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b/>
                <w:bCs/>
                <w:sz w:val="16"/>
                <w:szCs w:val="16"/>
              </w:rPr>
            </w:pPr>
            <w:r w:rsidRPr="009B0848">
              <w:rPr>
                <w:rFonts w:ascii="Arial Narrow" w:hAnsi="Arial Narrow"/>
                <w:b/>
                <w:bCs/>
                <w:sz w:val="16"/>
                <w:szCs w:val="16"/>
              </w:rPr>
              <w:t>Έξοδα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42.</w:t>
            </w:r>
            <w:r w:rsidRPr="00004244">
              <w:rPr>
                <w:rFonts w:ascii="Arial Narrow" w:hAnsi="Arial Narrow"/>
                <w:b/>
                <w:bCs/>
                <w:sz w:val="16"/>
                <w:szCs w:val="16"/>
                <w:lang w:val="en-US"/>
              </w:rPr>
              <w:t>900</w:t>
            </w:r>
          </w:p>
        </w:tc>
        <w:tc>
          <w:tcPr>
            <w:tcW w:w="1773" w:type="dxa"/>
            <w:tcBorders>
              <w:top w:val="nil"/>
              <w:left w:val="nil"/>
              <w:bottom w:val="nil"/>
            </w:tcBorders>
            <w:vAlign w:val="center"/>
          </w:tcPr>
          <w:p w:rsidR="00004244" w:rsidRPr="00200DDE" w:rsidRDefault="00004244" w:rsidP="00004244">
            <w:pPr>
              <w:ind w:right="567"/>
              <w:jc w:val="right"/>
              <w:rPr>
                <w:rFonts w:ascii="Arial Narrow" w:hAnsi="Arial Narrow"/>
                <w:b/>
                <w:bCs/>
                <w:sz w:val="16"/>
                <w:szCs w:val="16"/>
                <w:lang w:val="en-US"/>
              </w:rPr>
            </w:pPr>
            <w:r w:rsidRPr="00200DDE">
              <w:rPr>
                <w:rFonts w:ascii="Arial Narrow" w:hAnsi="Arial Narrow"/>
                <w:b/>
                <w:bCs/>
                <w:sz w:val="16"/>
                <w:szCs w:val="16"/>
              </w:rPr>
              <w:t>41.8</w:t>
            </w:r>
            <w:r w:rsidRPr="00200DDE">
              <w:rPr>
                <w:rFonts w:ascii="Arial Narrow" w:hAnsi="Arial Narrow"/>
                <w:b/>
                <w:bCs/>
                <w:sz w:val="16"/>
                <w:szCs w:val="16"/>
                <w:lang w:val="en-US"/>
              </w:rPr>
              <w:t>54</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Συντάξεις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28.</w:t>
            </w:r>
            <w:r w:rsidRPr="00004244">
              <w:rPr>
                <w:rFonts w:ascii="Arial Narrow" w:hAnsi="Arial Narrow"/>
                <w:sz w:val="16"/>
                <w:szCs w:val="16"/>
                <w:lang w:val="en-US"/>
              </w:rPr>
              <w:t>662</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28.387</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i/>
                <w:iCs/>
                <w:sz w:val="16"/>
                <w:szCs w:val="16"/>
              </w:rPr>
            </w:pPr>
            <w:r w:rsidRPr="009B0848">
              <w:rPr>
                <w:rFonts w:ascii="Arial Narrow" w:hAnsi="Arial Narrow"/>
                <w:i/>
                <w:iCs/>
                <w:sz w:val="16"/>
                <w:szCs w:val="16"/>
              </w:rPr>
              <w:t xml:space="preserve">    Κύριας ασφάλισης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25.</w:t>
            </w:r>
            <w:r w:rsidRPr="00004244">
              <w:rPr>
                <w:rFonts w:ascii="Arial Narrow" w:hAnsi="Arial Narrow"/>
                <w:sz w:val="16"/>
                <w:szCs w:val="16"/>
                <w:lang w:val="en-US"/>
              </w:rPr>
              <w:t>275</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24.927</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i/>
                <w:iCs/>
                <w:sz w:val="16"/>
                <w:szCs w:val="16"/>
              </w:rPr>
            </w:pPr>
            <w:r w:rsidRPr="009B0848">
              <w:rPr>
                <w:rFonts w:ascii="Arial Narrow" w:hAnsi="Arial Narrow"/>
                <w:i/>
                <w:iCs/>
                <w:sz w:val="16"/>
                <w:szCs w:val="16"/>
              </w:rPr>
              <w:t xml:space="preserve">    Επικουρικής ασφάλισης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3.387</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3.461</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Λοιπές παροχές ασθένειας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204</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205</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Προνοιακές παροχές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680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658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Λοιπές μεταβιβάσεις σε τρίτους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lang w:val="en-US"/>
              </w:rPr>
              <w:t>444</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25</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Απόδοση εισπράξεων τρίτων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12.</w:t>
            </w:r>
            <w:r w:rsidRPr="00004244">
              <w:rPr>
                <w:rFonts w:ascii="Arial Narrow" w:hAnsi="Arial Narrow"/>
                <w:sz w:val="16"/>
                <w:szCs w:val="16"/>
                <w:lang w:val="en-US"/>
              </w:rPr>
              <w:t>282</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12.063</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Λοιπές δαπάνες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421</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lang w:val="en-US"/>
              </w:rPr>
              <w:t>305</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20</w:t>
            </w:r>
            <w:r w:rsidRPr="00004244">
              <w:rPr>
                <w:rFonts w:ascii="Arial Narrow" w:hAnsi="Arial Narrow"/>
                <w:sz w:val="16"/>
                <w:szCs w:val="16"/>
                <w:lang w:val="en-US"/>
              </w:rPr>
              <w:t>7</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lang w:val="en-US"/>
              </w:rPr>
              <w:t>211</w:t>
            </w:r>
          </w:p>
        </w:tc>
      </w:tr>
      <w:tr w:rsidR="00004244" w:rsidRPr="00DC3481" w:rsidTr="00FE5D7A">
        <w:trPr>
          <w:jc w:val="center"/>
        </w:trPr>
        <w:tc>
          <w:tcPr>
            <w:tcW w:w="5191" w:type="dxa"/>
            <w:tcBorders>
              <w:top w:val="nil"/>
              <w:bottom w:val="nil"/>
              <w:right w:val="nil"/>
            </w:tcBorders>
            <w:shd w:val="clear" w:color="auto" w:fill="D9D9D9" w:themeFill="background1" w:themeFillShade="D9"/>
          </w:tcPr>
          <w:p w:rsidR="00004244" w:rsidRPr="00DC3481" w:rsidRDefault="00004244" w:rsidP="00FE5D7A">
            <w:pPr>
              <w:spacing w:line="235" w:lineRule="auto"/>
              <w:rPr>
                <w:rFonts w:ascii="Arial Narrow" w:hAnsi="Arial Narrow"/>
                <w:b/>
                <w:sz w:val="16"/>
                <w:szCs w:val="16"/>
              </w:rPr>
            </w:pPr>
            <w:r w:rsidRPr="00DC3481">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lang w:val="en-US"/>
              </w:rPr>
              <w:t>1.254</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lang w:val="en-US"/>
              </w:rPr>
              <w:t>9</w:t>
            </w:r>
            <w:r w:rsidRPr="00004244">
              <w:rPr>
                <w:rFonts w:ascii="Arial Narrow" w:hAnsi="Arial Narrow"/>
                <w:b/>
                <w:bCs/>
                <w:sz w:val="16"/>
                <w:szCs w:val="16"/>
              </w:rPr>
              <w:t>01</w:t>
            </w:r>
          </w:p>
        </w:tc>
      </w:tr>
      <w:tr w:rsidR="00004244" w:rsidRPr="00DC3481" w:rsidTr="00FE5D7A">
        <w:trPr>
          <w:jc w:val="center"/>
        </w:trPr>
        <w:tc>
          <w:tcPr>
            <w:tcW w:w="5191" w:type="dxa"/>
            <w:tcBorders>
              <w:top w:val="nil"/>
              <w:bottom w:val="nil"/>
              <w:right w:val="nil"/>
            </w:tcBorders>
            <w:shd w:val="clear" w:color="auto" w:fill="D9D9D9" w:themeFill="background1" w:themeFillShade="D9"/>
          </w:tcPr>
          <w:p w:rsidR="00004244" w:rsidRPr="00DC3481" w:rsidRDefault="00004244" w:rsidP="00FE5D7A">
            <w:pPr>
              <w:spacing w:line="235" w:lineRule="auto"/>
              <w:rPr>
                <w:rFonts w:ascii="Arial Narrow" w:hAnsi="Arial Narrow"/>
                <w:b/>
                <w:sz w:val="16"/>
                <w:szCs w:val="16"/>
              </w:rPr>
            </w:pPr>
            <w:r w:rsidRPr="00DC3481">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9</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5774C4" w:rsidRDefault="00004244" w:rsidP="00FE5D7A">
            <w:pPr>
              <w:spacing w:line="235" w:lineRule="auto"/>
              <w:rPr>
                <w:rFonts w:ascii="Arial Narrow" w:hAnsi="Arial Narrow"/>
                <w:b/>
                <w:bCs/>
                <w:sz w:val="16"/>
                <w:szCs w:val="16"/>
              </w:rPr>
            </w:pPr>
            <w:r w:rsidRPr="009B0848">
              <w:rPr>
                <w:rFonts w:ascii="Arial Narrow" w:hAnsi="Arial Narrow"/>
                <w:b/>
                <w:bCs/>
                <w:sz w:val="16"/>
                <w:szCs w:val="16"/>
              </w:rPr>
              <w:t>Ισοζύγιο</w:t>
            </w:r>
            <w:r>
              <w:rPr>
                <w:rFonts w:ascii="Arial Narrow" w:hAnsi="Arial Narrow"/>
                <w:b/>
                <w:bCs/>
                <w:sz w:val="16"/>
                <w:szCs w:val="16"/>
              </w:rPr>
              <w:t xml:space="preserve"> κατά </w:t>
            </w:r>
            <w:r>
              <w:rPr>
                <w:rFonts w:ascii="Arial Narrow" w:hAnsi="Arial Narrow"/>
                <w:b/>
                <w:bCs/>
                <w:sz w:val="16"/>
                <w:szCs w:val="16"/>
                <w:lang w:val="en-GB"/>
              </w:rPr>
              <w:t xml:space="preserve">ESA </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lang w:val="en-US"/>
              </w:rPr>
              <w:t>1.254</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lang w:val="en-US"/>
              </w:rPr>
              <w:t>9</w:t>
            </w:r>
            <w:r w:rsidRPr="00004244">
              <w:rPr>
                <w:rFonts w:ascii="Arial Narrow" w:hAnsi="Arial Narrow"/>
                <w:b/>
                <w:bCs/>
                <w:sz w:val="16"/>
                <w:szCs w:val="16"/>
              </w:rPr>
              <w:t>10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β) ΟΑΕΔ</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 </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 </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b/>
                <w:bCs/>
                <w:sz w:val="16"/>
                <w:szCs w:val="16"/>
              </w:rPr>
            </w:pPr>
            <w:r w:rsidRPr="009B0848">
              <w:rPr>
                <w:rFonts w:ascii="Arial Narrow" w:hAnsi="Arial Narrow"/>
                <w:b/>
                <w:bCs/>
                <w:sz w:val="16"/>
                <w:szCs w:val="16"/>
              </w:rPr>
              <w:t>Έσοδα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2.99</w:t>
            </w:r>
            <w:r w:rsidRPr="00004244">
              <w:rPr>
                <w:rFonts w:ascii="Arial Narrow" w:hAnsi="Arial Narrow"/>
                <w:b/>
                <w:bCs/>
                <w:sz w:val="16"/>
                <w:szCs w:val="16"/>
                <w:lang w:val="en-US"/>
              </w:rPr>
              <w:t>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3.097</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Ασφαλιστικές εισφορές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1.878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1.930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Ρύθμιση οφειλών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21</w:t>
            </w:r>
            <w:r w:rsidRPr="00004244">
              <w:rPr>
                <w:rFonts w:ascii="Arial Narrow" w:hAnsi="Arial Narrow"/>
                <w:sz w:val="16"/>
                <w:szCs w:val="16"/>
                <w:lang w:val="en-US"/>
              </w:rPr>
              <w:t>1</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196</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505</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556</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130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200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Απόδοση περιουσίας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58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58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Εισπράξεις υπέρ Δημοσίου και τρίτων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95</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Λοιπά έσοδα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113</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58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b/>
                <w:bCs/>
                <w:sz w:val="16"/>
                <w:szCs w:val="16"/>
              </w:rPr>
            </w:pPr>
            <w:r w:rsidRPr="009B0848">
              <w:rPr>
                <w:rFonts w:ascii="Arial Narrow" w:hAnsi="Arial Narrow"/>
                <w:b/>
                <w:bCs/>
                <w:sz w:val="16"/>
                <w:szCs w:val="16"/>
              </w:rPr>
              <w:t>Έξοδα</w:t>
            </w:r>
          </w:p>
        </w:tc>
        <w:tc>
          <w:tcPr>
            <w:tcW w:w="1787" w:type="dxa"/>
            <w:tcBorders>
              <w:top w:val="nil"/>
              <w:left w:val="nil"/>
              <w:bottom w:val="nil"/>
              <w:right w:val="nil"/>
            </w:tcBorders>
            <w:vAlign w:val="center"/>
          </w:tcPr>
          <w:p w:rsidR="00004244" w:rsidRPr="00004244" w:rsidRDefault="0021237F" w:rsidP="00004244">
            <w:pPr>
              <w:ind w:right="567"/>
              <w:jc w:val="right"/>
              <w:rPr>
                <w:rFonts w:ascii="Arial Narrow" w:hAnsi="Arial Narrow"/>
                <w:b/>
                <w:bCs/>
                <w:sz w:val="16"/>
                <w:szCs w:val="16"/>
              </w:rPr>
            </w:pPr>
            <w:r>
              <w:rPr>
                <w:rFonts w:ascii="Arial Narrow" w:hAnsi="Arial Narrow"/>
                <w:b/>
                <w:bCs/>
                <w:sz w:val="16"/>
                <w:szCs w:val="16"/>
              </w:rPr>
              <w:t>2.417</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2.578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Επιδόματα ανεργίας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1.060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997</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Προγράμματα απασχόλησης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360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551</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Λοιπές προνοιακές παροχές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103</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Μεταβιβάσεις στο ΙΚΑ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597</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607</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Απόδοση εισπράξεων τρίτων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95</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9</w:t>
            </w:r>
            <w:r w:rsidRPr="00004244">
              <w:rPr>
                <w:rFonts w:ascii="Arial Narrow" w:hAnsi="Arial Narrow"/>
                <w:sz w:val="16"/>
                <w:szCs w:val="16"/>
                <w:lang w:val="en-US"/>
              </w:rPr>
              <w:t>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Λοιπές δαπάνες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109</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124</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DC3481" w:rsidRDefault="00004244" w:rsidP="00FE5D7A">
            <w:pPr>
              <w:spacing w:line="235" w:lineRule="auto"/>
              <w:rPr>
                <w:rFonts w:ascii="Arial Narrow" w:hAnsi="Arial Narrow"/>
                <w:b/>
                <w:sz w:val="16"/>
                <w:szCs w:val="16"/>
              </w:rPr>
            </w:pPr>
            <w:r w:rsidRPr="00DC3481">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lang w:val="en-US"/>
              </w:rPr>
              <w:t>573</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518</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DC3481" w:rsidRDefault="00004244" w:rsidP="00FE5D7A">
            <w:pPr>
              <w:spacing w:line="235" w:lineRule="auto"/>
              <w:rPr>
                <w:rFonts w:ascii="Arial Narrow" w:hAnsi="Arial Narrow"/>
                <w:b/>
                <w:sz w:val="16"/>
                <w:szCs w:val="16"/>
              </w:rPr>
            </w:pPr>
            <w:r w:rsidRPr="00DC3481">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0</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9B0848" w:rsidRDefault="00004244" w:rsidP="00FE5D7A">
            <w:pPr>
              <w:spacing w:line="235" w:lineRule="auto"/>
              <w:rPr>
                <w:rFonts w:ascii="Arial Narrow" w:hAnsi="Arial Narrow"/>
                <w:b/>
                <w:bCs/>
                <w:sz w:val="16"/>
                <w:szCs w:val="16"/>
                <w:lang w:val="en-GB"/>
              </w:rPr>
            </w:pPr>
            <w:r w:rsidRPr="009B0848">
              <w:rPr>
                <w:rFonts w:ascii="Arial Narrow" w:hAnsi="Arial Narrow"/>
                <w:b/>
                <w:bCs/>
                <w:sz w:val="16"/>
                <w:szCs w:val="16"/>
              </w:rPr>
              <w:t>Ισοζύγιο</w:t>
            </w:r>
            <w:r>
              <w:rPr>
                <w:rFonts w:ascii="Arial Narrow" w:hAnsi="Arial Narrow"/>
                <w:b/>
                <w:bCs/>
                <w:sz w:val="16"/>
                <w:szCs w:val="16"/>
              </w:rPr>
              <w:t xml:space="preserve"> κατά </w:t>
            </w:r>
            <w:r>
              <w:rPr>
                <w:rFonts w:ascii="Arial Narrow" w:hAnsi="Arial Narrow"/>
                <w:b/>
                <w:bCs/>
                <w:sz w:val="16"/>
                <w:szCs w:val="16"/>
                <w:lang w:val="en-GB"/>
              </w:rPr>
              <w:t xml:space="preserve">ESA </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lang w:val="en-US"/>
              </w:rPr>
              <w:t>573</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518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 xml:space="preserve">γ) ΕΟΠΥΥ </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 </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 </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b/>
                <w:bCs/>
                <w:sz w:val="16"/>
                <w:szCs w:val="16"/>
              </w:rPr>
            </w:pPr>
            <w:r w:rsidRPr="009B0848">
              <w:rPr>
                <w:rFonts w:ascii="Arial Narrow" w:hAnsi="Arial Narrow"/>
                <w:b/>
                <w:bCs/>
                <w:sz w:val="16"/>
                <w:szCs w:val="16"/>
              </w:rPr>
              <w:t>Έσοδα</w:t>
            </w:r>
          </w:p>
        </w:tc>
        <w:tc>
          <w:tcPr>
            <w:tcW w:w="1787" w:type="dxa"/>
            <w:tcBorders>
              <w:top w:val="nil"/>
              <w:left w:val="nil"/>
              <w:bottom w:val="nil"/>
              <w:right w:val="nil"/>
            </w:tcBorders>
            <w:vAlign w:val="center"/>
          </w:tcPr>
          <w:p w:rsidR="00004244" w:rsidRPr="0021237F" w:rsidRDefault="00004244" w:rsidP="00004244">
            <w:pPr>
              <w:ind w:right="567"/>
              <w:jc w:val="right"/>
              <w:rPr>
                <w:rFonts w:ascii="Arial Narrow" w:hAnsi="Arial Narrow"/>
                <w:b/>
                <w:bCs/>
                <w:sz w:val="16"/>
                <w:szCs w:val="16"/>
              </w:rPr>
            </w:pPr>
            <w:r w:rsidRPr="00004244">
              <w:rPr>
                <w:rFonts w:ascii="Arial Narrow" w:hAnsi="Arial Narrow"/>
                <w:b/>
                <w:bCs/>
                <w:sz w:val="16"/>
                <w:szCs w:val="16"/>
              </w:rPr>
              <w:t>5.</w:t>
            </w:r>
            <w:r w:rsidR="0021237F">
              <w:rPr>
                <w:rFonts w:ascii="Arial Narrow" w:hAnsi="Arial Narrow"/>
                <w:b/>
                <w:bCs/>
                <w:sz w:val="16"/>
                <w:szCs w:val="16"/>
              </w:rPr>
              <w:t>160</w:t>
            </w:r>
          </w:p>
        </w:tc>
        <w:tc>
          <w:tcPr>
            <w:tcW w:w="1773" w:type="dxa"/>
            <w:tcBorders>
              <w:top w:val="nil"/>
              <w:left w:val="nil"/>
              <w:bottom w:val="nil"/>
            </w:tcBorders>
            <w:vAlign w:val="center"/>
          </w:tcPr>
          <w:p w:rsidR="00004244" w:rsidRPr="00004244" w:rsidRDefault="0021237F" w:rsidP="00004244">
            <w:pPr>
              <w:ind w:right="567"/>
              <w:jc w:val="right"/>
              <w:rPr>
                <w:rFonts w:ascii="Arial Narrow" w:hAnsi="Arial Narrow"/>
                <w:b/>
                <w:bCs/>
                <w:sz w:val="16"/>
                <w:szCs w:val="16"/>
              </w:rPr>
            </w:pPr>
            <w:r>
              <w:rPr>
                <w:rFonts w:ascii="Arial Narrow" w:hAnsi="Arial Narrow"/>
                <w:b/>
                <w:bCs/>
                <w:sz w:val="16"/>
                <w:szCs w:val="16"/>
              </w:rPr>
              <w:t>5.139</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Ασφαλιστικές εισφορές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lang w:val="en-US"/>
              </w:rPr>
              <w:t>4.508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4.483</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Ρύθμιση οφειλών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188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186</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Pr>
                <w:rFonts w:ascii="Arial Narrow" w:hAnsi="Arial Narrow"/>
                <w:sz w:val="16"/>
                <w:szCs w:val="16"/>
              </w:rPr>
              <w:t>Κοινωνικοί π</w:t>
            </w:r>
            <w:r w:rsidRPr="009B0848">
              <w:rPr>
                <w:rFonts w:ascii="Arial Narrow" w:hAnsi="Arial Narrow"/>
                <w:sz w:val="16"/>
                <w:szCs w:val="16"/>
              </w:rPr>
              <w:t>όροι</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88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100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Απόδοση περιουσίας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50</w:t>
            </w:r>
          </w:p>
        </w:tc>
        <w:tc>
          <w:tcPr>
            <w:tcW w:w="1773" w:type="dxa"/>
            <w:tcBorders>
              <w:top w:val="nil"/>
              <w:left w:val="nil"/>
              <w:bottom w:val="nil"/>
            </w:tcBorders>
            <w:vAlign w:val="center"/>
          </w:tcPr>
          <w:p w:rsidR="00004244" w:rsidRPr="00004244" w:rsidRDefault="0021237F" w:rsidP="00004244">
            <w:pPr>
              <w:ind w:right="567"/>
              <w:jc w:val="right"/>
              <w:rPr>
                <w:rFonts w:ascii="Arial Narrow" w:hAnsi="Arial Narrow"/>
                <w:sz w:val="16"/>
                <w:szCs w:val="16"/>
              </w:rPr>
            </w:pPr>
            <w:r>
              <w:rPr>
                <w:rFonts w:ascii="Arial Narrow" w:hAnsi="Arial Narrow"/>
                <w:sz w:val="16"/>
                <w:szCs w:val="16"/>
              </w:rPr>
              <w:t>5</w:t>
            </w:r>
            <w:r w:rsidR="00004244" w:rsidRPr="00004244">
              <w:rPr>
                <w:rFonts w:ascii="Arial Narrow" w:hAnsi="Arial Narrow"/>
                <w:sz w:val="16"/>
                <w:szCs w:val="16"/>
              </w:rPr>
              <w:t>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Εισπράξεις υπέρ Δημοσίου και τρίτων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300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300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Λοιπά έσοδα</w:t>
            </w:r>
          </w:p>
        </w:tc>
        <w:tc>
          <w:tcPr>
            <w:tcW w:w="1787" w:type="dxa"/>
            <w:tcBorders>
              <w:top w:val="nil"/>
              <w:left w:val="nil"/>
              <w:bottom w:val="nil"/>
              <w:right w:val="nil"/>
            </w:tcBorders>
            <w:vAlign w:val="center"/>
          </w:tcPr>
          <w:p w:rsidR="00004244" w:rsidRPr="00004244" w:rsidRDefault="0021237F" w:rsidP="00004244">
            <w:pPr>
              <w:ind w:right="567"/>
              <w:jc w:val="right"/>
              <w:rPr>
                <w:rFonts w:ascii="Arial Narrow" w:hAnsi="Arial Narrow"/>
                <w:sz w:val="16"/>
                <w:szCs w:val="16"/>
              </w:rPr>
            </w:pPr>
            <w:r>
              <w:rPr>
                <w:rFonts w:ascii="Arial Narrow" w:hAnsi="Arial Narrow"/>
                <w:sz w:val="16"/>
                <w:szCs w:val="16"/>
              </w:rPr>
              <w:t>2</w:t>
            </w:r>
            <w:r w:rsidR="00004244" w:rsidRPr="00004244">
              <w:rPr>
                <w:rFonts w:ascii="Arial Narrow" w:hAnsi="Arial Narrow"/>
                <w:sz w:val="16"/>
                <w:szCs w:val="16"/>
              </w:rPr>
              <w:t>6</w:t>
            </w:r>
          </w:p>
        </w:tc>
        <w:tc>
          <w:tcPr>
            <w:tcW w:w="1773" w:type="dxa"/>
            <w:tcBorders>
              <w:top w:val="nil"/>
              <w:left w:val="nil"/>
              <w:bottom w:val="nil"/>
            </w:tcBorders>
            <w:vAlign w:val="center"/>
          </w:tcPr>
          <w:p w:rsidR="00004244" w:rsidRPr="00004244" w:rsidRDefault="0021237F" w:rsidP="00004244">
            <w:pPr>
              <w:ind w:right="567"/>
              <w:jc w:val="right"/>
              <w:rPr>
                <w:rFonts w:ascii="Arial Narrow" w:hAnsi="Arial Narrow"/>
                <w:sz w:val="16"/>
                <w:szCs w:val="16"/>
              </w:rPr>
            </w:pPr>
            <w:r>
              <w:rPr>
                <w:rFonts w:ascii="Arial Narrow" w:hAnsi="Arial Narrow"/>
                <w:sz w:val="16"/>
                <w:szCs w:val="16"/>
              </w:rPr>
              <w:t>2</w:t>
            </w:r>
            <w:r w:rsidR="00004244" w:rsidRPr="00004244">
              <w:rPr>
                <w:rFonts w:ascii="Arial Narrow" w:hAnsi="Arial Narrow"/>
                <w:sz w:val="16"/>
                <w:szCs w:val="16"/>
              </w:rPr>
              <w:t>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b/>
                <w:bCs/>
                <w:sz w:val="16"/>
                <w:szCs w:val="16"/>
              </w:rPr>
            </w:pPr>
            <w:r w:rsidRPr="009B0848">
              <w:rPr>
                <w:rFonts w:ascii="Arial Narrow" w:hAnsi="Arial Narrow"/>
                <w:b/>
                <w:bCs/>
                <w:sz w:val="16"/>
                <w:szCs w:val="16"/>
              </w:rPr>
              <w:t>Έξοδα</w:t>
            </w:r>
          </w:p>
        </w:tc>
        <w:tc>
          <w:tcPr>
            <w:tcW w:w="1787" w:type="dxa"/>
            <w:tcBorders>
              <w:top w:val="nil"/>
              <w:left w:val="nil"/>
              <w:bottom w:val="nil"/>
              <w:right w:val="nil"/>
            </w:tcBorders>
            <w:vAlign w:val="center"/>
          </w:tcPr>
          <w:p w:rsidR="00004244" w:rsidRPr="00004244" w:rsidRDefault="0021237F" w:rsidP="00004244">
            <w:pPr>
              <w:ind w:right="567"/>
              <w:jc w:val="right"/>
              <w:rPr>
                <w:rFonts w:ascii="Arial Narrow" w:hAnsi="Arial Narrow"/>
                <w:b/>
                <w:bCs/>
                <w:sz w:val="16"/>
                <w:szCs w:val="16"/>
              </w:rPr>
            </w:pPr>
            <w:r>
              <w:rPr>
                <w:rFonts w:ascii="Arial Narrow" w:hAnsi="Arial Narrow"/>
                <w:b/>
                <w:bCs/>
                <w:sz w:val="16"/>
                <w:szCs w:val="16"/>
              </w:rPr>
              <w:t>5.371</w:t>
            </w:r>
          </w:p>
        </w:tc>
        <w:tc>
          <w:tcPr>
            <w:tcW w:w="1773" w:type="dxa"/>
            <w:tcBorders>
              <w:top w:val="nil"/>
              <w:left w:val="nil"/>
              <w:bottom w:val="nil"/>
            </w:tcBorders>
            <w:vAlign w:val="center"/>
          </w:tcPr>
          <w:p w:rsidR="00004244" w:rsidRPr="00004244" w:rsidRDefault="0021237F" w:rsidP="00004244">
            <w:pPr>
              <w:ind w:right="567"/>
              <w:jc w:val="right"/>
              <w:rPr>
                <w:rFonts w:ascii="Arial Narrow" w:hAnsi="Arial Narrow"/>
                <w:b/>
                <w:bCs/>
                <w:sz w:val="16"/>
                <w:szCs w:val="16"/>
              </w:rPr>
            </w:pPr>
            <w:r>
              <w:rPr>
                <w:rFonts w:ascii="Arial Narrow" w:hAnsi="Arial Narrow"/>
                <w:b/>
                <w:bCs/>
                <w:sz w:val="16"/>
                <w:szCs w:val="16"/>
              </w:rPr>
              <w:t>5.095</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Φαρμακευτική δαπάνη</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2.130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2.200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Λοιπές παροχές ασθένειας</w:t>
            </w:r>
          </w:p>
        </w:tc>
        <w:tc>
          <w:tcPr>
            <w:tcW w:w="1787" w:type="dxa"/>
            <w:tcBorders>
              <w:top w:val="nil"/>
              <w:left w:val="nil"/>
              <w:bottom w:val="nil"/>
              <w:right w:val="nil"/>
            </w:tcBorders>
            <w:vAlign w:val="center"/>
          </w:tcPr>
          <w:p w:rsidR="00004244" w:rsidRPr="00004244" w:rsidRDefault="0021237F" w:rsidP="00004244">
            <w:pPr>
              <w:ind w:right="567"/>
              <w:jc w:val="right"/>
              <w:rPr>
                <w:rFonts w:ascii="Arial Narrow" w:hAnsi="Arial Narrow"/>
                <w:sz w:val="16"/>
                <w:szCs w:val="16"/>
              </w:rPr>
            </w:pPr>
            <w:r>
              <w:rPr>
                <w:rFonts w:ascii="Arial Narrow" w:hAnsi="Arial Narrow"/>
                <w:sz w:val="16"/>
                <w:szCs w:val="16"/>
              </w:rPr>
              <w:t>1.901</w:t>
            </w:r>
          </w:p>
        </w:tc>
        <w:tc>
          <w:tcPr>
            <w:tcW w:w="1773" w:type="dxa"/>
            <w:tcBorders>
              <w:top w:val="nil"/>
              <w:left w:val="nil"/>
              <w:bottom w:val="nil"/>
            </w:tcBorders>
            <w:vAlign w:val="center"/>
          </w:tcPr>
          <w:p w:rsidR="00004244" w:rsidRPr="00004244" w:rsidRDefault="0021237F" w:rsidP="00004244">
            <w:pPr>
              <w:ind w:right="567"/>
              <w:jc w:val="right"/>
              <w:rPr>
                <w:rFonts w:ascii="Arial Narrow" w:hAnsi="Arial Narrow"/>
                <w:sz w:val="16"/>
                <w:szCs w:val="16"/>
              </w:rPr>
            </w:pPr>
            <w:r>
              <w:rPr>
                <w:rFonts w:ascii="Arial Narrow" w:hAnsi="Arial Narrow"/>
                <w:sz w:val="16"/>
                <w:szCs w:val="16"/>
              </w:rPr>
              <w:t>1.520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Απόδοση εισπράξεων τρίτων</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300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300</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40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42</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Διοικητικές δαπάνες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100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133</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 xml:space="preserve">Μεταβιβάσεις προς </w:t>
            </w:r>
            <w:r>
              <w:rPr>
                <w:rFonts w:ascii="Arial Narrow" w:hAnsi="Arial Narrow"/>
                <w:sz w:val="16"/>
                <w:szCs w:val="16"/>
              </w:rPr>
              <w:t>φορείς Γενικής Κυβέρνησης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900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900</w:t>
            </w:r>
          </w:p>
        </w:tc>
      </w:tr>
      <w:tr w:rsidR="00004244" w:rsidRPr="000775B1" w:rsidTr="00FE5D7A">
        <w:trPr>
          <w:jc w:val="center"/>
        </w:trPr>
        <w:tc>
          <w:tcPr>
            <w:tcW w:w="5191" w:type="dxa"/>
            <w:tcBorders>
              <w:top w:val="nil"/>
              <w:bottom w:val="nil"/>
              <w:right w:val="nil"/>
            </w:tcBorders>
          </w:tcPr>
          <w:p w:rsidR="00004244" w:rsidRPr="000775B1" w:rsidRDefault="00004244" w:rsidP="00FE5D7A">
            <w:pPr>
              <w:spacing w:line="235" w:lineRule="auto"/>
              <w:rPr>
                <w:rFonts w:ascii="Arial Narrow" w:hAnsi="Arial Narrow"/>
                <w:i/>
                <w:sz w:val="16"/>
                <w:szCs w:val="16"/>
              </w:rPr>
            </w:pPr>
            <w:r>
              <w:rPr>
                <w:rFonts w:ascii="Arial Narrow" w:hAnsi="Arial Narrow"/>
                <w:i/>
                <w:sz w:val="16"/>
                <w:szCs w:val="16"/>
              </w:rPr>
              <w:t xml:space="preserve">  </w:t>
            </w:r>
            <w:r w:rsidRPr="000775B1">
              <w:rPr>
                <w:rFonts w:ascii="Arial Narrow" w:hAnsi="Arial Narrow"/>
                <w:i/>
                <w:sz w:val="16"/>
                <w:szCs w:val="16"/>
              </w:rPr>
              <w:t xml:space="preserve"> εκ των οποίων σε νοσοκομεία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i/>
                <w:iCs/>
                <w:sz w:val="16"/>
                <w:szCs w:val="16"/>
              </w:rPr>
            </w:pPr>
            <w:r w:rsidRPr="00004244">
              <w:rPr>
                <w:rFonts w:ascii="Arial Narrow" w:hAnsi="Arial Narrow"/>
                <w:i/>
                <w:iCs/>
                <w:sz w:val="16"/>
                <w:szCs w:val="16"/>
              </w:rPr>
              <w:t>888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i/>
                <w:iCs/>
                <w:sz w:val="16"/>
                <w:szCs w:val="16"/>
              </w:rPr>
            </w:pPr>
            <w:r w:rsidRPr="00004244">
              <w:rPr>
                <w:rFonts w:ascii="Arial Narrow" w:hAnsi="Arial Narrow"/>
                <w:i/>
                <w:iCs/>
                <w:sz w:val="16"/>
                <w:szCs w:val="16"/>
              </w:rPr>
              <w:t>888</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DC3481" w:rsidRDefault="00004244" w:rsidP="00FE5D7A">
            <w:pPr>
              <w:spacing w:line="235" w:lineRule="auto"/>
              <w:rPr>
                <w:rFonts w:ascii="Arial Narrow" w:hAnsi="Arial Narrow"/>
                <w:b/>
                <w:sz w:val="16"/>
                <w:szCs w:val="16"/>
              </w:rPr>
            </w:pPr>
            <w:r w:rsidRPr="00DC3481">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-2</w:t>
            </w:r>
            <w:r w:rsidRPr="00004244">
              <w:rPr>
                <w:rFonts w:ascii="Arial Narrow" w:hAnsi="Arial Narrow"/>
                <w:b/>
                <w:bCs/>
                <w:sz w:val="16"/>
                <w:szCs w:val="16"/>
                <w:lang w:val="en-US"/>
              </w:rPr>
              <w:t>11</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45</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DC3481" w:rsidRDefault="00004244" w:rsidP="00FE5D7A">
            <w:pPr>
              <w:spacing w:line="235" w:lineRule="auto"/>
              <w:rPr>
                <w:rFonts w:ascii="Arial Narrow" w:hAnsi="Arial Narrow"/>
                <w:b/>
                <w:sz w:val="16"/>
                <w:szCs w:val="16"/>
              </w:rPr>
            </w:pPr>
            <w:r w:rsidRPr="00DC3481">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533</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224</w:t>
            </w:r>
          </w:p>
        </w:tc>
      </w:tr>
      <w:tr w:rsidR="00004244" w:rsidRPr="009B0848" w:rsidTr="00FE5D7A">
        <w:trPr>
          <w:jc w:val="center"/>
        </w:trPr>
        <w:tc>
          <w:tcPr>
            <w:tcW w:w="5191" w:type="dxa"/>
            <w:tcBorders>
              <w:top w:val="nil"/>
              <w:bottom w:val="single" w:sz="4" w:space="0" w:color="auto"/>
              <w:right w:val="nil"/>
            </w:tcBorders>
            <w:shd w:val="clear" w:color="auto" w:fill="D9D9D9" w:themeFill="background1" w:themeFillShade="D9"/>
          </w:tcPr>
          <w:p w:rsidR="00004244" w:rsidRPr="009B0848" w:rsidRDefault="00004244" w:rsidP="00FE5D7A">
            <w:pPr>
              <w:spacing w:line="235" w:lineRule="auto"/>
              <w:rPr>
                <w:rFonts w:ascii="Arial Narrow" w:hAnsi="Arial Narrow"/>
                <w:b/>
                <w:bCs/>
                <w:sz w:val="16"/>
                <w:szCs w:val="16"/>
                <w:lang w:val="en-GB"/>
              </w:rPr>
            </w:pPr>
            <w:r w:rsidRPr="009B0848">
              <w:rPr>
                <w:rFonts w:ascii="Arial Narrow" w:hAnsi="Arial Narrow"/>
                <w:b/>
                <w:bCs/>
                <w:sz w:val="16"/>
                <w:szCs w:val="16"/>
              </w:rPr>
              <w:t>Ισοζύγιο</w:t>
            </w:r>
            <w:r>
              <w:rPr>
                <w:rFonts w:ascii="Arial Narrow" w:hAnsi="Arial Narrow"/>
                <w:b/>
                <w:bCs/>
                <w:sz w:val="16"/>
                <w:szCs w:val="16"/>
              </w:rPr>
              <w:t xml:space="preserve"> κατά </w:t>
            </w:r>
            <w:r>
              <w:rPr>
                <w:rFonts w:ascii="Arial Narrow" w:hAnsi="Arial Narrow"/>
                <w:b/>
                <w:bCs/>
                <w:sz w:val="16"/>
                <w:szCs w:val="16"/>
                <w:lang w:val="en-GB"/>
              </w:rPr>
              <w:t>ESA</w:t>
            </w:r>
          </w:p>
        </w:tc>
        <w:tc>
          <w:tcPr>
            <w:tcW w:w="1787" w:type="dxa"/>
            <w:tcBorders>
              <w:top w:val="nil"/>
              <w:left w:val="nil"/>
              <w:bottom w:val="single" w:sz="4" w:space="0" w:color="auto"/>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lang w:val="en-US"/>
              </w:rPr>
              <w:t>322</w:t>
            </w:r>
          </w:p>
        </w:tc>
        <w:tc>
          <w:tcPr>
            <w:tcW w:w="1773" w:type="dxa"/>
            <w:tcBorders>
              <w:top w:val="nil"/>
              <w:left w:val="nil"/>
              <w:bottom w:val="single" w:sz="4" w:space="0" w:color="auto"/>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269</w:t>
            </w:r>
          </w:p>
        </w:tc>
      </w:tr>
      <w:tr w:rsidR="00004244" w:rsidRPr="009B0848" w:rsidTr="00FE5D7A">
        <w:trPr>
          <w:jc w:val="center"/>
        </w:trPr>
        <w:tc>
          <w:tcPr>
            <w:tcW w:w="5191" w:type="dxa"/>
            <w:tcBorders>
              <w:top w:val="single" w:sz="4" w:space="0" w:color="auto"/>
              <w:bottom w:val="nil"/>
              <w:right w:val="nil"/>
            </w:tcBorders>
          </w:tcPr>
          <w:p w:rsidR="00004244" w:rsidRPr="009B0848" w:rsidRDefault="00004244" w:rsidP="00FE5D7A">
            <w:pPr>
              <w:spacing w:line="235" w:lineRule="auto"/>
              <w:rPr>
                <w:rFonts w:ascii="Arial Narrow" w:hAnsi="Arial Narrow"/>
                <w:sz w:val="16"/>
                <w:szCs w:val="16"/>
              </w:rPr>
            </w:pPr>
            <w:r>
              <w:rPr>
                <w:rFonts w:ascii="Arial Narrow" w:hAnsi="Arial Narrow"/>
                <w:sz w:val="16"/>
                <w:szCs w:val="16"/>
              </w:rPr>
              <w:t>δ</w:t>
            </w:r>
            <w:r w:rsidRPr="009B0848">
              <w:rPr>
                <w:rFonts w:ascii="Arial Narrow" w:hAnsi="Arial Narrow"/>
                <w:sz w:val="16"/>
                <w:szCs w:val="16"/>
              </w:rPr>
              <w:t xml:space="preserve">) </w:t>
            </w:r>
            <w:r>
              <w:rPr>
                <w:rFonts w:ascii="Arial Narrow" w:hAnsi="Arial Narrow"/>
                <w:sz w:val="16"/>
                <w:szCs w:val="16"/>
              </w:rPr>
              <w:t>ΟΠΕΚΑ, ΝΑΤ (μη ασφαλιστικές αρμοδιότητες)</w:t>
            </w:r>
          </w:p>
        </w:tc>
        <w:tc>
          <w:tcPr>
            <w:tcW w:w="1787" w:type="dxa"/>
            <w:tcBorders>
              <w:top w:val="single" w:sz="4" w:space="0" w:color="auto"/>
              <w:left w:val="nil"/>
              <w:bottom w:val="nil"/>
              <w:right w:val="nil"/>
            </w:tcBorders>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 </w:t>
            </w:r>
          </w:p>
        </w:tc>
        <w:tc>
          <w:tcPr>
            <w:tcW w:w="1773" w:type="dxa"/>
            <w:tcBorders>
              <w:top w:val="single" w:sz="4" w:space="0" w:color="auto"/>
              <w:left w:val="nil"/>
              <w:bottom w:val="nil"/>
            </w:tcBorders>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 </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b/>
                <w:bCs/>
                <w:sz w:val="16"/>
                <w:szCs w:val="16"/>
              </w:rPr>
            </w:pPr>
            <w:r w:rsidRPr="009B0848">
              <w:rPr>
                <w:rFonts w:ascii="Arial Narrow" w:hAnsi="Arial Narrow"/>
                <w:b/>
                <w:bCs/>
                <w:sz w:val="16"/>
                <w:szCs w:val="16"/>
              </w:rPr>
              <w:t>Έσοδα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1.</w:t>
            </w:r>
            <w:r w:rsidRPr="00004244">
              <w:rPr>
                <w:rFonts w:ascii="Arial Narrow" w:hAnsi="Arial Narrow"/>
                <w:b/>
                <w:bCs/>
                <w:sz w:val="16"/>
                <w:szCs w:val="16"/>
                <w:lang w:val="en-US"/>
              </w:rPr>
              <w:t>285</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3.179</w:t>
            </w:r>
          </w:p>
        </w:tc>
      </w:tr>
      <w:tr w:rsidR="00004244" w:rsidRPr="00403B29" w:rsidTr="00FE5D7A">
        <w:trPr>
          <w:jc w:val="center"/>
        </w:trPr>
        <w:tc>
          <w:tcPr>
            <w:tcW w:w="5191" w:type="dxa"/>
            <w:tcBorders>
              <w:top w:val="nil"/>
              <w:bottom w:val="nil"/>
              <w:right w:val="nil"/>
            </w:tcBorders>
          </w:tcPr>
          <w:p w:rsidR="00004244" w:rsidRPr="00403B29" w:rsidRDefault="00004244" w:rsidP="00FE5D7A">
            <w:pPr>
              <w:spacing w:line="235" w:lineRule="auto"/>
              <w:rPr>
                <w:rFonts w:ascii="Arial Narrow" w:hAnsi="Arial Narrow"/>
                <w:bCs/>
                <w:sz w:val="16"/>
                <w:szCs w:val="16"/>
              </w:rPr>
            </w:pPr>
            <w:r>
              <w:rPr>
                <w:rFonts w:ascii="Arial Narrow" w:hAnsi="Arial Narrow"/>
                <w:bCs/>
                <w:sz w:val="16"/>
                <w:szCs w:val="16"/>
              </w:rPr>
              <w:t>Ασφαλιστικές εισφορές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7</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7</w:t>
            </w:r>
          </w:p>
        </w:tc>
      </w:tr>
      <w:tr w:rsidR="00004244" w:rsidRPr="00403B29" w:rsidTr="00FE5D7A">
        <w:trPr>
          <w:jc w:val="center"/>
        </w:trPr>
        <w:tc>
          <w:tcPr>
            <w:tcW w:w="5191" w:type="dxa"/>
            <w:tcBorders>
              <w:top w:val="nil"/>
              <w:bottom w:val="nil"/>
              <w:right w:val="nil"/>
            </w:tcBorders>
          </w:tcPr>
          <w:p w:rsidR="00004244" w:rsidRPr="00403B29" w:rsidRDefault="00004244" w:rsidP="00FE5D7A">
            <w:pPr>
              <w:spacing w:line="235" w:lineRule="auto"/>
              <w:rPr>
                <w:rFonts w:ascii="Arial Narrow" w:hAnsi="Arial Narrow"/>
                <w:bCs/>
                <w:sz w:val="16"/>
                <w:szCs w:val="16"/>
              </w:rPr>
            </w:pPr>
            <w:r>
              <w:rPr>
                <w:rFonts w:ascii="Arial Narrow" w:hAnsi="Arial Narrow"/>
                <w:bCs/>
                <w:sz w:val="16"/>
                <w:szCs w:val="16"/>
              </w:rPr>
              <w:t>Απόδοση περιουσίας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8</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rPr>
              <w:t>1.</w:t>
            </w:r>
            <w:r w:rsidRPr="00004244">
              <w:rPr>
                <w:rFonts w:ascii="Arial Narrow" w:hAnsi="Arial Narrow"/>
                <w:sz w:val="16"/>
                <w:szCs w:val="16"/>
                <w:lang w:val="en-US"/>
              </w:rPr>
              <w:t>270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3.164</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b/>
                <w:bCs/>
                <w:sz w:val="16"/>
                <w:szCs w:val="16"/>
              </w:rPr>
            </w:pPr>
            <w:r w:rsidRPr="009B0848">
              <w:rPr>
                <w:rFonts w:ascii="Arial Narrow" w:hAnsi="Arial Narrow"/>
                <w:b/>
                <w:bCs/>
                <w:sz w:val="16"/>
                <w:szCs w:val="16"/>
              </w:rPr>
              <w:t>Έξοδα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1.</w:t>
            </w:r>
            <w:r w:rsidRPr="00004244">
              <w:rPr>
                <w:rFonts w:ascii="Arial Narrow" w:hAnsi="Arial Narrow"/>
                <w:b/>
                <w:bCs/>
                <w:sz w:val="16"/>
                <w:szCs w:val="16"/>
                <w:lang w:val="en-US"/>
              </w:rPr>
              <w:t>258</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3.</w:t>
            </w:r>
            <w:r w:rsidRPr="00004244">
              <w:rPr>
                <w:rFonts w:ascii="Arial Narrow" w:hAnsi="Arial Narrow"/>
                <w:b/>
                <w:bCs/>
                <w:sz w:val="16"/>
                <w:szCs w:val="16"/>
                <w:lang w:val="en-US"/>
              </w:rPr>
              <w:t>203</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Pr>
                <w:rFonts w:ascii="Arial Narrow" w:hAnsi="Arial Narrow"/>
                <w:sz w:val="16"/>
                <w:szCs w:val="16"/>
              </w:rPr>
              <w:t>Παροχές σε ανασφάλιστους υπερήλικες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145</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145</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Pr>
                <w:rFonts w:ascii="Arial Narrow" w:hAnsi="Arial Narrow"/>
                <w:sz w:val="16"/>
                <w:szCs w:val="16"/>
              </w:rPr>
              <w:t>Οικογενειακά επιδόματα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1.020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961</w:t>
            </w:r>
          </w:p>
        </w:tc>
      </w:tr>
      <w:tr w:rsidR="00004244" w:rsidRPr="009B0848" w:rsidTr="00FE5D7A">
        <w:trPr>
          <w:jc w:val="center"/>
        </w:trPr>
        <w:tc>
          <w:tcPr>
            <w:tcW w:w="5191" w:type="dxa"/>
            <w:tcBorders>
              <w:top w:val="nil"/>
              <w:bottom w:val="nil"/>
              <w:right w:val="nil"/>
            </w:tcBorders>
          </w:tcPr>
          <w:p w:rsidR="00004244" w:rsidRDefault="00004244" w:rsidP="00FE5D7A">
            <w:pPr>
              <w:spacing w:line="235" w:lineRule="auto"/>
              <w:rPr>
                <w:rFonts w:ascii="Arial Narrow" w:hAnsi="Arial Narrow"/>
                <w:sz w:val="16"/>
                <w:szCs w:val="16"/>
              </w:rPr>
            </w:pPr>
            <w:r>
              <w:rPr>
                <w:rFonts w:ascii="Arial Narrow" w:hAnsi="Arial Narrow"/>
                <w:sz w:val="16"/>
                <w:szCs w:val="16"/>
              </w:rPr>
              <w:t>Κοινωνικό Εισόδημα Αλληλεγγύης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lang w:val="en-US"/>
              </w:rPr>
              <w:t>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850</w:t>
            </w:r>
          </w:p>
        </w:tc>
      </w:tr>
      <w:tr w:rsidR="00004244" w:rsidRPr="009B0848" w:rsidTr="00FE5D7A">
        <w:trPr>
          <w:jc w:val="center"/>
        </w:trPr>
        <w:tc>
          <w:tcPr>
            <w:tcW w:w="5191" w:type="dxa"/>
            <w:tcBorders>
              <w:top w:val="nil"/>
              <w:bottom w:val="nil"/>
              <w:right w:val="nil"/>
            </w:tcBorders>
          </w:tcPr>
          <w:p w:rsidR="00004244" w:rsidRDefault="00004244" w:rsidP="00FE5D7A">
            <w:pPr>
              <w:spacing w:line="235" w:lineRule="auto"/>
              <w:rPr>
                <w:rFonts w:ascii="Arial Narrow" w:hAnsi="Arial Narrow"/>
                <w:sz w:val="16"/>
                <w:szCs w:val="16"/>
              </w:rPr>
            </w:pPr>
            <w:r>
              <w:rPr>
                <w:rFonts w:ascii="Arial Narrow" w:hAnsi="Arial Narrow"/>
                <w:sz w:val="16"/>
                <w:szCs w:val="16"/>
              </w:rPr>
              <w:t>Επιδόματα ΑμΕΑ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740</w:t>
            </w:r>
          </w:p>
        </w:tc>
      </w:tr>
      <w:tr w:rsidR="00004244" w:rsidRPr="009B0848" w:rsidTr="00FE5D7A">
        <w:trPr>
          <w:jc w:val="center"/>
        </w:trPr>
        <w:tc>
          <w:tcPr>
            <w:tcW w:w="5191" w:type="dxa"/>
            <w:tcBorders>
              <w:top w:val="nil"/>
              <w:bottom w:val="nil"/>
              <w:right w:val="nil"/>
            </w:tcBorders>
          </w:tcPr>
          <w:p w:rsidR="00004244" w:rsidRDefault="00004244" w:rsidP="00FE5D7A">
            <w:pPr>
              <w:spacing w:line="235" w:lineRule="auto"/>
              <w:rPr>
                <w:rFonts w:ascii="Arial Narrow" w:hAnsi="Arial Narrow"/>
                <w:sz w:val="16"/>
                <w:szCs w:val="16"/>
              </w:rPr>
            </w:pPr>
            <w:r>
              <w:rPr>
                <w:rFonts w:ascii="Arial Narrow" w:hAnsi="Arial Narrow"/>
                <w:sz w:val="16"/>
                <w:szCs w:val="16"/>
              </w:rPr>
              <w:t>Στεγαστικό επίδομα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0</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400</w:t>
            </w:r>
          </w:p>
        </w:tc>
      </w:tr>
      <w:tr w:rsidR="00004244" w:rsidRPr="009B0848" w:rsidTr="00FE5D7A">
        <w:trPr>
          <w:jc w:val="center"/>
        </w:trPr>
        <w:tc>
          <w:tcPr>
            <w:tcW w:w="5191" w:type="dxa"/>
            <w:tcBorders>
              <w:top w:val="nil"/>
              <w:bottom w:val="nil"/>
              <w:right w:val="nil"/>
            </w:tcBorders>
          </w:tcPr>
          <w:p w:rsidR="00004244" w:rsidRDefault="00004244" w:rsidP="00FE5D7A">
            <w:pPr>
              <w:spacing w:line="235" w:lineRule="auto"/>
              <w:rPr>
                <w:rFonts w:ascii="Arial Narrow" w:hAnsi="Arial Narrow"/>
                <w:sz w:val="16"/>
                <w:szCs w:val="16"/>
              </w:rPr>
            </w:pPr>
            <w:r>
              <w:rPr>
                <w:rFonts w:ascii="Arial Narrow" w:hAnsi="Arial Narrow"/>
                <w:sz w:val="16"/>
                <w:szCs w:val="16"/>
              </w:rPr>
              <w:t>Λοιπά προγράμματα</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lang w:val="en-US"/>
              </w:rPr>
              <w:t>65</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lang w:val="en-US"/>
              </w:rPr>
            </w:pPr>
            <w:r w:rsidRPr="00004244">
              <w:rPr>
                <w:rFonts w:ascii="Arial Narrow" w:hAnsi="Arial Narrow"/>
                <w:sz w:val="16"/>
                <w:szCs w:val="16"/>
                <w:lang w:val="en-US"/>
              </w:rPr>
              <w:t>79</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Δαπάνες προσωπικού</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11</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11</w:t>
            </w:r>
          </w:p>
        </w:tc>
      </w:tr>
      <w:tr w:rsidR="00004244" w:rsidRPr="009B0848" w:rsidTr="00FE5D7A">
        <w:trPr>
          <w:jc w:val="center"/>
        </w:trPr>
        <w:tc>
          <w:tcPr>
            <w:tcW w:w="5191" w:type="dxa"/>
            <w:tcBorders>
              <w:top w:val="nil"/>
              <w:bottom w:val="nil"/>
              <w:right w:val="nil"/>
            </w:tcBorders>
          </w:tcPr>
          <w:p w:rsidR="00004244" w:rsidRPr="009B0848" w:rsidRDefault="00004244" w:rsidP="00FE5D7A">
            <w:pPr>
              <w:spacing w:line="235" w:lineRule="auto"/>
              <w:rPr>
                <w:rFonts w:ascii="Arial Narrow" w:hAnsi="Arial Narrow"/>
                <w:sz w:val="16"/>
                <w:szCs w:val="16"/>
              </w:rPr>
            </w:pPr>
            <w:r w:rsidRPr="009B0848">
              <w:rPr>
                <w:rFonts w:ascii="Arial Narrow" w:hAnsi="Arial Narrow"/>
                <w:sz w:val="16"/>
                <w:szCs w:val="16"/>
              </w:rPr>
              <w:t>Διοικητικές δαπάνες</w:t>
            </w:r>
          </w:p>
        </w:tc>
        <w:tc>
          <w:tcPr>
            <w:tcW w:w="1787" w:type="dxa"/>
            <w:tcBorders>
              <w:top w:val="nil"/>
              <w:left w:val="nil"/>
              <w:bottom w:val="nil"/>
              <w:right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17</w:t>
            </w:r>
          </w:p>
        </w:tc>
        <w:tc>
          <w:tcPr>
            <w:tcW w:w="1773" w:type="dxa"/>
            <w:tcBorders>
              <w:top w:val="nil"/>
              <w:left w:val="nil"/>
              <w:bottom w:val="nil"/>
            </w:tcBorders>
            <w:vAlign w:val="center"/>
          </w:tcPr>
          <w:p w:rsidR="00004244" w:rsidRPr="00004244" w:rsidRDefault="00004244" w:rsidP="00004244">
            <w:pPr>
              <w:ind w:right="567"/>
              <w:jc w:val="right"/>
              <w:rPr>
                <w:rFonts w:ascii="Arial Narrow" w:hAnsi="Arial Narrow"/>
                <w:sz w:val="16"/>
                <w:szCs w:val="16"/>
              </w:rPr>
            </w:pPr>
            <w:r w:rsidRPr="00004244">
              <w:rPr>
                <w:rFonts w:ascii="Arial Narrow" w:hAnsi="Arial Narrow"/>
                <w:sz w:val="16"/>
                <w:szCs w:val="16"/>
              </w:rPr>
              <w:t>17</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DC3481" w:rsidRDefault="00004244" w:rsidP="00FE5D7A">
            <w:pPr>
              <w:spacing w:line="235" w:lineRule="auto"/>
              <w:rPr>
                <w:rFonts w:ascii="Arial Narrow" w:hAnsi="Arial Narrow"/>
                <w:b/>
                <w:sz w:val="16"/>
                <w:szCs w:val="16"/>
              </w:rPr>
            </w:pPr>
            <w:r w:rsidRPr="00DC3481">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2</w:t>
            </w:r>
            <w:r w:rsidRPr="00004244">
              <w:rPr>
                <w:rFonts w:ascii="Arial Narrow" w:hAnsi="Arial Narrow"/>
                <w:b/>
                <w:bCs/>
                <w:sz w:val="16"/>
                <w:szCs w:val="16"/>
                <w:lang w:val="en-US"/>
              </w:rPr>
              <w:t>7</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lang w:val="en-US"/>
              </w:rPr>
              <w:t>-24</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DC3481" w:rsidRDefault="00004244" w:rsidP="00FE5D7A">
            <w:pPr>
              <w:spacing w:line="235" w:lineRule="auto"/>
              <w:rPr>
                <w:rFonts w:ascii="Arial Narrow" w:hAnsi="Arial Narrow"/>
                <w:b/>
                <w:sz w:val="16"/>
                <w:szCs w:val="16"/>
              </w:rPr>
            </w:pPr>
            <w:r w:rsidRPr="00DC3481">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0</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0</w:t>
            </w:r>
          </w:p>
        </w:tc>
      </w:tr>
      <w:tr w:rsidR="00004244" w:rsidRPr="009B0848" w:rsidTr="00FE5D7A">
        <w:trPr>
          <w:jc w:val="center"/>
        </w:trPr>
        <w:tc>
          <w:tcPr>
            <w:tcW w:w="5191" w:type="dxa"/>
            <w:tcBorders>
              <w:top w:val="nil"/>
              <w:bottom w:val="nil"/>
              <w:right w:val="nil"/>
            </w:tcBorders>
            <w:shd w:val="clear" w:color="auto" w:fill="D9D9D9" w:themeFill="background1" w:themeFillShade="D9"/>
          </w:tcPr>
          <w:p w:rsidR="00004244" w:rsidRPr="009B0848" w:rsidRDefault="00004244" w:rsidP="00FE5D7A">
            <w:pPr>
              <w:spacing w:line="235" w:lineRule="auto"/>
              <w:rPr>
                <w:rFonts w:ascii="Arial Narrow" w:hAnsi="Arial Narrow"/>
                <w:b/>
                <w:bCs/>
                <w:sz w:val="16"/>
                <w:szCs w:val="16"/>
                <w:lang w:val="en-GB"/>
              </w:rPr>
            </w:pPr>
            <w:r w:rsidRPr="009B0848">
              <w:rPr>
                <w:rFonts w:ascii="Arial Narrow" w:hAnsi="Arial Narrow"/>
                <w:b/>
                <w:bCs/>
                <w:sz w:val="16"/>
                <w:szCs w:val="16"/>
              </w:rPr>
              <w:t>Ισοζύγιο</w:t>
            </w:r>
            <w:r>
              <w:rPr>
                <w:rFonts w:ascii="Arial Narrow" w:hAnsi="Arial Narrow"/>
                <w:b/>
                <w:bCs/>
                <w:sz w:val="16"/>
                <w:szCs w:val="16"/>
              </w:rPr>
              <w:t xml:space="preserve"> κατά </w:t>
            </w:r>
            <w:r>
              <w:rPr>
                <w:rFonts w:ascii="Arial Narrow" w:hAnsi="Arial Narrow"/>
                <w:b/>
                <w:bCs/>
                <w:sz w:val="16"/>
                <w:szCs w:val="16"/>
                <w:lang w:val="en-GB"/>
              </w:rPr>
              <w:t>ESA</w:t>
            </w:r>
          </w:p>
        </w:tc>
        <w:tc>
          <w:tcPr>
            <w:tcW w:w="1787" w:type="dxa"/>
            <w:tcBorders>
              <w:top w:val="nil"/>
              <w:left w:val="nil"/>
              <w:bottom w:val="nil"/>
              <w:right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2</w:t>
            </w:r>
            <w:r w:rsidRPr="00004244">
              <w:rPr>
                <w:rFonts w:ascii="Arial Narrow" w:hAnsi="Arial Narrow"/>
                <w:b/>
                <w:bCs/>
                <w:sz w:val="16"/>
                <w:szCs w:val="16"/>
                <w:lang w:val="en-US"/>
              </w:rPr>
              <w:t>7</w:t>
            </w:r>
          </w:p>
        </w:tc>
        <w:tc>
          <w:tcPr>
            <w:tcW w:w="1773" w:type="dxa"/>
            <w:tcBorders>
              <w:top w:val="nil"/>
              <w:left w:val="nil"/>
              <w:bottom w:val="nil"/>
            </w:tcBorders>
            <w:shd w:val="clear" w:color="auto" w:fill="D9D9D9" w:themeFill="background1" w:themeFillShade="D9"/>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lang w:val="en-US"/>
              </w:rPr>
              <w:t>-24</w:t>
            </w:r>
          </w:p>
        </w:tc>
      </w:tr>
      <w:tr w:rsidR="00004244" w:rsidRPr="009B0848" w:rsidTr="00FE5D7A">
        <w:trPr>
          <w:jc w:val="center"/>
        </w:trPr>
        <w:tc>
          <w:tcPr>
            <w:tcW w:w="5191" w:type="dxa"/>
            <w:tcBorders>
              <w:top w:val="nil"/>
              <w:bottom w:val="nil"/>
              <w:right w:val="nil"/>
            </w:tcBorders>
            <w:shd w:val="clear" w:color="auto" w:fill="BFBFBF" w:themeFill="background1" w:themeFillShade="BF"/>
          </w:tcPr>
          <w:p w:rsidR="00004244" w:rsidRPr="009B0848" w:rsidRDefault="00004244" w:rsidP="00FE5D7A">
            <w:pPr>
              <w:spacing w:line="235" w:lineRule="auto"/>
              <w:rPr>
                <w:rFonts w:ascii="Arial Narrow" w:hAnsi="Arial Narrow"/>
                <w:b/>
                <w:bCs/>
                <w:sz w:val="16"/>
                <w:szCs w:val="16"/>
              </w:rPr>
            </w:pPr>
            <w:r>
              <w:rPr>
                <w:rFonts w:ascii="Arial Narrow" w:hAnsi="Arial Narrow"/>
                <w:b/>
                <w:bCs/>
                <w:sz w:val="16"/>
                <w:szCs w:val="16"/>
              </w:rPr>
              <w:t xml:space="preserve">Συνολικό ταμειακό ισοζύγιο ΦΚΑ </w:t>
            </w:r>
          </w:p>
        </w:tc>
        <w:tc>
          <w:tcPr>
            <w:tcW w:w="1787" w:type="dxa"/>
            <w:tcBorders>
              <w:top w:val="nil"/>
              <w:left w:val="nil"/>
              <w:bottom w:val="nil"/>
              <w:right w:val="nil"/>
            </w:tcBorders>
            <w:shd w:val="clear" w:color="auto" w:fill="BFBFBF" w:themeFill="background1" w:themeFillShade="BF"/>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1.</w:t>
            </w:r>
            <w:r w:rsidRPr="00004244">
              <w:rPr>
                <w:rFonts w:ascii="Arial Narrow" w:hAnsi="Arial Narrow"/>
                <w:b/>
                <w:bCs/>
                <w:sz w:val="16"/>
                <w:szCs w:val="16"/>
                <w:lang w:val="en-US"/>
              </w:rPr>
              <w:t>644</w:t>
            </w:r>
          </w:p>
        </w:tc>
        <w:tc>
          <w:tcPr>
            <w:tcW w:w="1773" w:type="dxa"/>
            <w:tcBorders>
              <w:top w:val="nil"/>
              <w:left w:val="nil"/>
              <w:bottom w:val="nil"/>
            </w:tcBorders>
            <w:shd w:val="clear" w:color="auto" w:fill="BFBFBF" w:themeFill="background1" w:themeFillShade="BF"/>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1.</w:t>
            </w:r>
            <w:r w:rsidRPr="00004244">
              <w:rPr>
                <w:rFonts w:ascii="Arial Narrow" w:hAnsi="Arial Narrow"/>
                <w:b/>
                <w:bCs/>
                <w:sz w:val="16"/>
                <w:szCs w:val="16"/>
                <w:lang w:val="en-US"/>
              </w:rPr>
              <w:t>440</w:t>
            </w:r>
          </w:p>
        </w:tc>
      </w:tr>
      <w:tr w:rsidR="00004244" w:rsidRPr="009B0848" w:rsidTr="00FE5D7A">
        <w:trPr>
          <w:jc w:val="center"/>
        </w:trPr>
        <w:tc>
          <w:tcPr>
            <w:tcW w:w="5191" w:type="dxa"/>
            <w:tcBorders>
              <w:top w:val="nil"/>
              <w:bottom w:val="nil"/>
              <w:right w:val="nil"/>
            </w:tcBorders>
            <w:shd w:val="clear" w:color="auto" w:fill="BFBFBF" w:themeFill="background1" w:themeFillShade="BF"/>
          </w:tcPr>
          <w:p w:rsidR="00004244" w:rsidRPr="009B0848" w:rsidRDefault="00004244" w:rsidP="00FE5D7A">
            <w:pPr>
              <w:spacing w:line="235" w:lineRule="auto"/>
              <w:rPr>
                <w:rFonts w:ascii="Arial Narrow" w:hAnsi="Arial Narrow"/>
                <w:b/>
                <w:bCs/>
                <w:sz w:val="16"/>
                <w:szCs w:val="16"/>
              </w:rPr>
            </w:pPr>
            <w:r>
              <w:rPr>
                <w:rFonts w:ascii="Arial Narrow" w:hAnsi="Arial Narrow"/>
                <w:b/>
                <w:bCs/>
                <w:sz w:val="16"/>
                <w:szCs w:val="16"/>
              </w:rPr>
              <w:t>Εθνικολογιστικές προσαρμογές</w:t>
            </w:r>
          </w:p>
        </w:tc>
        <w:tc>
          <w:tcPr>
            <w:tcW w:w="1787" w:type="dxa"/>
            <w:tcBorders>
              <w:top w:val="nil"/>
              <w:left w:val="nil"/>
              <w:bottom w:val="nil"/>
              <w:right w:val="nil"/>
            </w:tcBorders>
            <w:shd w:val="clear" w:color="auto" w:fill="BFBFBF" w:themeFill="background1" w:themeFillShade="BF"/>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533</w:t>
            </w:r>
          </w:p>
        </w:tc>
        <w:tc>
          <w:tcPr>
            <w:tcW w:w="1773" w:type="dxa"/>
            <w:tcBorders>
              <w:top w:val="nil"/>
              <w:left w:val="nil"/>
              <w:bottom w:val="nil"/>
            </w:tcBorders>
            <w:shd w:val="clear" w:color="auto" w:fill="BFBFBF" w:themeFill="background1" w:themeFillShade="BF"/>
            <w:vAlign w:val="center"/>
          </w:tcPr>
          <w:p w:rsidR="00004244" w:rsidRPr="00004244" w:rsidRDefault="00004244" w:rsidP="00004244">
            <w:pPr>
              <w:ind w:right="567"/>
              <w:jc w:val="right"/>
              <w:rPr>
                <w:rFonts w:ascii="Arial Narrow" w:hAnsi="Arial Narrow"/>
                <w:b/>
                <w:bCs/>
                <w:sz w:val="16"/>
                <w:szCs w:val="16"/>
              </w:rPr>
            </w:pPr>
            <w:r w:rsidRPr="00004244">
              <w:rPr>
                <w:rFonts w:ascii="Arial Narrow" w:hAnsi="Arial Narrow"/>
                <w:b/>
                <w:bCs/>
                <w:sz w:val="16"/>
                <w:szCs w:val="16"/>
              </w:rPr>
              <w:t>233</w:t>
            </w:r>
          </w:p>
        </w:tc>
      </w:tr>
      <w:tr w:rsidR="00004244" w:rsidRPr="009B0848" w:rsidTr="00FE5D7A">
        <w:trPr>
          <w:jc w:val="center"/>
        </w:trPr>
        <w:tc>
          <w:tcPr>
            <w:tcW w:w="5191" w:type="dxa"/>
            <w:tcBorders>
              <w:top w:val="nil"/>
              <w:bottom w:val="single" w:sz="4" w:space="0" w:color="auto"/>
              <w:right w:val="nil"/>
            </w:tcBorders>
            <w:shd w:val="clear" w:color="auto" w:fill="BFBFBF" w:themeFill="background1" w:themeFillShade="BF"/>
          </w:tcPr>
          <w:p w:rsidR="00004244" w:rsidRPr="009B0848" w:rsidRDefault="00004244" w:rsidP="00FE5D7A">
            <w:pPr>
              <w:spacing w:line="235" w:lineRule="auto"/>
              <w:rPr>
                <w:rFonts w:ascii="Arial Narrow" w:hAnsi="Arial Narrow"/>
                <w:b/>
                <w:bCs/>
                <w:sz w:val="16"/>
                <w:szCs w:val="16"/>
              </w:rPr>
            </w:pPr>
            <w:r>
              <w:rPr>
                <w:rFonts w:ascii="Arial Narrow" w:hAnsi="Arial Narrow"/>
                <w:b/>
                <w:bCs/>
                <w:sz w:val="16"/>
                <w:szCs w:val="16"/>
              </w:rPr>
              <w:t>Συνολικό ι</w:t>
            </w:r>
            <w:r w:rsidRPr="009B0848">
              <w:rPr>
                <w:rFonts w:ascii="Arial Narrow" w:hAnsi="Arial Narrow"/>
                <w:b/>
                <w:bCs/>
                <w:sz w:val="16"/>
                <w:szCs w:val="16"/>
              </w:rPr>
              <w:t>σοζύγιο ΦΚΑ</w:t>
            </w:r>
            <w:r>
              <w:rPr>
                <w:rFonts w:ascii="Arial Narrow" w:hAnsi="Arial Narrow"/>
                <w:b/>
                <w:bCs/>
                <w:sz w:val="16"/>
                <w:szCs w:val="16"/>
              </w:rPr>
              <w:t xml:space="preserve"> κατά </w:t>
            </w:r>
            <w:r>
              <w:rPr>
                <w:rFonts w:ascii="Arial Narrow" w:hAnsi="Arial Narrow"/>
                <w:b/>
                <w:bCs/>
                <w:sz w:val="16"/>
                <w:szCs w:val="16"/>
                <w:lang w:val="en-GB"/>
              </w:rPr>
              <w:t>ESA</w:t>
            </w:r>
            <w:r w:rsidRPr="0097155F">
              <w:rPr>
                <w:rFonts w:ascii="Arial Narrow" w:hAnsi="Arial Narrow"/>
                <w:b/>
                <w:bCs/>
                <w:sz w:val="16"/>
                <w:szCs w:val="16"/>
              </w:rPr>
              <w:t xml:space="preserve"> </w:t>
            </w:r>
          </w:p>
        </w:tc>
        <w:tc>
          <w:tcPr>
            <w:tcW w:w="1787" w:type="dxa"/>
            <w:tcBorders>
              <w:top w:val="nil"/>
              <w:left w:val="nil"/>
              <w:bottom w:val="single" w:sz="4" w:space="0" w:color="auto"/>
              <w:right w:val="nil"/>
            </w:tcBorders>
            <w:shd w:val="clear" w:color="auto" w:fill="BFBFBF" w:themeFill="background1" w:themeFillShade="BF"/>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lang w:val="en-US"/>
              </w:rPr>
              <w:t>2.177</w:t>
            </w:r>
          </w:p>
        </w:tc>
        <w:tc>
          <w:tcPr>
            <w:tcW w:w="1773" w:type="dxa"/>
            <w:tcBorders>
              <w:top w:val="nil"/>
              <w:left w:val="nil"/>
              <w:bottom w:val="single" w:sz="4" w:space="0" w:color="auto"/>
            </w:tcBorders>
            <w:shd w:val="clear" w:color="auto" w:fill="BFBFBF" w:themeFill="background1" w:themeFillShade="BF"/>
            <w:vAlign w:val="center"/>
          </w:tcPr>
          <w:p w:rsidR="00004244" w:rsidRPr="00004244" w:rsidRDefault="00004244" w:rsidP="00004244">
            <w:pPr>
              <w:ind w:right="567"/>
              <w:jc w:val="right"/>
              <w:rPr>
                <w:rFonts w:ascii="Arial Narrow" w:hAnsi="Arial Narrow"/>
                <w:b/>
                <w:bCs/>
                <w:sz w:val="16"/>
                <w:szCs w:val="16"/>
                <w:lang w:val="en-US"/>
              </w:rPr>
            </w:pPr>
            <w:r w:rsidRPr="00004244">
              <w:rPr>
                <w:rFonts w:ascii="Arial Narrow" w:hAnsi="Arial Narrow"/>
                <w:b/>
                <w:bCs/>
                <w:sz w:val="16"/>
                <w:szCs w:val="16"/>
              </w:rPr>
              <w:t>1.</w:t>
            </w:r>
            <w:r w:rsidRPr="00004244">
              <w:rPr>
                <w:rFonts w:ascii="Arial Narrow" w:hAnsi="Arial Narrow"/>
                <w:b/>
                <w:bCs/>
                <w:sz w:val="16"/>
                <w:szCs w:val="16"/>
                <w:lang w:val="en-US"/>
              </w:rPr>
              <w:t>673</w:t>
            </w:r>
          </w:p>
        </w:tc>
      </w:tr>
    </w:tbl>
    <w:p w:rsidR="003E3DA1" w:rsidRPr="00117270" w:rsidRDefault="003E3DA1" w:rsidP="003E3DA1">
      <w:pPr>
        <w:pStyle w:val="af2"/>
        <w:numPr>
          <w:ilvl w:val="0"/>
          <w:numId w:val="30"/>
        </w:numPr>
        <w:spacing w:after="0" w:line="240" w:lineRule="auto"/>
        <w:ind w:right="140" w:hanging="293"/>
        <w:rPr>
          <w:rFonts w:ascii="Arial Narrow" w:hAnsi="Arial Narrow"/>
          <w:sz w:val="16"/>
          <w:szCs w:val="16"/>
        </w:rPr>
      </w:pPr>
      <w:r w:rsidRPr="00117270">
        <w:rPr>
          <w:rFonts w:ascii="Arial Narrow" w:hAnsi="Arial Narrow"/>
          <w:sz w:val="16"/>
          <w:szCs w:val="16"/>
        </w:rPr>
        <w:t>Συμπεριλαμβάνεται η επιχορήγηση καταβολής εφάπαξ ποσού σε συνταξιούχους ύψους 419 εκατ. ευρώ περίπου για το 2018.</w:t>
      </w:r>
    </w:p>
    <w:p w:rsidR="00736C0C" w:rsidRDefault="00736C0C" w:rsidP="00736C0C">
      <w:pPr>
        <w:rPr>
          <w:rFonts w:eastAsiaTheme="minorHAnsi"/>
          <w:sz w:val="22"/>
          <w:szCs w:val="22"/>
        </w:rPr>
      </w:pPr>
    </w:p>
    <w:p w:rsidR="00671DC3" w:rsidRPr="003E000C" w:rsidRDefault="00671DC3" w:rsidP="00671DC3">
      <w:pPr>
        <w:jc w:val="both"/>
        <w:rPr>
          <w:strike/>
          <w:sz w:val="22"/>
          <w:szCs w:val="22"/>
        </w:rPr>
      </w:pPr>
    </w:p>
    <w:p w:rsidR="00671DC3" w:rsidRDefault="00671DC3" w:rsidP="00671DC3">
      <w:pPr>
        <w:jc w:val="both"/>
        <w:rPr>
          <w:rFonts w:ascii="Arial Narrow" w:hAnsi="Arial Narrow"/>
          <w:b/>
          <w:color w:val="000080"/>
          <w:szCs w:val="22"/>
        </w:rPr>
      </w:pPr>
      <w:r>
        <w:rPr>
          <w:rFonts w:ascii="Arial Narrow" w:hAnsi="Arial Narrow"/>
          <w:b/>
          <w:color w:val="000080"/>
          <w:szCs w:val="22"/>
        </w:rPr>
        <w:t>Οργανισμός Απασχόλησης Εργατικού Δυναμικού</w:t>
      </w:r>
    </w:p>
    <w:p w:rsidR="00671DC3" w:rsidRDefault="00671DC3" w:rsidP="00671DC3">
      <w:pPr>
        <w:jc w:val="both"/>
        <w:rPr>
          <w:rFonts w:ascii="Arial Narrow" w:hAnsi="Arial Narrow"/>
          <w:b/>
          <w:color w:val="000080"/>
          <w:szCs w:val="22"/>
        </w:rPr>
      </w:pPr>
    </w:p>
    <w:p w:rsidR="00671DC3" w:rsidRDefault="00671DC3" w:rsidP="00671DC3">
      <w:pPr>
        <w:jc w:val="both"/>
        <w:rPr>
          <w:sz w:val="22"/>
          <w:szCs w:val="22"/>
        </w:rPr>
      </w:pPr>
      <w:r w:rsidRPr="006B0DB5">
        <w:rPr>
          <w:sz w:val="22"/>
          <w:szCs w:val="22"/>
        </w:rPr>
        <w:t>Το δημοσιονομικό αποτέλεσμα</w:t>
      </w:r>
      <w:r>
        <w:rPr>
          <w:sz w:val="22"/>
          <w:szCs w:val="22"/>
        </w:rPr>
        <w:t xml:space="preserve"> του Οργανισμού Απασχόλησης Εργατικού Δυναμικού (ΟΑΕΔ) για το 2019 εκτιμάται ότι θα ανέλθει σε πλεόνασμα ύψους 518 εκατ. ευρώ, μειωμένο κατά 55 εκατ. ευρώ σε σχέση με το 2018.  </w:t>
      </w:r>
    </w:p>
    <w:p w:rsidR="00671DC3" w:rsidRDefault="00671DC3" w:rsidP="00671DC3">
      <w:pPr>
        <w:jc w:val="both"/>
        <w:rPr>
          <w:sz w:val="22"/>
          <w:szCs w:val="22"/>
        </w:rPr>
      </w:pPr>
    </w:p>
    <w:p w:rsidR="00671DC3" w:rsidRDefault="00671DC3" w:rsidP="00671DC3">
      <w:pPr>
        <w:jc w:val="both"/>
        <w:rPr>
          <w:sz w:val="22"/>
          <w:szCs w:val="22"/>
        </w:rPr>
      </w:pPr>
      <w:r>
        <w:rPr>
          <w:sz w:val="22"/>
          <w:szCs w:val="22"/>
        </w:rPr>
        <w:t xml:space="preserve">Η εξέλιξη αυτή οφείλεται κυρίως </w:t>
      </w:r>
      <w:r w:rsidRPr="00247F02">
        <w:rPr>
          <w:sz w:val="22"/>
          <w:szCs w:val="22"/>
        </w:rPr>
        <w:t xml:space="preserve">στην αυξημένη δαπάνη κατά 140 εκατ. ευρώ για τα προγράμματα απασχόλησης σε σχέση με το 2018, η οποία εκτιμάται ότι θα διαμορφωθεί σε 500 εκατ. </w:t>
      </w:r>
      <w:r>
        <w:rPr>
          <w:sz w:val="22"/>
          <w:szCs w:val="22"/>
        </w:rPr>
        <w:t>ευρώ περίπου</w:t>
      </w:r>
      <w:r w:rsidR="0040312D">
        <w:rPr>
          <w:sz w:val="22"/>
          <w:szCs w:val="22"/>
        </w:rPr>
        <w:t>,</w:t>
      </w:r>
      <w:r>
        <w:rPr>
          <w:sz w:val="22"/>
          <w:szCs w:val="22"/>
        </w:rPr>
        <w:t xml:space="preserve"> ενώ επιπρόσθετα 51</w:t>
      </w:r>
      <w:r w:rsidRPr="00247F02">
        <w:rPr>
          <w:sz w:val="22"/>
          <w:szCs w:val="22"/>
        </w:rPr>
        <w:t xml:space="preserve"> εκατ. ευρώ </w:t>
      </w:r>
      <w:r>
        <w:rPr>
          <w:sz w:val="22"/>
          <w:szCs w:val="22"/>
        </w:rPr>
        <w:t>προβλέπεται</w:t>
      </w:r>
      <w:r w:rsidRPr="00247F02">
        <w:rPr>
          <w:sz w:val="22"/>
          <w:szCs w:val="22"/>
        </w:rPr>
        <w:t xml:space="preserve"> να διατεθούν μέσω ισόποσης αύξησης της κρατικής επιχορήγησης για την υλοποίηση της δράσης επιδότηση</w:t>
      </w:r>
      <w:r w:rsidR="0040312D">
        <w:rPr>
          <w:sz w:val="22"/>
          <w:szCs w:val="22"/>
        </w:rPr>
        <w:t>ς</w:t>
      </w:r>
      <w:r w:rsidRPr="00247F02">
        <w:rPr>
          <w:sz w:val="22"/>
          <w:szCs w:val="22"/>
        </w:rPr>
        <w:t xml:space="preserve"> των </w:t>
      </w:r>
      <w:r w:rsidR="0040312D">
        <w:rPr>
          <w:sz w:val="22"/>
          <w:szCs w:val="22"/>
        </w:rPr>
        <w:t>εργοδοτικών</w:t>
      </w:r>
      <w:r w:rsidRPr="00247F02">
        <w:rPr>
          <w:sz w:val="22"/>
          <w:szCs w:val="22"/>
        </w:rPr>
        <w:t xml:space="preserve"> εισφορών </w:t>
      </w:r>
      <w:r w:rsidR="0040312D">
        <w:rPr>
          <w:sz w:val="22"/>
          <w:szCs w:val="22"/>
        </w:rPr>
        <w:t xml:space="preserve">για </w:t>
      </w:r>
      <w:r w:rsidRPr="00247F02">
        <w:rPr>
          <w:sz w:val="22"/>
          <w:szCs w:val="22"/>
        </w:rPr>
        <w:t>νέ</w:t>
      </w:r>
      <w:r w:rsidR="0040312D">
        <w:rPr>
          <w:sz w:val="22"/>
          <w:szCs w:val="22"/>
        </w:rPr>
        <w:t>ους</w:t>
      </w:r>
      <w:r>
        <w:rPr>
          <w:sz w:val="22"/>
          <w:szCs w:val="22"/>
        </w:rPr>
        <w:t xml:space="preserve"> </w:t>
      </w:r>
      <w:r w:rsidRPr="00247F02">
        <w:rPr>
          <w:sz w:val="22"/>
          <w:szCs w:val="22"/>
        </w:rPr>
        <w:t>εργαζ</w:t>
      </w:r>
      <w:r w:rsidR="0040312D">
        <w:rPr>
          <w:sz w:val="22"/>
          <w:szCs w:val="22"/>
        </w:rPr>
        <w:t>όμενους ως 24 ετών</w:t>
      </w:r>
      <w:r w:rsidRPr="00247F02">
        <w:rPr>
          <w:sz w:val="22"/>
          <w:szCs w:val="22"/>
        </w:rPr>
        <w:t>.</w:t>
      </w:r>
    </w:p>
    <w:p w:rsidR="00671DC3" w:rsidRDefault="00671DC3" w:rsidP="00671DC3">
      <w:pPr>
        <w:jc w:val="both"/>
        <w:rPr>
          <w:sz w:val="22"/>
          <w:szCs w:val="22"/>
        </w:rPr>
      </w:pPr>
    </w:p>
    <w:p w:rsidR="00671DC3" w:rsidRDefault="00200DDE" w:rsidP="00671DC3">
      <w:pPr>
        <w:jc w:val="both"/>
        <w:rPr>
          <w:sz w:val="22"/>
          <w:szCs w:val="22"/>
        </w:rPr>
      </w:pPr>
      <w:r>
        <w:rPr>
          <w:sz w:val="22"/>
          <w:szCs w:val="22"/>
        </w:rPr>
        <w:t>Οι αυξημένες κατά 110</w:t>
      </w:r>
      <w:r w:rsidR="00671DC3">
        <w:rPr>
          <w:sz w:val="22"/>
          <w:szCs w:val="22"/>
        </w:rPr>
        <w:t xml:space="preserve"> εκατ. ευρώ δαπάνες του ΟΑΕΔ</w:t>
      </w:r>
      <w:r w:rsidR="00671DC3" w:rsidRPr="007B6AE9">
        <w:rPr>
          <w:sz w:val="22"/>
          <w:szCs w:val="22"/>
        </w:rPr>
        <w:t xml:space="preserve">, </w:t>
      </w:r>
      <w:r w:rsidR="00671DC3">
        <w:rPr>
          <w:sz w:val="22"/>
          <w:szCs w:val="22"/>
        </w:rPr>
        <w:t>πλην της ανωτέρω δράσης</w:t>
      </w:r>
      <w:r w:rsidR="00671DC3" w:rsidRPr="007B6AE9">
        <w:rPr>
          <w:sz w:val="22"/>
          <w:szCs w:val="22"/>
        </w:rPr>
        <w:t xml:space="preserve">, </w:t>
      </w:r>
      <w:r w:rsidR="00671DC3">
        <w:rPr>
          <w:sz w:val="22"/>
          <w:szCs w:val="22"/>
        </w:rPr>
        <w:t>εκτιμάται ότι θα χρηματοδοτηθούν κυρίως από την προβλεπόμενη αύξηση κατά 70 εκατ. ευρώ των μεταβιβάσεων από το ΠΔΕ και από την εκτιμώμενη κατά 37 εκατ. ευρώ αύξηση των εσόδων από ασφαλιστικές εισφορές σε σχέση με το 2018.</w:t>
      </w:r>
    </w:p>
    <w:p w:rsidR="00671DC3" w:rsidRDefault="00671DC3" w:rsidP="00671DC3"/>
    <w:p w:rsidR="00671DC3" w:rsidRPr="00C674A3" w:rsidRDefault="00671DC3" w:rsidP="00671DC3">
      <w:pPr>
        <w:jc w:val="both"/>
        <w:rPr>
          <w:rFonts w:ascii="Arial Narrow" w:hAnsi="Arial Narrow"/>
          <w:b/>
          <w:color w:val="000080"/>
          <w:szCs w:val="22"/>
        </w:rPr>
      </w:pPr>
      <w:r w:rsidRPr="00C674A3">
        <w:rPr>
          <w:rFonts w:ascii="Arial Narrow" w:hAnsi="Arial Narrow"/>
          <w:b/>
          <w:color w:val="000080"/>
          <w:szCs w:val="22"/>
        </w:rPr>
        <w:t>Εθνικός Οργανισμός Παροχής Υπηρεσιών Υγείας (ΕΟΠΥΥ)</w:t>
      </w:r>
    </w:p>
    <w:p w:rsidR="00671DC3" w:rsidRDefault="00671DC3" w:rsidP="00671DC3">
      <w:pPr>
        <w:contextualSpacing/>
        <w:jc w:val="both"/>
        <w:rPr>
          <w:rFonts w:ascii="Arial Narrow" w:hAnsi="Arial Narrow"/>
          <w:b/>
          <w:i/>
          <w:sz w:val="22"/>
          <w:szCs w:val="22"/>
        </w:rPr>
      </w:pPr>
    </w:p>
    <w:p w:rsidR="00671DC3" w:rsidRPr="00D73B38" w:rsidRDefault="00671DC3" w:rsidP="00671DC3">
      <w:pPr>
        <w:contextualSpacing/>
        <w:jc w:val="both"/>
        <w:rPr>
          <w:sz w:val="22"/>
        </w:rPr>
      </w:pPr>
      <w:r w:rsidRPr="00D73B38">
        <w:rPr>
          <w:sz w:val="22"/>
        </w:rPr>
        <w:t xml:space="preserve">Ο </w:t>
      </w:r>
      <w:r>
        <w:rPr>
          <w:sz w:val="22"/>
        </w:rPr>
        <w:t xml:space="preserve">οργανισμός </w:t>
      </w:r>
      <w:r w:rsidRPr="00D73B38">
        <w:rPr>
          <w:sz w:val="22"/>
        </w:rPr>
        <w:t>αναμένεται να εμφανίσει θετικό δη</w:t>
      </w:r>
      <w:r>
        <w:rPr>
          <w:sz w:val="22"/>
        </w:rPr>
        <w:t>μοσιονομικό αποτέλεσμα ύψους 322</w:t>
      </w:r>
      <w:r w:rsidRPr="00D73B38">
        <w:rPr>
          <w:sz w:val="22"/>
        </w:rPr>
        <w:t xml:space="preserve"> εκατ. ευρώ</w:t>
      </w:r>
      <w:r>
        <w:rPr>
          <w:sz w:val="22"/>
        </w:rPr>
        <w:t xml:space="preserve"> το 2018</w:t>
      </w:r>
      <w:r w:rsidRPr="00D73B38">
        <w:rPr>
          <w:sz w:val="22"/>
        </w:rPr>
        <w:t xml:space="preserve">. Το αποτέλεσμα αυτό αποτυπώνει τη συνεχιζόμενη προσπάθεια μείωσης των απλήρωτων υποχρεώσεων του ΕΟΠΥΥ σε τρίτους, η οποία εκτιμάται ότι θα επιτευχθεί τόσο μέσω </w:t>
      </w:r>
      <w:r>
        <w:rPr>
          <w:sz w:val="22"/>
        </w:rPr>
        <w:t xml:space="preserve">της </w:t>
      </w:r>
      <w:r w:rsidR="0040312D">
        <w:rPr>
          <w:sz w:val="22"/>
        </w:rPr>
        <w:t>επιτάχυνσης</w:t>
      </w:r>
      <w:r w:rsidRPr="00D73B38">
        <w:rPr>
          <w:sz w:val="22"/>
        </w:rPr>
        <w:t xml:space="preserve"> των πληρωμών από </w:t>
      </w:r>
      <w:r>
        <w:rPr>
          <w:sz w:val="22"/>
        </w:rPr>
        <w:t xml:space="preserve">τα </w:t>
      </w:r>
      <w:r w:rsidRPr="00D73B38">
        <w:rPr>
          <w:sz w:val="22"/>
        </w:rPr>
        <w:t xml:space="preserve">ταμειακά </w:t>
      </w:r>
      <w:r>
        <w:rPr>
          <w:sz w:val="22"/>
        </w:rPr>
        <w:t xml:space="preserve">του </w:t>
      </w:r>
      <w:r w:rsidRPr="00D73B38">
        <w:rPr>
          <w:sz w:val="22"/>
        </w:rPr>
        <w:t>διαθέσιμα</w:t>
      </w:r>
      <w:r>
        <w:rPr>
          <w:sz w:val="22"/>
        </w:rPr>
        <w:t>,</w:t>
      </w:r>
      <w:r w:rsidRPr="00D73B38">
        <w:rPr>
          <w:sz w:val="22"/>
        </w:rPr>
        <w:t xml:space="preserve"> όσο και από το συμψηφισμό υποχρεώσεων</w:t>
      </w:r>
      <w:r>
        <w:rPr>
          <w:sz w:val="22"/>
        </w:rPr>
        <w:t xml:space="preserve"> </w:t>
      </w:r>
      <w:r w:rsidRPr="00D73B38">
        <w:rPr>
          <w:sz w:val="22"/>
        </w:rPr>
        <w:t xml:space="preserve">του </w:t>
      </w:r>
      <w:r>
        <w:rPr>
          <w:sz w:val="22"/>
        </w:rPr>
        <w:t>ο</w:t>
      </w:r>
      <w:r w:rsidRPr="00D73B38">
        <w:rPr>
          <w:sz w:val="22"/>
        </w:rPr>
        <w:t>ργανισμού με οφειλόμενα ποσά από τους μηχανισμούς αυτόματων επιστροφών και κλιμακούμενου ποσοστού επιστροφής (rebate και clawback).</w:t>
      </w:r>
    </w:p>
    <w:p w:rsidR="00671DC3" w:rsidRDefault="00671DC3" w:rsidP="00671DC3">
      <w:pPr>
        <w:contextualSpacing/>
        <w:jc w:val="both"/>
        <w:rPr>
          <w:sz w:val="22"/>
        </w:rPr>
      </w:pPr>
    </w:p>
    <w:p w:rsidR="00671DC3" w:rsidRPr="00D73B38" w:rsidRDefault="00671DC3" w:rsidP="00671DC3">
      <w:pPr>
        <w:contextualSpacing/>
        <w:jc w:val="both"/>
        <w:rPr>
          <w:sz w:val="22"/>
        </w:rPr>
      </w:pPr>
      <w:r w:rsidRPr="00D73B38">
        <w:rPr>
          <w:sz w:val="22"/>
        </w:rPr>
        <w:t xml:space="preserve">Αντίστοιχα, για το 2019, το δημοσιονομικό αποτέλεσμα του ΕΟΠΥΥ αναμένεται να διαμορφωθεί σε πλεόνασμα ύψους 269 εκατ. ευρώ. Ιδιαίτερη έμφαση δίνεται στη συγκράτηση της φαρμακευτικής δαπάνης και της δαπάνης των παρόχων υγείας σε δεδουλευμένη βάση εντός του ορίου των 2.001 εκατ. </w:t>
      </w:r>
      <w:r>
        <w:rPr>
          <w:sz w:val="22"/>
        </w:rPr>
        <w:t xml:space="preserve">ευρώ </w:t>
      </w:r>
      <w:r w:rsidRPr="00D73B38">
        <w:rPr>
          <w:sz w:val="22"/>
        </w:rPr>
        <w:t xml:space="preserve">και 1.455 </w:t>
      </w:r>
      <w:r>
        <w:rPr>
          <w:sz w:val="22"/>
        </w:rPr>
        <w:t xml:space="preserve">εκατ. </w:t>
      </w:r>
      <w:r w:rsidRPr="00D73B38">
        <w:rPr>
          <w:sz w:val="22"/>
        </w:rPr>
        <w:t>ευρώ αντίστοιχα</w:t>
      </w:r>
      <w:r>
        <w:rPr>
          <w:sz w:val="22"/>
        </w:rPr>
        <w:t>,</w:t>
      </w:r>
      <w:r w:rsidRPr="00D73B38">
        <w:rPr>
          <w:sz w:val="22"/>
        </w:rPr>
        <w:t xml:space="preserve"> κυρίως με τη χρήση των μηχανισμών αυτόματων επιστροφών (clawback) και του κλιμακούμενου ποσοστού επιστροφής (rebate).   </w:t>
      </w:r>
    </w:p>
    <w:p w:rsidR="00671DC3" w:rsidRDefault="00671DC3" w:rsidP="00671DC3"/>
    <w:p w:rsidR="000074CC" w:rsidRDefault="000074CC" w:rsidP="000074CC">
      <w:pPr>
        <w:jc w:val="both"/>
      </w:pPr>
    </w:p>
    <w:p w:rsidR="00736C0C" w:rsidRPr="00E77B3E" w:rsidRDefault="00736C0C" w:rsidP="00736C0C">
      <w:pPr>
        <w:jc w:val="both"/>
        <w:rPr>
          <w:rFonts w:ascii="Arial Narrow" w:hAnsi="Arial Narrow"/>
          <w:b/>
          <w:color w:val="000080"/>
          <w:szCs w:val="22"/>
        </w:rPr>
      </w:pPr>
      <w:r>
        <w:rPr>
          <w:rFonts w:ascii="Arial Narrow" w:hAnsi="Arial Narrow"/>
          <w:b/>
          <w:color w:val="000080"/>
          <w:szCs w:val="22"/>
        </w:rPr>
        <w:t>ΟΠΕΚΑ – ΝΑΤ</w:t>
      </w:r>
    </w:p>
    <w:p w:rsidR="00736C0C" w:rsidRDefault="00736C0C" w:rsidP="00736C0C">
      <w:pPr>
        <w:jc w:val="both"/>
        <w:rPr>
          <w:sz w:val="22"/>
          <w:szCs w:val="22"/>
        </w:rPr>
      </w:pPr>
    </w:p>
    <w:p w:rsidR="00736C0C" w:rsidRPr="003E000C" w:rsidRDefault="00736C0C" w:rsidP="00736C0C">
      <w:pPr>
        <w:contextualSpacing/>
        <w:jc w:val="both"/>
        <w:rPr>
          <w:sz w:val="22"/>
          <w:szCs w:val="22"/>
        </w:rPr>
      </w:pPr>
      <w:r w:rsidRPr="003E000C">
        <w:rPr>
          <w:sz w:val="22"/>
          <w:szCs w:val="22"/>
        </w:rPr>
        <w:t>Σύμφωνα με το ν. 4520/2018, o Οργανισμός Γεωργικών Ασφαλίσεων (ΟΓΑ) μετονομάστηκε σε Οργανισμό Προνοιακών Επιδομάτων και Κοινωνικής Αλληλεγγύης (ΟΠΕΚΑ), ο οποίος συνιστά ενιαίο φορέα υλοποίησης πολιτικών που αναπτύσσονται στο πλαίσιο του Εθνικού Συστήματος Κοινωνικής Αλληλεγγύης</w:t>
      </w:r>
      <w:r w:rsidR="0040312D">
        <w:rPr>
          <w:sz w:val="22"/>
          <w:szCs w:val="22"/>
        </w:rPr>
        <w:t>,</w:t>
      </w:r>
      <w:r w:rsidRPr="003E000C">
        <w:rPr>
          <w:sz w:val="22"/>
          <w:szCs w:val="22"/>
        </w:rPr>
        <w:t xml:space="preserve"> όπως αυτό περιγράφεται</w:t>
      </w:r>
      <w:r>
        <w:rPr>
          <w:sz w:val="22"/>
          <w:szCs w:val="22"/>
        </w:rPr>
        <w:t xml:space="preserve"> στις σχετικές διατάξεις του ν.</w:t>
      </w:r>
      <w:r w:rsidRPr="003E000C">
        <w:rPr>
          <w:sz w:val="22"/>
          <w:szCs w:val="22"/>
        </w:rPr>
        <w:t>4387/2016.</w:t>
      </w:r>
    </w:p>
    <w:p w:rsidR="00736C0C" w:rsidRPr="003E000C" w:rsidRDefault="00736C0C" w:rsidP="00736C0C">
      <w:pPr>
        <w:contextualSpacing/>
        <w:jc w:val="both"/>
        <w:rPr>
          <w:sz w:val="22"/>
          <w:szCs w:val="22"/>
        </w:rPr>
      </w:pPr>
    </w:p>
    <w:p w:rsidR="00736C0C" w:rsidRPr="003E000C" w:rsidRDefault="00736C0C" w:rsidP="00736C0C">
      <w:pPr>
        <w:contextualSpacing/>
        <w:jc w:val="both"/>
        <w:rPr>
          <w:sz w:val="22"/>
          <w:szCs w:val="22"/>
        </w:rPr>
      </w:pPr>
      <w:r w:rsidRPr="003E000C">
        <w:rPr>
          <w:sz w:val="22"/>
          <w:szCs w:val="22"/>
        </w:rPr>
        <w:t>Κύριος σκοπός του φορέα είναι:</w:t>
      </w:r>
    </w:p>
    <w:p w:rsidR="00B472ED" w:rsidRDefault="00B472ED" w:rsidP="00736C0C">
      <w:pPr>
        <w:contextualSpacing/>
        <w:jc w:val="both"/>
        <w:rPr>
          <w:sz w:val="22"/>
          <w:szCs w:val="22"/>
        </w:rPr>
      </w:pPr>
    </w:p>
    <w:p w:rsidR="00736C0C" w:rsidRPr="003E000C" w:rsidRDefault="00736C0C" w:rsidP="00B472ED">
      <w:pPr>
        <w:ind w:left="284" w:hanging="284"/>
        <w:contextualSpacing/>
        <w:jc w:val="both"/>
        <w:rPr>
          <w:sz w:val="22"/>
          <w:szCs w:val="22"/>
        </w:rPr>
      </w:pPr>
      <w:r w:rsidRPr="003E000C">
        <w:rPr>
          <w:sz w:val="22"/>
          <w:szCs w:val="22"/>
        </w:rPr>
        <w:t>α)</w:t>
      </w:r>
      <w:r w:rsidR="00B472ED">
        <w:rPr>
          <w:sz w:val="22"/>
          <w:szCs w:val="22"/>
        </w:rPr>
        <w:tab/>
      </w:r>
      <w:r w:rsidRPr="003E000C">
        <w:rPr>
          <w:sz w:val="22"/>
          <w:szCs w:val="22"/>
        </w:rPr>
        <w:t>η χορήγηση χρηματοδοτούμενων</w:t>
      </w:r>
      <w:r w:rsidR="000074CC">
        <w:rPr>
          <w:sz w:val="22"/>
          <w:szCs w:val="22"/>
        </w:rPr>
        <w:t>,</w:t>
      </w:r>
      <w:r w:rsidRPr="003E000C">
        <w:rPr>
          <w:sz w:val="22"/>
          <w:szCs w:val="22"/>
        </w:rPr>
        <w:t xml:space="preserve"> </w:t>
      </w:r>
      <w:r>
        <w:rPr>
          <w:sz w:val="22"/>
          <w:szCs w:val="22"/>
        </w:rPr>
        <w:t xml:space="preserve">μέσω επιχορηγήσεων </w:t>
      </w:r>
      <w:r w:rsidRPr="003E000C">
        <w:rPr>
          <w:sz w:val="22"/>
          <w:szCs w:val="22"/>
        </w:rPr>
        <w:t>από τον Κρατικό Προϋπολογισμό</w:t>
      </w:r>
      <w:r w:rsidR="000074CC">
        <w:rPr>
          <w:sz w:val="22"/>
          <w:szCs w:val="22"/>
        </w:rPr>
        <w:t>,</w:t>
      </w:r>
      <w:r w:rsidRPr="003E000C">
        <w:rPr>
          <w:sz w:val="22"/>
          <w:szCs w:val="22"/>
        </w:rPr>
        <w:t xml:space="preserve"> προνοιακών παροχών, επιδομάτων, οικονομικών ενισχύσεων και κοινωνικών υπηρεσιών για την οικονομική στήριξη και κοινωνική ένταξη οικογενειών και ευπαθών ομάδων του πληθυσμού. Ενδεικτικά αναφέρονται το επίδομα παιδιού, το κοινωνικό εισόδημα αλληλεγγύης, </w:t>
      </w:r>
      <w:r w:rsidR="000074CC">
        <w:rPr>
          <w:sz w:val="22"/>
          <w:szCs w:val="22"/>
        </w:rPr>
        <w:t xml:space="preserve">η επιδότηση </w:t>
      </w:r>
      <w:r w:rsidR="00FE0FD9">
        <w:rPr>
          <w:sz w:val="22"/>
          <w:szCs w:val="22"/>
        </w:rPr>
        <w:t>στέγασης</w:t>
      </w:r>
      <w:r w:rsidR="007A4AB2">
        <w:rPr>
          <w:sz w:val="22"/>
          <w:szCs w:val="22"/>
        </w:rPr>
        <w:t xml:space="preserve">, </w:t>
      </w:r>
      <w:r w:rsidRPr="003E000C">
        <w:rPr>
          <w:sz w:val="22"/>
          <w:szCs w:val="22"/>
        </w:rPr>
        <w:t xml:space="preserve">το επίδομα κοινωνικής αλληλεγγύης ανασφάλιστων υπερηλίκων και η παροχή σε ανασφάλιστους υπερήλικες, καθώς και οι προνοιακές παροχές σε χρήμα σε άτομα με αναπηρία </w:t>
      </w:r>
      <w:r w:rsidR="00B472ED">
        <w:rPr>
          <w:sz w:val="22"/>
          <w:szCs w:val="22"/>
        </w:rPr>
        <w:t>(από 1/1/2019) και</w:t>
      </w:r>
    </w:p>
    <w:p w:rsidR="00736C0C" w:rsidRDefault="00B472ED" w:rsidP="00B472ED">
      <w:pPr>
        <w:ind w:left="284" w:hanging="284"/>
        <w:contextualSpacing/>
        <w:jc w:val="both"/>
        <w:rPr>
          <w:sz w:val="22"/>
          <w:szCs w:val="22"/>
        </w:rPr>
      </w:pPr>
      <w:r>
        <w:rPr>
          <w:sz w:val="22"/>
          <w:szCs w:val="22"/>
        </w:rPr>
        <w:t>β)</w:t>
      </w:r>
      <w:r>
        <w:rPr>
          <w:sz w:val="22"/>
          <w:szCs w:val="22"/>
        </w:rPr>
        <w:tab/>
      </w:r>
      <w:r w:rsidR="00736C0C" w:rsidRPr="003E000C">
        <w:rPr>
          <w:sz w:val="22"/>
          <w:szCs w:val="22"/>
        </w:rPr>
        <w:t>η υλοποίηση, εκτέλεση και διαχείριση προγραμμάτων, δράσεων και ενεργειών που αφορούν προνοιακές πολιτικές του Υπουργείου Εργασίας, Κοινωνικής Ασφάλισης και Κοινωνικής Αλληλεγγύης.</w:t>
      </w:r>
    </w:p>
    <w:p w:rsidR="00736C0C" w:rsidRPr="003E000C" w:rsidRDefault="00736C0C" w:rsidP="00736C0C">
      <w:pPr>
        <w:contextualSpacing/>
        <w:jc w:val="both"/>
        <w:rPr>
          <w:sz w:val="22"/>
          <w:szCs w:val="22"/>
        </w:rPr>
      </w:pPr>
    </w:p>
    <w:p w:rsidR="00736C0C" w:rsidRPr="00D244DD" w:rsidRDefault="00736C0C" w:rsidP="00736C0C">
      <w:pPr>
        <w:contextualSpacing/>
        <w:jc w:val="both"/>
        <w:rPr>
          <w:sz w:val="22"/>
          <w:szCs w:val="22"/>
        </w:rPr>
      </w:pPr>
      <w:r w:rsidRPr="00D244DD">
        <w:rPr>
          <w:sz w:val="22"/>
          <w:szCs w:val="22"/>
        </w:rPr>
        <w:t xml:space="preserve">Για το έτος 2019, το ύψος της δαπάνης του επιδόματος παιδιού εκτιμάται ότι θα ανέλθει σε 961 εκατ. ευρώ έναντι 1.020 εκατ. ευρώ για το 2018, λαμβάνοντας όμως υπόψη ότι η </w:t>
      </w:r>
      <w:r>
        <w:rPr>
          <w:sz w:val="22"/>
          <w:szCs w:val="22"/>
        </w:rPr>
        <w:t xml:space="preserve">υπολειπόμενη δαπάνη </w:t>
      </w:r>
      <w:r w:rsidRPr="00D244DD">
        <w:rPr>
          <w:sz w:val="22"/>
          <w:szCs w:val="22"/>
        </w:rPr>
        <w:t>των 59 εκατ. ευρώ αφορά υποχρεώσεις του οικονομικού έτους 2017 που καταβλήθηκαν εντός του 2018.</w:t>
      </w:r>
    </w:p>
    <w:p w:rsidR="00B472ED" w:rsidRDefault="00B472ED" w:rsidP="00736C0C">
      <w:pPr>
        <w:contextualSpacing/>
        <w:jc w:val="both"/>
        <w:rPr>
          <w:sz w:val="22"/>
          <w:szCs w:val="22"/>
        </w:rPr>
      </w:pPr>
    </w:p>
    <w:p w:rsidR="00736C0C" w:rsidRDefault="00671DC3" w:rsidP="00736C0C">
      <w:pPr>
        <w:contextualSpacing/>
        <w:jc w:val="both"/>
        <w:rPr>
          <w:sz w:val="22"/>
          <w:szCs w:val="22"/>
        </w:rPr>
      </w:pPr>
      <w:r>
        <w:rPr>
          <w:sz w:val="22"/>
          <w:szCs w:val="22"/>
        </w:rPr>
        <w:t>Αυξημένη κατά 40</w:t>
      </w:r>
      <w:r w:rsidR="00736C0C" w:rsidRPr="00D244DD">
        <w:rPr>
          <w:sz w:val="22"/>
          <w:szCs w:val="22"/>
        </w:rPr>
        <w:t xml:space="preserve"> εκατ. ευρώ σε σχέση με το 2018 αναμένεται και η συνολική δαπάνη του Κοινωνικού Εισοδήματος Αλληλεγγύης για το έτος 2019</w:t>
      </w:r>
      <w:r w:rsidR="000074CC">
        <w:rPr>
          <w:sz w:val="22"/>
          <w:szCs w:val="22"/>
        </w:rPr>
        <w:t>,</w:t>
      </w:r>
      <w:r w:rsidR="00736C0C" w:rsidRPr="00D244DD">
        <w:rPr>
          <w:sz w:val="22"/>
          <w:szCs w:val="22"/>
        </w:rPr>
        <w:t xml:space="preserve"> η οποία εκτιμάται ότι θα ανέλθει σε 850 εκατ. ευρώ.  Σημειώνεται ότι </w:t>
      </w:r>
      <w:r>
        <w:rPr>
          <w:sz w:val="22"/>
          <w:szCs w:val="22"/>
        </w:rPr>
        <w:t xml:space="preserve">για το 2018 το εν λόγω επίδομα ύψους 810 εκατ. ευρώ καταβλήθηκε </w:t>
      </w:r>
      <w:r w:rsidR="00736C0C" w:rsidRPr="00D244DD">
        <w:rPr>
          <w:sz w:val="22"/>
          <w:szCs w:val="22"/>
        </w:rPr>
        <w:t>απευθείας από τον προϋπολογισμό του Υπουργείου Εργασίας, Κοινωνικής Ασφάλισης και Κοινωνικής Αλληλεγγύης.</w:t>
      </w:r>
    </w:p>
    <w:p w:rsidR="00736C0C" w:rsidRPr="00D244DD" w:rsidRDefault="00736C0C" w:rsidP="00736C0C">
      <w:pPr>
        <w:contextualSpacing/>
        <w:jc w:val="both"/>
        <w:rPr>
          <w:sz w:val="22"/>
          <w:szCs w:val="22"/>
        </w:rPr>
      </w:pPr>
    </w:p>
    <w:p w:rsidR="00736C0C" w:rsidRPr="00A409CA" w:rsidRDefault="00736C0C" w:rsidP="00736C0C">
      <w:pPr>
        <w:contextualSpacing/>
        <w:jc w:val="both"/>
        <w:rPr>
          <w:sz w:val="22"/>
          <w:szCs w:val="22"/>
        </w:rPr>
      </w:pPr>
      <w:r>
        <w:rPr>
          <w:sz w:val="22"/>
          <w:szCs w:val="22"/>
        </w:rPr>
        <w:t>Επιπρόσθετα</w:t>
      </w:r>
      <w:r w:rsidR="00B472ED">
        <w:rPr>
          <w:sz w:val="22"/>
          <w:szCs w:val="22"/>
        </w:rPr>
        <w:t>, από 1/1/</w:t>
      </w:r>
      <w:r w:rsidRPr="00A409CA">
        <w:rPr>
          <w:sz w:val="22"/>
          <w:szCs w:val="22"/>
        </w:rPr>
        <w:t>2019 μεταφέρεται η αρμοδιότητα καταβολής των προνοιακών παροχών σε χρήμα σε άτομα με αναπηρία ύψους 740 εκατ</w:t>
      </w:r>
      <w:r w:rsidR="007A4AB2">
        <w:rPr>
          <w:sz w:val="22"/>
          <w:szCs w:val="22"/>
        </w:rPr>
        <w:t>. ευρώ από τους ΟΤΑ στον ΟΠΕΚΑ, ενώ το 2019 ξεκινά και η καταβολή του στεγαστικού επιδόματος, το οποίο προβλέπεται να ανέλθει στο ποσό των 400 εκατ. ευρώ.</w:t>
      </w:r>
    </w:p>
    <w:p w:rsidR="00736C0C" w:rsidRPr="003E000C" w:rsidRDefault="00736C0C" w:rsidP="00736C0C">
      <w:pPr>
        <w:contextualSpacing/>
        <w:jc w:val="both"/>
        <w:rPr>
          <w:sz w:val="22"/>
          <w:szCs w:val="22"/>
        </w:rPr>
      </w:pPr>
    </w:p>
    <w:p w:rsidR="00736C0C" w:rsidRPr="003E000C" w:rsidRDefault="00736C0C" w:rsidP="00736C0C">
      <w:pPr>
        <w:contextualSpacing/>
        <w:jc w:val="both"/>
        <w:rPr>
          <w:sz w:val="22"/>
          <w:szCs w:val="22"/>
        </w:rPr>
      </w:pPr>
      <w:r w:rsidRPr="003E000C">
        <w:rPr>
          <w:sz w:val="22"/>
          <w:szCs w:val="22"/>
        </w:rPr>
        <w:t>Τέλος, σύμφωνα με το ν. 4387/2016, το ΝΑΤ διατηρεί αυτοτελή νομική προσωπικότητα για την άσκηση των μη ασφαλιστικών αρμοδιοτήτων του.</w:t>
      </w:r>
    </w:p>
    <w:p w:rsidR="00736C0C" w:rsidRPr="003E000C" w:rsidRDefault="00736C0C" w:rsidP="00736C0C">
      <w:pPr>
        <w:contextualSpacing/>
        <w:jc w:val="both"/>
        <w:rPr>
          <w:sz w:val="22"/>
          <w:szCs w:val="22"/>
        </w:rPr>
      </w:pPr>
    </w:p>
    <w:p w:rsidR="00736C0C" w:rsidRPr="003E000C" w:rsidRDefault="00736C0C" w:rsidP="00736C0C">
      <w:pPr>
        <w:contextualSpacing/>
        <w:jc w:val="both"/>
        <w:rPr>
          <w:sz w:val="22"/>
          <w:szCs w:val="22"/>
        </w:rPr>
      </w:pPr>
      <w:r w:rsidRPr="003E000C">
        <w:rPr>
          <w:sz w:val="22"/>
          <w:szCs w:val="22"/>
        </w:rPr>
        <w:t>Σε αυτό το πλαίσιο το ισοζύγιο των προϋπολογισμών των ανωτέρω δύο φορέων αναμένεται να διαμορφωθεί σε πλεόνασμα ύψους 2</w:t>
      </w:r>
      <w:r w:rsidR="00671DC3">
        <w:rPr>
          <w:sz w:val="22"/>
          <w:szCs w:val="22"/>
        </w:rPr>
        <w:t>7</w:t>
      </w:r>
      <w:r w:rsidRPr="003E000C">
        <w:rPr>
          <w:sz w:val="22"/>
          <w:szCs w:val="22"/>
        </w:rPr>
        <w:t xml:space="preserve"> εκατ. ευρώ για το 2018 και σε </w:t>
      </w:r>
      <w:r w:rsidR="00671DC3">
        <w:rPr>
          <w:sz w:val="22"/>
          <w:szCs w:val="22"/>
        </w:rPr>
        <w:t>έλλειμμα ύψους 24 εκατ. ευρώ για το 2019, κυρίως εξαιτίας της μη έγκαιρης ολοκλήρωσης του προγράμματος για τα σχολικά γεύματα ύψους 40 εκατ. ευρώ από τον ΟΠΕΚΑ εντός του 2018 και στη μεταφορά μέρους των πληρωμών στο 2019.</w:t>
      </w:r>
    </w:p>
    <w:p w:rsidR="00736C0C" w:rsidRDefault="00736C0C" w:rsidP="00736C0C">
      <w:pPr>
        <w:jc w:val="both"/>
        <w:rPr>
          <w:strike/>
          <w:sz w:val="22"/>
          <w:szCs w:val="22"/>
        </w:rPr>
      </w:pPr>
    </w:p>
    <w:p w:rsidR="000074CC" w:rsidRDefault="000074CC" w:rsidP="00736C0C">
      <w:pPr>
        <w:jc w:val="both"/>
        <w:rPr>
          <w:strike/>
          <w:sz w:val="22"/>
          <w:szCs w:val="22"/>
        </w:rPr>
      </w:pPr>
    </w:p>
    <w:p w:rsidR="000074CC" w:rsidRDefault="000074CC" w:rsidP="00736C0C">
      <w:pPr>
        <w:jc w:val="both"/>
        <w:rPr>
          <w:strike/>
          <w:sz w:val="22"/>
          <w:szCs w:val="22"/>
        </w:rPr>
      </w:pPr>
    </w:p>
    <w:p w:rsidR="000074CC" w:rsidRDefault="000074CC" w:rsidP="00736C0C">
      <w:pPr>
        <w:jc w:val="both"/>
        <w:rPr>
          <w:strike/>
          <w:sz w:val="22"/>
          <w:szCs w:val="22"/>
        </w:rPr>
      </w:pPr>
    </w:p>
    <w:p w:rsidR="000074CC" w:rsidRDefault="000074CC" w:rsidP="00736C0C">
      <w:pPr>
        <w:jc w:val="both"/>
        <w:rPr>
          <w:strike/>
          <w:sz w:val="22"/>
          <w:szCs w:val="22"/>
        </w:rPr>
      </w:pPr>
    </w:p>
    <w:p w:rsidR="000074CC" w:rsidRDefault="000074CC">
      <w:pPr>
        <w:rPr>
          <w:sz w:val="22"/>
        </w:rPr>
      </w:pPr>
      <w:r>
        <w:rPr>
          <w:sz w:val="22"/>
        </w:rPr>
        <w:br w:type="page"/>
      </w:r>
    </w:p>
    <w:p w:rsidR="00A557FC" w:rsidRDefault="00A557FC" w:rsidP="0023508C">
      <w:pPr>
        <w:jc w:val="both"/>
        <w:rPr>
          <w:sz w:val="22"/>
        </w:rPr>
      </w:pPr>
    </w:p>
    <w:p w:rsidR="005F39F3" w:rsidRPr="006B2DB8" w:rsidRDefault="00143E34" w:rsidP="00B13B96">
      <w:pPr>
        <w:shd w:val="clear" w:color="auto" w:fill="595959" w:themeFill="text1" w:themeFillTint="A6"/>
        <w:jc w:val="both"/>
        <w:rPr>
          <w:rFonts w:ascii="Arial Narrow" w:hAnsi="Arial Narrow"/>
          <w:b/>
          <w:color w:val="FFFFFF"/>
          <w:sz w:val="26"/>
          <w:szCs w:val="22"/>
        </w:rPr>
      </w:pPr>
      <w:r>
        <w:rPr>
          <w:rFonts w:ascii="Arial Narrow" w:hAnsi="Arial Narrow"/>
          <w:b/>
          <w:color w:val="FFFFFF"/>
          <w:sz w:val="26"/>
          <w:szCs w:val="22"/>
        </w:rPr>
        <w:t>7</w:t>
      </w:r>
      <w:r w:rsidR="005F39F3" w:rsidRPr="006B2DB8">
        <w:rPr>
          <w:rFonts w:ascii="Arial Narrow" w:hAnsi="Arial Narrow"/>
          <w:b/>
          <w:color w:val="FFFFFF"/>
          <w:sz w:val="26"/>
          <w:szCs w:val="22"/>
        </w:rPr>
        <w:t>.</w:t>
      </w:r>
      <w:r w:rsidR="005F39F3" w:rsidRPr="006B2DB8">
        <w:rPr>
          <w:rFonts w:ascii="Arial Narrow" w:hAnsi="Arial Narrow"/>
          <w:b/>
          <w:color w:val="FFFFFF"/>
          <w:sz w:val="26"/>
          <w:szCs w:val="22"/>
        </w:rPr>
        <w:tab/>
      </w:r>
      <w:r w:rsidR="00B13B96">
        <w:rPr>
          <w:rFonts w:ascii="Arial Narrow" w:hAnsi="Arial Narrow"/>
          <w:b/>
          <w:color w:val="FFFFFF"/>
          <w:sz w:val="26"/>
          <w:szCs w:val="22"/>
        </w:rPr>
        <w:t>Ενοποιημένος προϋπολογισμός Οργανισμών Τοπικής Αυτοδιοίκησης</w:t>
      </w:r>
    </w:p>
    <w:p w:rsidR="005F39F3" w:rsidRPr="006B2DB8" w:rsidRDefault="005F39F3" w:rsidP="005F39F3">
      <w:pPr>
        <w:rPr>
          <w:rFonts w:ascii="Arial Narrow" w:hAnsi="Arial Narrow"/>
          <w:b/>
          <w:bCs/>
          <w:sz w:val="22"/>
          <w:szCs w:val="22"/>
        </w:rPr>
      </w:pPr>
    </w:p>
    <w:p w:rsidR="00242091" w:rsidRPr="007C34C9" w:rsidRDefault="00242091" w:rsidP="00242091">
      <w:pPr>
        <w:jc w:val="both"/>
        <w:rPr>
          <w:bCs/>
          <w:sz w:val="22"/>
          <w:szCs w:val="22"/>
        </w:rPr>
      </w:pPr>
      <w:r w:rsidRPr="007C34C9">
        <w:rPr>
          <w:bCs/>
          <w:sz w:val="22"/>
          <w:szCs w:val="22"/>
        </w:rPr>
        <w:t>Οι Οργανισμοί Τοπικής Αυτοδιοίκησης (ΟΤΑ) αποτελούν υποτομέα της Γενικής Κυβέρνησης</w:t>
      </w:r>
      <w:r>
        <w:rPr>
          <w:bCs/>
          <w:sz w:val="22"/>
          <w:szCs w:val="22"/>
        </w:rPr>
        <w:t>.</w:t>
      </w:r>
      <w:r w:rsidRPr="007C34C9">
        <w:rPr>
          <w:bCs/>
          <w:sz w:val="22"/>
          <w:szCs w:val="22"/>
        </w:rPr>
        <w:t xml:space="preserve"> </w:t>
      </w:r>
      <w:r>
        <w:rPr>
          <w:bCs/>
          <w:sz w:val="22"/>
          <w:szCs w:val="22"/>
        </w:rPr>
        <w:t xml:space="preserve">Ο εν λόγω υποτομέας </w:t>
      </w:r>
      <w:r w:rsidRPr="007C34C9">
        <w:rPr>
          <w:bCs/>
          <w:sz w:val="22"/>
          <w:szCs w:val="22"/>
        </w:rPr>
        <w:t>αποτελείται από τους Δήμους (ΟΤΑ α’ βαθμού), τις Περιφέρειες (ΟΤΑ β’ βαθμ</w:t>
      </w:r>
      <w:r>
        <w:rPr>
          <w:bCs/>
          <w:sz w:val="22"/>
          <w:szCs w:val="22"/>
        </w:rPr>
        <w:t xml:space="preserve">ού) και τα νομικά πρόσωπα αυτών, τα οποία είναι </w:t>
      </w:r>
      <w:r w:rsidRPr="007C34C9">
        <w:rPr>
          <w:bCs/>
          <w:sz w:val="22"/>
          <w:szCs w:val="22"/>
        </w:rPr>
        <w:t xml:space="preserve">φορείς </w:t>
      </w:r>
      <w:r>
        <w:rPr>
          <w:bCs/>
          <w:sz w:val="22"/>
          <w:szCs w:val="22"/>
        </w:rPr>
        <w:t xml:space="preserve">της </w:t>
      </w:r>
      <w:r w:rsidRPr="007C34C9">
        <w:rPr>
          <w:bCs/>
          <w:sz w:val="22"/>
          <w:szCs w:val="22"/>
        </w:rPr>
        <w:t>Γενικής Κυβέρνησης.</w:t>
      </w:r>
      <w:r>
        <w:rPr>
          <w:bCs/>
          <w:sz w:val="22"/>
          <w:szCs w:val="22"/>
        </w:rPr>
        <w:t xml:space="preserve"> </w:t>
      </w:r>
      <w:r w:rsidRPr="007C34C9">
        <w:rPr>
          <w:bCs/>
          <w:sz w:val="22"/>
          <w:szCs w:val="22"/>
        </w:rPr>
        <w:t xml:space="preserve">Για την εκπλήρωση της αποστολής και της άσκησης των αρμοδιοτήτων </w:t>
      </w:r>
      <w:r>
        <w:rPr>
          <w:bCs/>
          <w:sz w:val="22"/>
          <w:szCs w:val="22"/>
        </w:rPr>
        <w:t xml:space="preserve">τους </w:t>
      </w:r>
      <w:r w:rsidRPr="007C34C9">
        <w:rPr>
          <w:bCs/>
          <w:sz w:val="22"/>
          <w:szCs w:val="22"/>
        </w:rPr>
        <w:t>μεταφέρ</w:t>
      </w:r>
      <w:r>
        <w:rPr>
          <w:bCs/>
          <w:sz w:val="22"/>
          <w:szCs w:val="22"/>
        </w:rPr>
        <w:t>ονται</w:t>
      </w:r>
      <w:r w:rsidRPr="007C34C9">
        <w:rPr>
          <w:bCs/>
          <w:sz w:val="22"/>
          <w:szCs w:val="22"/>
        </w:rPr>
        <w:t xml:space="preserve"> πόρο</w:t>
      </w:r>
      <w:r>
        <w:rPr>
          <w:bCs/>
          <w:sz w:val="22"/>
          <w:szCs w:val="22"/>
        </w:rPr>
        <w:t>ι</w:t>
      </w:r>
      <w:r w:rsidRPr="007C34C9">
        <w:rPr>
          <w:bCs/>
          <w:sz w:val="22"/>
          <w:szCs w:val="22"/>
        </w:rPr>
        <w:t xml:space="preserve"> από τον</w:t>
      </w:r>
      <w:r>
        <w:rPr>
          <w:bCs/>
          <w:sz w:val="22"/>
          <w:szCs w:val="22"/>
        </w:rPr>
        <w:t xml:space="preserve"> </w:t>
      </w:r>
      <w:r w:rsidRPr="007C34C9">
        <w:rPr>
          <w:bCs/>
          <w:sz w:val="22"/>
          <w:szCs w:val="22"/>
        </w:rPr>
        <w:t>Κρατικό Προϋπολογισμό οι οποίοι είναι αναγκαίοι για την εύρυθμη λειτουργία τους.</w:t>
      </w:r>
    </w:p>
    <w:p w:rsidR="00002F45" w:rsidRPr="006B2DB8" w:rsidRDefault="00002F45" w:rsidP="00002F45">
      <w:pPr>
        <w:jc w:val="both"/>
        <w:rPr>
          <w:sz w:val="22"/>
          <w:szCs w:val="22"/>
        </w:rPr>
      </w:pPr>
    </w:p>
    <w:p w:rsidR="00002F45" w:rsidRPr="00002F45" w:rsidRDefault="00002F45" w:rsidP="00002F45">
      <w:pPr>
        <w:jc w:val="both"/>
        <w:rPr>
          <w:sz w:val="22"/>
          <w:szCs w:val="22"/>
        </w:rPr>
      </w:pPr>
      <w:r w:rsidRPr="00002F45">
        <w:rPr>
          <w:sz w:val="22"/>
          <w:szCs w:val="22"/>
        </w:rPr>
        <w:t xml:space="preserve">Τα έσοδα διακρίνονται σε τακτικά και έκτακτα, εκ των οποίων τις κυριότερες πηγές αποτελούν οι Κεντρικοί Αυτοτελείς Πόροι (ΚΑΠ), οι οποίοι αποδίδονται μέσω του Τακτικού Προϋπολογισμού του Υπουργείου Εσωτερικών, οι επιχορηγήσεις του Προγράμματος Δημοσίων Επενδύσεων (ΠΔΕ) και τα λοιπά ίδια έσοδα. </w:t>
      </w:r>
      <w:r w:rsidR="00EA4853" w:rsidRPr="00EA4853">
        <w:rPr>
          <w:sz w:val="22"/>
          <w:szCs w:val="22"/>
        </w:rPr>
        <w:t>Οι ΟΤΑ α’ βαθμού λαμβάνουν περαιτέρω ειδική επιχορήγηση για την κάλυψη συγκεκριμένων, εξειδικευμένων δαπανών και επιχορήγηση για την οικονομική ενίσχυση όσων περιέρχονται σε κατάσταση ανάγκης συνεπεία θεομηνίας και λοιπών φυσικών καταστροφών. Άλλη πηγή εσόδων των ΟΤΑ α’ βαθμού αποτελούν οι λοιπές αποδόσεις.</w:t>
      </w:r>
      <w:r w:rsidR="00EA4853">
        <w:rPr>
          <w:sz w:val="22"/>
          <w:szCs w:val="22"/>
        </w:rPr>
        <w:t xml:space="preserve"> </w:t>
      </w:r>
      <w:r w:rsidRPr="00002F45">
        <w:rPr>
          <w:sz w:val="22"/>
          <w:szCs w:val="22"/>
        </w:rPr>
        <w:t xml:space="preserve">Αντίστοιχα, τα έξοδα διακρίνονται σε αμοιβές προσωπικού, δαπάνες για επενδύσεις και λοιπές δαπάνες. </w:t>
      </w:r>
    </w:p>
    <w:p w:rsidR="00002F45" w:rsidRPr="00301426" w:rsidRDefault="00002F45" w:rsidP="00002F45">
      <w:pPr>
        <w:jc w:val="both"/>
        <w:rPr>
          <w:b/>
          <w:bCs/>
          <w:sz w:val="22"/>
          <w:szCs w:val="22"/>
        </w:rPr>
      </w:pPr>
    </w:p>
    <w:p w:rsidR="00002F45" w:rsidRPr="008F0AC8" w:rsidRDefault="00A36ED2" w:rsidP="00002F45">
      <w:pPr>
        <w:jc w:val="both"/>
        <w:rPr>
          <w:rFonts w:ascii="Arial Narrow" w:hAnsi="Arial Narrow"/>
          <w:b/>
          <w:bCs/>
          <w:sz w:val="22"/>
          <w:szCs w:val="22"/>
        </w:rPr>
      </w:pPr>
      <w:r>
        <w:rPr>
          <w:rFonts w:ascii="Arial Narrow" w:hAnsi="Arial Narrow"/>
          <w:b/>
          <w:bCs/>
          <w:sz w:val="22"/>
          <w:szCs w:val="22"/>
        </w:rPr>
        <w:t>Εκτιμήσεις 2018</w:t>
      </w:r>
      <w:r w:rsidR="00002F45" w:rsidRPr="008F0AC8">
        <w:rPr>
          <w:rFonts w:ascii="Arial Narrow" w:hAnsi="Arial Narrow"/>
          <w:b/>
          <w:bCs/>
          <w:sz w:val="22"/>
          <w:szCs w:val="22"/>
        </w:rPr>
        <w:t xml:space="preserve"> </w:t>
      </w:r>
    </w:p>
    <w:p w:rsidR="002E1B83" w:rsidRDefault="002E1B83">
      <w:pPr>
        <w:rPr>
          <w:bCs/>
          <w:sz w:val="22"/>
          <w:szCs w:val="22"/>
        </w:rPr>
      </w:pPr>
    </w:p>
    <w:p w:rsidR="00A36ED2" w:rsidRPr="009F4407" w:rsidRDefault="00A36ED2" w:rsidP="00A36ED2">
      <w:pPr>
        <w:pStyle w:val="Default"/>
        <w:jc w:val="both"/>
        <w:rPr>
          <w:color w:val="auto"/>
          <w:sz w:val="22"/>
          <w:szCs w:val="22"/>
        </w:rPr>
      </w:pPr>
      <w:r>
        <w:rPr>
          <w:sz w:val="22"/>
          <w:szCs w:val="22"/>
        </w:rPr>
        <w:t>Το ισοζύγιο</w:t>
      </w:r>
      <w:r w:rsidRPr="009F4407">
        <w:rPr>
          <w:sz w:val="22"/>
          <w:szCs w:val="22"/>
        </w:rPr>
        <w:t xml:space="preserve"> του ενοποιημένου προϋπολογισμού της Τοπικής Αυτοδιοίκησης για το 2018, σύμφωνα με τα διαθέσιμα στοιχεία ανα</w:t>
      </w:r>
      <w:r>
        <w:rPr>
          <w:sz w:val="22"/>
          <w:szCs w:val="22"/>
        </w:rPr>
        <w:t xml:space="preserve">μένεται να διαμορφωθεί στα </w:t>
      </w:r>
      <w:r w:rsidR="00F92576">
        <w:rPr>
          <w:sz w:val="22"/>
          <w:szCs w:val="22"/>
        </w:rPr>
        <w:t>43</w:t>
      </w:r>
      <w:r>
        <w:rPr>
          <w:sz w:val="22"/>
          <w:szCs w:val="22"/>
        </w:rPr>
        <w:t>8</w:t>
      </w:r>
      <w:r w:rsidRPr="009F4407">
        <w:rPr>
          <w:sz w:val="22"/>
          <w:szCs w:val="22"/>
        </w:rPr>
        <w:t xml:space="preserve"> εκατ. ευρώ. Το αποτέλεσμα αυτό είναι χαμηλότερο από το αντίστοιχο του ΜΠΔΣ 2019-2022, ωστόσο το μεγαλύτερο μέρος της διαφοράς οφείλεται στην εκτίμηση διαφορετικής λογιστικής αντιμετώπισης ποσού που μεταβιβάστηκε από το ΠΔΕ στο πλαίσιο του </w:t>
      </w:r>
      <w:r w:rsidRPr="009F4407">
        <w:rPr>
          <w:color w:val="auto"/>
          <w:sz w:val="22"/>
          <w:szCs w:val="22"/>
        </w:rPr>
        <w:t>πολυετούς επενδυτικού προγράμματος «Φιλόδημος ΙΙ». Μικρότερο μέρος της εκτιμώμενης διαφοράς οφείλεται στις υψηλότερες λοιπές δαπάνες.</w:t>
      </w:r>
      <w:r w:rsidR="0068124D">
        <w:rPr>
          <w:color w:val="auto"/>
          <w:sz w:val="22"/>
          <w:szCs w:val="22"/>
        </w:rPr>
        <w:t xml:space="preserve"> </w:t>
      </w:r>
      <w:r w:rsidRPr="009F4407">
        <w:rPr>
          <w:color w:val="auto"/>
          <w:sz w:val="22"/>
          <w:szCs w:val="22"/>
        </w:rPr>
        <w:t xml:space="preserve"> </w:t>
      </w:r>
    </w:p>
    <w:p w:rsidR="00A36ED2" w:rsidRPr="009F4407" w:rsidRDefault="00A36ED2" w:rsidP="00A36ED2">
      <w:pPr>
        <w:jc w:val="both"/>
        <w:rPr>
          <w:bCs/>
          <w:sz w:val="22"/>
          <w:szCs w:val="22"/>
        </w:rPr>
      </w:pPr>
    </w:p>
    <w:p w:rsidR="00A36ED2" w:rsidRPr="00BF5394" w:rsidRDefault="00A36ED2" w:rsidP="00A36ED2">
      <w:pPr>
        <w:jc w:val="both"/>
        <w:rPr>
          <w:rFonts w:ascii="Arial Narrow" w:hAnsi="Arial Narrow"/>
          <w:b/>
          <w:bCs/>
          <w:sz w:val="22"/>
          <w:szCs w:val="22"/>
        </w:rPr>
      </w:pPr>
      <w:r>
        <w:rPr>
          <w:rFonts w:ascii="Arial Narrow" w:hAnsi="Arial Narrow"/>
          <w:b/>
          <w:bCs/>
          <w:sz w:val="22"/>
          <w:szCs w:val="22"/>
        </w:rPr>
        <w:t>Προβλέψεις 201</w:t>
      </w:r>
      <w:r w:rsidRPr="00BF5394">
        <w:rPr>
          <w:rFonts w:ascii="Arial Narrow" w:hAnsi="Arial Narrow"/>
          <w:b/>
          <w:bCs/>
          <w:sz w:val="22"/>
          <w:szCs w:val="22"/>
        </w:rPr>
        <w:t>9</w:t>
      </w:r>
    </w:p>
    <w:p w:rsidR="00A36ED2" w:rsidRPr="0086304C" w:rsidRDefault="00A36ED2" w:rsidP="00A36ED2">
      <w:pPr>
        <w:jc w:val="both"/>
        <w:rPr>
          <w:bCs/>
          <w:sz w:val="22"/>
          <w:szCs w:val="22"/>
        </w:rPr>
      </w:pPr>
    </w:p>
    <w:p w:rsidR="00A36ED2" w:rsidRDefault="00A36ED2" w:rsidP="00A36ED2">
      <w:pPr>
        <w:pStyle w:val="Default"/>
        <w:jc w:val="both"/>
        <w:rPr>
          <w:sz w:val="22"/>
          <w:szCs w:val="22"/>
        </w:rPr>
      </w:pPr>
      <w:r>
        <w:rPr>
          <w:sz w:val="22"/>
          <w:szCs w:val="22"/>
        </w:rPr>
        <w:t>Το ισοζύγιο</w:t>
      </w:r>
      <w:r w:rsidRPr="00656BAB">
        <w:rPr>
          <w:sz w:val="22"/>
          <w:szCs w:val="22"/>
        </w:rPr>
        <w:t xml:space="preserve"> του ενοποιημένου προϋπο</w:t>
      </w:r>
      <w:r>
        <w:rPr>
          <w:sz w:val="22"/>
          <w:szCs w:val="22"/>
        </w:rPr>
        <w:t>λογισμού της Τοπικής Αυτοδιοίκη</w:t>
      </w:r>
      <w:r w:rsidRPr="00656BAB">
        <w:rPr>
          <w:sz w:val="22"/>
          <w:szCs w:val="22"/>
        </w:rPr>
        <w:t xml:space="preserve">σης για το 2019, </w:t>
      </w:r>
      <w:r>
        <w:rPr>
          <w:sz w:val="22"/>
          <w:szCs w:val="22"/>
        </w:rPr>
        <w:t>αναμένεται να διαμορφωθεί στα 244</w:t>
      </w:r>
      <w:r w:rsidRPr="00656BAB">
        <w:rPr>
          <w:sz w:val="22"/>
          <w:szCs w:val="22"/>
        </w:rPr>
        <w:t xml:space="preserve"> εκατ. </w:t>
      </w:r>
      <w:r>
        <w:rPr>
          <w:sz w:val="22"/>
          <w:szCs w:val="22"/>
        </w:rPr>
        <w:t>ευρώ, μειωμένο κατά 15 εκατ. ευ</w:t>
      </w:r>
      <w:r w:rsidR="00EA4853">
        <w:rPr>
          <w:sz w:val="22"/>
          <w:szCs w:val="22"/>
        </w:rPr>
        <w:t>ρώ</w:t>
      </w:r>
      <w:r w:rsidRPr="00656BAB">
        <w:rPr>
          <w:sz w:val="22"/>
          <w:szCs w:val="22"/>
        </w:rPr>
        <w:t xml:space="preserve"> έναντι του στόχου του ΜΠΔΣ 2019-2022. Κύριος παράγοντας της διαφοροποίησης αυτής είναι η εκτίμηση μεταφοράς μέρους της επίπτωσης (carry</w:t>
      </w:r>
      <w:r>
        <w:rPr>
          <w:sz w:val="22"/>
          <w:szCs w:val="22"/>
        </w:rPr>
        <w:t>-over) των αυξημένων λοιπών εξό</w:t>
      </w:r>
      <w:r w:rsidRPr="00656BAB">
        <w:rPr>
          <w:sz w:val="22"/>
          <w:szCs w:val="22"/>
        </w:rPr>
        <w:t>δων του προηγούμενου έτους και στο 2019.</w:t>
      </w:r>
    </w:p>
    <w:p w:rsidR="00A36ED2" w:rsidRPr="00656BAB" w:rsidRDefault="00A36ED2" w:rsidP="00A36ED2">
      <w:pPr>
        <w:pStyle w:val="Default"/>
        <w:jc w:val="both"/>
        <w:rPr>
          <w:sz w:val="22"/>
          <w:szCs w:val="22"/>
        </w:rPr>
      </w:pPr>
    </w:p>
    <w:p w:rsidR="00A36ED2" w:rsidRPr="00656BAB" w:rsidRDefault="00A36ED2" w:rsidP="00A36ED2">
      <w:pPr>
        <w:pStyle w:val="Default"/>
        <w:jc w:val="both"/>
        <w:rPr>
          <w:color w:val="auto"/>
          <w:sz w:val="22"/>
          <w:szCs w:val="22"/>
        </w:rPr>
      </w:pPr>
      <w:r w:rsidRPr="00656BAB">
        <w:rPr>
          <w:sz w:val="22"/>
          <w:szCs w:val="22"/>
        </w:rPr>
        <w:t>Επισημαίνεται ότι από το 2019, η αρμοδιότητα της καταβολής των προνοιακών επιδομάτων θα μεταφερθεί από τους Δήμους στον ΟΠΕΚΑ, νομικό πρόσωπο του Υπουργείου Εργασίας. Η μεταφορά αυτής της αρμοδιότητας δεν προκαλεί επίπτωση σε επί</w:t>
      </w:r>
      <w:r>
        <w:rPr>
          <w:sz w:val="22"/>
          <w:szCs w:val="22"/>
        </w:rPr>
        <w:t xml:space="preserve">πεδο δημοσιονομικού </w:t>
      </w:r>
      <w:r w:rsidRPr="00656BAB">
        <w:rPr>
          <w:sz w:val="22"/>
          <w:szCs w:val="22"/>
        </w:rPr>
        <w:t>αποτελέσματος, καθώς επιφέρει ισόποση μείωση στα έσοδα (επιχορηγήσεις από τον Τακτικό Προϋπολογισμό) και στις δαπάνες (κοινωνικές παροχές) του υποτομέα.</w:t>
      </w:r>
    </w:p>
    <w:p w:rsidR="0086304C" w:rsidRDefault="0086304C" w:rsidP="0086304C">
      <w:pPr>
        <w:jc w:val="both"/>
        <w:rPr>
          <w:rFonts w:ascii="Arial Narrow" w:hAnsi="Arial Narrow"/>
          <w:b/>
          <w:bCs/>
          <w:sz w:val="22"/>
          <w:szCs w:val="22"/>
        </w:rPr>
      </w:pPr>
    </w:p>
    <w:p w:rsidR="00B47C64" w:rsidRDefault="00B47C64" w:rsidP="0086304C">
      <w:pPr>
        <w:jc w:val="both"/>
        <w:rPr>
          <w:rFonts w:ascii="Arial Narrow" w:hAnsi="Arial Narrow"/>
          <w:b/>
          <w:bCs/>
          <w:sz w:val="22"/>
          <w:szCs w:val="22"/>
        </w:rPr>
      </w:pP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5957"/>
        <w:gridCol w:w="1213"/>
        <w:gridCol w:w="1276"/>
      </w:tblGrid>
      <w:tr w:rsidR="008B79B5" w:rsidRPr="006B2DB8" w:rsidTr="00BE3746">
        <w:trPr>
          <w:cantSplit/>
          <w:jc w:val="center"/>
        </w:trPr>
        <w:tc>
          <w:tcPr>
            <w:tcW w:w="8446" w:type="dxa"/>
            <w:gridSpan w:val="3"/>
            <w:tcBorders>
              <w:top w:val="single" w:sz="6" w:space="0" w:color="auto"/>
              <w:left w:val="single" w:sz="4" w:space="0" w:color="auto"/>
              <w:bottom w:val="nil"/>
              <w:right w:val="single" w:sz="6" w:space="0" w:color="auto"/>
            </w:tcBorders>
            <w:shd w:val="clear" w:color="auto" w:fill="404040" w:themeFill="text1" w:themeFillTint="BF"/>
            <w:vAlign w:val="center"/>
          </w:tcPr>
          <w:p w:rsidR="008B79B5" w:rsidRPr="00301426" w:rsidRDefault="001528EA" w:rsidP="008B79B5">
            <w:pPr>
              <w:spacing w:before="20"/>
              <w:jc w:val="center"/>
              <w:rPr>
                <w:rFonts w:ascii="Arial Narrow" w:hAnsi="Arial Narrow"/>
                <w:b/>
                <w:color w:val="FFFFFF"/>
              </w:rPr>
            </w:pPr>
            <w:r>
              <w:rPr>
                <w:rFonts w:ascii="Arial Narrow" w:hAnsi="Arial Narrow"/>
                <w:b/>
                <w:color w:val="FFFFFF" w:themeColor="background1"/>
              </w:rPr>
              <w:t>Πίνακας 3.27</w:t>
            </w:r>
            <w:r w:rsidR="008B79B5" w:rsidRPr="006B2DB8">
              <w:rPr>
                <w:rFonts w:ascii="Arial Narrow" w:hAnsi="Arial Narrow"/>
                <w:b/>
                <w:color w:val="FFFFFF" w:themeColor="background1"/>
              </w:rPr>
              <w:t xml:space="preserve"> </w:t>
            </w:r>
            <w:r w:rsidR="008B79B5">
              <w:rPr>
                <w:rFonts w:ascii="Arial Narrow" w:hAnsi="Arial Narrow"/>
                <w:b/>
                <w:color w:val="FFFFFF" w:themeColor="background1"/>
              </w:rPr>
              <w:t>Μεταβιβάσεις από τον Τακτικό Προϋπολογισμό στους ΟΤΑ</w:t>
            </w:r>
          </w:p>
          <w:p w:rsidR="008B79B5" w:rsidRPr="006B2DB8" w:rsidRDefault="008B79B5" w:rsidP="003625C5">
            <w:pPr>
              <w:jc w:val="center"/>
              <w:rPr>
                <w:rFonts w:ascii="Arial Narrow" w:hAnsi="Arial Narrow"/>
                <w:b/>
                <w:color w:val="FFFFFF"/>
              </w:rPr>
            </w:pPr>
            <w:r w:rsidRPr="006B2DB8">
              <w:rPr>
                <w:rFonts w:ascii="Arial Narrow" w:hAnsi="Arial Narrow"/>
                <w:b/>
                <w:color w:val="FFFFFF"/>
              </w:rPr>
              <w:t>(σε εκατ. ευρώ)</w:t>
            </w:r>
          </w:p>
        </w:tc>
      </w:tr>
      <w:tr w:rsidR="008B79B5" w:rsidRPr="006B2DB8" w:rsidTr="00BE3746">
        <w:trPr>
          <w:cantSplit/>
          <w:jc w:val="center"/>
        </w:trPr>
        <w:tc>
          <w:tcPr>
            <w:tcW w:w="8446" w:type="dxa"/>
            <w:gridSpan w:val="3"/>
            <w:tcBorders>
              <w:top w:val="nil"/>
              <w:left w:val="single" w:sz="4" w:space="0" w:color="auto"/>
              <w:bottom w:val="single" w:sz="4" w:space="0" w:color="auto"/>
              <w:right w:val="single" w:sz="6" w:space="0" w:color="auto"/>
            </w:tcBorders>
            <w:shd w:val="clear" w:color="auto" w:fill="auto"/>
            <w:vAlign w:val="center"/>
          </w:tcPr>
          <w:p w:rsidR="008B79B5" w:rsidRPr="006B2DB8" w:rsidRDefault="008B79B5" w:rsidP="003625C5">
            <w:pPr>
              <w:jc w:val="both"/>
              <w:rPr>
                <w:rFonts w:ascii="Arial Narrow" w:hAnsi="Arial Narrow"/>
                <w:b/>
                <w:sz w:val="12"/>
                <w:szCs w:val="16"/>
              </w:rPr>
            </w:pPr>
          </w:p>
        </w:tc>
      </w:tr>
      <w:tr w:rsidR="008B79B5" w:rsidRPr="006B2DB8" w:rsidTr="00A36ED2">
        <w:trPr>
          <w:cantSplit/>
          <w:jc w:val="center"/>
        </w:trPr>
        <w:tc>
          <w:tcPr>
            <w:tcW w:w="5957" w:type="dxa"/>
            <w:vMerge w:val="restart"/>
            <w:tcBorders>
              <w:top w:val="single" w:sz="4" w:space="0" w:color="auto"/>
              <w:left w:val="single" w:sz="4" w:space="0" w:color="auto"/>
              <w:bottom w:val="nil"/>
              <w:right w:val="single" w:sz="4" w:space="0" w:color="auto"/>
            </w:tcBorders>
            <w:shd w:val="clear" w:color="auto" w:fill="auto"/>
            <w:vAlign w:val="center"/>
          </w:tcPr>
          <w:p w:rsidR="008B79B5" w:rsidRPr="006B2DB8" w:rsidRDefault="008B79B5" w:rsidP="003625C5">
            <w:pPr>
              <w:spacing w:before="20" w:after="20"/>
              <w:jc w:val="center"/>
              <w:rPr>
                <w:rFonts w:ascii="Arial Narrow" w:hAnsi="Arial Narrow"/>
                <w:b/>
                <w:sz w:val="16"/>
                <w:szCs w:val="16"/>
              </w:rPr>
            </w:pPr>
            <w:r w:rsidRPr="006B2DB8">
              <w:rPr>
                <w:rFonts w:ascii="Arial Narrow" w:hAnsi="Arial Narrow"/>
                <w:b/>
                <w:sz w:val="16"/>
                <w:szCs w:val="16"/>
              </w:rPr>
              <w:t>Κατηγορία</w:t>
            </w:r>
          </w:p>
        </w:tc>
        <w:tc>
          <w:tcPr>
            <w:tcW w:w="1213" w:type="dxa"/>
            <w:tcBorders>
              <w:top w:val="single" w:sz="4" w:space="0" w:color="auto"/>
              <w:left w:val="nil"/>
              <w:bottom w:val="single" w:sz="4" w:space="0" w:color="auto"/>
              <w:right w:val="single" w:sz="4" w:space="0" w:color="auto"/>
            </w:tcBorders>
            <w:shd w:val="clear" w:color="auto" w:fill="auto"/>
          </w:tcPr>
          <w:p w:rsidR="008B79B5" w:rsidRPr="006B2DB8" w:rsidRDefault="008B79B5" w:rsidP="003625C5">
            <w:pPr>
              <w:spacing w:before="20" w:after="20"/>
              <w:jc w:val="center"/>
              <w:rPr>
                <w:rFonts w:ascii="Arial Narrow" w:hAnsi="Arial Narrow"/>
                <w:b/>
                <w:sz w:val="16"/>
                <w:szCs w:val="16"/>
              </w:rPr>
            </w:pPr>
            <w:r>
              <w:rPr>
                <w:rFonts w:ascii="Arial Narrow" w:hAnsi="Arial Narrow"/>
                <w:b/>
                <w:sz w:val="16"/>
                <w:szCs w:val="16"/>
              </w:rPr>
              <w:t>201</w:t>
            </w:r>
            <w:r w:rsidR="00A36ED2">
              <w:rPr>
                <w:rFonts w:ascii="Arial Narrow" w:hAnsi="Arial Narrow"/>
                <w:b/>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79B5" w:rsidRPr="006B2DB8" w:rsidRDefault="008B79B5" w:rsidP="003625C5">
            <w:pPr>
              <w:spacing w:before="20" w:after="20"/>
              <w:jc w:val="center"/>
              <w:rPr>
                <w:rFonts w:ascii="Arial Narrow" w:hAnsi="Arial Narrow"/>
                <w:b/>
                <w:sz w:val="16"/>
                <w:szCs w:val="16"/>
              </w:rPr>
            </w:pPr>
            <w:r>
              <w:rPr>
                <w:rFonts w:ascii="Arial Narrow" w:hAnsi="Arial Narrow"/>
                <w:b/>
                <w:sz w:val="16"/>
                <w:szCs w:val="16"/>
              </w:rPr>
              <w:t>201</w:t>
            </w:r>
            <w:r w:rsidR="00A36ED2">
              <w:rPr>
                <w:rFonts w:ascii="Arial Narrow" w:hAnsi="Arial Narrow"/>
                <w:b/>
                <w:sz w:val="16"/>
                <w:szCs w:val="16"/>
              </w:rPr>
              <w:t>9</w:t>
            </w:r>
          </w:p>
        </w:tc>
      </w:tr>
      <w:tr w:rsidR="008B79B5" w:rsidRPr="006B2DB8" w:rsidTr="00A36ED2">
        <w:trPr>
          <w:cantSplit/>
          <w:jc w:val="center"/>
        </w:trPr>
        <w:tc>
          <w:tcPr>
            <w:tcW w:w="5957" w:type="dxa"/>
            <w:vMerge/>
            <w:tcBorders>
              <w:top w:val="nil"/>
              <w:left w:val="single" w:sz="4" w:space="0" w:color="auto"/>
              <w:bottom w:val="single" w:sz="4" w:space="0" w:color="auto"/>
              <w:right w:val="single" w:sz="4" w:space="0" w:color="auto"/>
            </w:tcBorders>
            <w:shd w:val="clear" w:color="auto" w:fill="auto"/>
            <w:vAlign w:val="center"/>
          </w:tcPr>
          <w:p w:rsidR="008B79B5" w:rsidRPr="006B2DB8" w:rsidRDefault="008B79B5" w:rsidP="003625C5">
            <w:pPr>
              <w:spacing w:before="20" w:after="20"/>
              <w:jc w:val="center"/>
              <w:rPr>
                <w:rFonts w:ascii="Arial Narrow" w:hAnsi="Arial Narrow"/>
                <w:b/>
                <w:sz w:val="16"/>
                <w:szCs w:val="16"/>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8B79B5" w:rsidRPr="006B2DB8" w:rsidRDefault="008B79B5" w:rsidP="003625C5">
            <w:pPr>
              <w:spacing w:before="20" w:after="20"/>
              <w:jc w:val="center"/>
              <w:rPr>
                <w:rFonts w:ascii="Arial Narrow" w:hAnsi="Arial Narrow"/>
                <w:b/>
                <w:sz w:val="16"/>
                <w:szCs w:val="16"/>
              </w:rPr>
            </w:pPr>
            <w:r w:rsidRPr="006B2DB8">
              <w:rPr>
                <w:rFonts w:ascii="Arial Narrow" w:hAnsi="Arial Narrow"/>
                <w:b/>
                <w:sz w:val="16"/>
                <w:szCs w:val="16"/>
              </w:rPr>
              <w:t>Εκτιμήσεις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79B5" w:rsidRPr="006B2DB8" w:rsidRDefault="008B79B5" w:rsidP="003625C5">
            <w:pPr>
              <w:spacing w:before="20" w:after="20"/>
              <w:jc w:val="center"/>
              <w:rPr>
                <w:rFonts w:ascii="Arial Narrow" w:hAnsi="Arial Narrow"/>
                <w:b/>
                <w:sz w:val="16"/>
                <w:szCs w:val="16"/>
              </w:rPr>
            </w:pPr>
            <w:r w:rsidRPr="006B2DB8">
              <w:rPr>
                <w:rFonts w:ascii="Arial Narrow" w:hAnsi="Arial Narrow"/>
                <w:b/>
                <w:sz w:val="16"/>
                <w:szCs w:val="16"/>
              </w:rPr>
              <w:t>Προβλέψεις</w:t>
            </w:r>
          </w:p>
        </w:tc>
      </w:tr>
      <w:tr w:rsidR="008B79B5" w:rsidRPr="006B2DB8" w:rsidTr="00BE3746">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single" w:sz="4" w:space="0" w:color="auto"/>
              <w:left w:val="single" w:sz="4" w:space="0" w:color="auto"/>
              <w:bottom w:val="nil"/>
              <w:right w:val="nil"/>
            </w:tcBorders>
            <w:shd w:val="clear" w:color="auto" w:fill="auto"/>
          </w:tcPr>
          <w:p w:rsidR="008B79B5" w:rsidRPr="006B2DB8" w:rsidRDefault="008B79B5" w:rsidP="003625C5">
            <w:pPr>
              <w:spacing w:before="20" w:after="20"/>
              <w:jc w:val="both"/>
              <w:rPr>
                <w:rFonts w:ascii="Arial Narrow" w:hAnsi="Arial Narrow"/>
                <w:b/>
                <w:sz w:val="12"/>
                <w:szCs w:val="16"/>
              </w:rPr>
            </w:pPr>
          </w:p>
        </w:tc>
        <w:tc>
          <w:tcPr>
            <w:tcW w:w="1213" w:type="dxa"/>
            <w:tcBorders>
              <w:top w:val="single" w:sz="4" w:space="0" w:color="auto"/>
              <w:left w:val="nil"/>
              <w:bottom w:val="nil"/>
              <w:right w:val="nil"/>
            </w:tcBorders>
            <w:shd w:val="clear" w:color="auto" w:fill="auto"/>
          </w:tcPr>
          <w:p w:rsidR="008B79B5" w:rsidRPr="006B2DB8" w:rsidRDefault="008B79B5" w:rsidP="003625C5">
            <w:pPr>
              <w:tabs>
                <w:tab w:val="decimal" w:pos="1232"/>
              </w:tabs>
              <w:spacing w:before="20" w:after="20"/>
              <w:jc w:val="both"/>
              <w:rPr>
                <w:rFonts w:ascii="Arial Narrow" w:hAnsi="Arial Narrow"/>
                <w:sz w:val="12"/>
                <w:szCs w:val="16"/>
              </w:rPr>
            </w:pPr>
          </w:p>
        </w:tc>
        <w:tc>
          <w:tcPr>
            <w:tcW w:w="1276" w:type="dxa"/>
            <w:tcBorders>
              <w:top w:val="single" w:sz="4" w:space="0" w:color="auto"/>
              <w:left w:val="nil"/>
              <w:bottom w:val="nil"/>
              <w:right w:val="single" w:sz="4" w:space="0" w:color="auto"/>
            </w:tcBorders>
            <w:shd w:val="clear" w:color="auto" w:fill="auto"/>
          </w:tcPr>
          <w:p w:rsidR="008B79B5" w:rsidRPr="006B2DB8" w:rsidRDefault="008B79B5" w:rsidP="003625C5">
            <w:pPr>
              <w:tabs>
                <w:tab w:val="decimal" w:pos="1232"/>
              </w:tabs>
              <w:spacing w:before="20" w:after="20"/>
              <w:jc w:val="both"/>
              <w:rPr>
                <w:rFonts w:ascii="Arial Narrow" w:hAnsi="Arial Narrow"/>
                <w:sz w:val="12"/>
                <w:szCs w:val="16"/>
              </w:rPr>
            </w:pPr>
          </w:p>
        </w:tc>
      </w:tr>
      <w:tr w:rsidR="002F6B2B" w:rsidRPr="006B2DB8" w:rsidTr="004F0BB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2F6B2B" w:rsidRPr="00301426" w:rsidRDefault="002F6B2B" w:rsidP="008B79B5">
            <w:pPr>
              <w:spacing w:before="20" w:after="20"/>
              <w:ind w:left="258" w:hanging="258"/>
              <w:jc w:val="both"/>
              <w:rPr>
                <w:rFonts w:ascii="Arial Narrow" w:hAnsi="Arial Narrow"/>
                <w:b/>
                <w:sz w:val="16"/>
                <w:szCs w:val="16"/>
              </w:rPr>
            </w:pPr>
            <w:r w:rsidRPr="006B2DB8">
              <w:rPr>
                <w:rFonts w:ascii="Arial Narrow" w:hAnsi="Arial Narrow"/>
                <w:b/>
                <w:sz w:val="16"/>
                <w:szCs w:val="16"/>
              </w:rPr>
              <w:t xml:space="preserve"> </w:t>
            </w:r>
            <w:r>
              <w:rPr>
                <w:rFonts w:ascii="Arial Narrow" w:hAnsi="Arial Narrow"/>
                <w:b/>
                <w:sz w:val="16"/>
                <w:szCs w:val="16"/>
                <w:lang w:val="en-GB"/>
              </w:rPr>
              <w:t>I</w:t>
            </w:r>
            <w:r w:rsidRPr="00301426">
              <w:rPr>
                <w:rFonts w:ascii="Arial Narrow" w:hAnsi="Arial Narrow"/>
                <w:b/>
                <w:sz w:val="16"/>
                <w:szCs w:val="16"/>
              </w:rPr>
              <w:t>.</w:t>
            </w:r>
            <w:r w:rsidRPr="00301426">
              <w:rPr>
                <w:rFonts w:ascii="Arial Narrow" w:hAnsi="Arial Narrow"/>
                <w:b/>
                <w:sz w:val="16"/>
                <w:szCs w:val="16"/>
              </w:rPr>
              <w:tab/>
            </w:r>
            <w:r w:rsidRPr="006B2DB8">
              <w:rPr>
                <w:rFonts w:ascii="Arial Narrow" w:hAnsi="Arial Narrow"/>
                <w:b/>
                <w:sz w:val="16"/>
                <w:szCs w:val="16"/>
              </w:rPr>
              <w:t xml:space="preserve">Κεντρικοί Αυτοτελείς </w:t>
            </w:r>
            <w:r w:rsidRPr="00301426">
              <w:rPr>
                <w:rFonts w:ascii="Arial Narrow" w:hAnsi="Arial Narrow"/>
                <w:b/>
                <w:sz w:val="16"/>
                <w:szCs w:val="16"/>
              </w:rPr>
              <w:t>Πόροι</w:t>
            </w:r>
            <w:r w:rsidRPr="006B2DB8">
              <w:rPr>
                <w:rFonts w:ascii="Arial Narrow" w:hAnsi="Arial Narrow"/>
                <w:b/>
                <w:sz w:val="16"/>
                <w:szCs w:val="16"/>
              </w:rPr>
              <w:t xml:space="preserve"> (ΚΑΠ) </w:t>
            </w:r>
          </w:p>
        </w:tc>
        <w:tc>
          <w:tcPr>
            <w:tcW w:w="1213" w:type="dxa"/>
            <w:tcBorders>
              <w:top w:val="nil"/>
              <w:left w:val="nil"/>
              <w:bottom w:val="nil"/>
              <w:right w:val="nil"/>
            </w:tcBorders>
            <w:shd w:val="clear" w:color="auto" w:fill="auto"/>
            <w:vAlign w:val="center"/>
          </w:tcPr>
          <w:p w:rsidR="002F6B2B" w:rsidRPr="004370E6" w:rsidRDefault="002F6B2B" w:rsidP="00B30B91">
            <w:pPr>
              <w:ind w:right="337"/>
              <w:jc w:val="right"/>
              <w:rPr>
                <w:rFonts w:ascii="Arial Narrow" w:hAnsi="Arial Narrow"/>
                <w:b/>
                <w:bCs/>
                <w:sz w:val="16"/>
                <w:szCs w:val="16"/>
              </w:rPr>
            </w:pPr>
            <w:r>
              <w:rPr>
                <w:rFonts w:ascii="Arial Narrow" w:hAnsi="Arial Narrow"/>
                <w:b/>
                <w:bCs/>
                <w:sz w:val="16"/>
                <w:szCs w:val="16"/>
              </w:rPr>
              <w:t>3.140</w:t>
            </w:r>
          </w:p>
        </w:tc>
        <w:tc>
          <w:tcPr>
            <w:tcW w:w="1276" w:type="dxa"/>
            <w:tcBorders>
              <w:top w:val="nil"/>
              <w:left w:val="nil"/>
              <w:bottom w:val="nil"/>
              <w:right w:val="single" w:sz="4" w:space="0" w:color="auto"/>
            </w:tcBorders>
            <w:shd w:val="clear" w:color="auto" w:fill="auto"/>
            <w:vAlign w:val="center"/>
          </w:tcPr>
          <w:p w:rsidR="002F6B2B" w:rsidRPr="004370E6" w:rsidRDefault="002F6B2B" w:rsidP="00B30B91">
            <w:pPr>
              <w:ind w:right="337"/>
              <w:jc w:val="right"/>
              <w:rPr>
                <w:rFonts w:ascii="Arial Narrow" w:hAnsi="Arial Narrow"/>
                <w:b/>
                <w:bCs/>
                <w:sz w:val="16"/>
                <w:szCs w:val="16"/>
              </w:rPr>
            </w:pPr>
            <w:r>
              <w:rPr>
                <w:rFonts w:ascii="Arial Narrow" w:hAnsi="Arial Narrow"/>
                <w:b/>
                <w:bCs/>
                <w:sz w:val="16"/>
                <w:szCs w:val="16"/>
              </w:rPr>
              <w:t>2</w:t>
            </w:r>
            <w:r w:rsidRPr="004370E6">
              <w:rPr>
                <w:rFonts w:ascii="Arial Narrow" w:hAnsi="Arial Narrow"/>
                <w:b/>
                <w:bCs/>
                <w:sz w:val="16"/>
                <w:szCs w:val="16"/>
              </w:rPr>
              <w:t>.</w:t>
            </w:r>
            <w:r>
              <w:rPr>
                <w:rFonts w:ascii="Arial Narrow" w:hAnsi="Arial Narrow"/>
                <w:b/>
                <w:bCs/>
                <w:sz w:val="16"/>
                <w:szCs w:val="16"/>
              </w:rPr>
              <w:t>425</w:t>
            </w:r>
          </w:p>
        </w:tc>
      </w:tr>
      <w:tr w:rsidR="002F6B2B" w:rsidRPr="006B2DB8" w:rsidTr="00BE3746">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2F6B2B" w:rsidRPr="006B2DB8" w:rsidRDefault="002F6B2B" w:rsidP="008B79B5">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α</w:t>
            </w:r>
            <w:r w:rsidRPr="00301426">
              <w:rPr>
                <w:rFonts w:ascii="Arial Narrow" w:hAnsi="Arial Narrow"/>
                <w:sz w:val="16"/>
                <w:szCs w:val="16"/>
              </w:rPr>
              <w:t>.</w:t>
            </w:r>
            <w:r w:rsidRPr="00301426">
              <w:rPr>
                <w:rFonts w:ascii="Arial Narrow" w:hAnsi="Arial Narrow"/>
                <w:sz w:val="16"/>
                <w:szCs w:val="16"/>
              </w:rPr>
              <w:tab/>
            </w:r>
            <w:r>
              <w:rPr>
                <w:rFonts w:ascii="Arial Narrow" w:hAnsi="Arial Narrow"/>
                <w:sz w:val="16"/>
                <w:szCs w:val="16"/>
              </w:rPr>
              <w:t>ΚΑΠ Δήμων</w:t>
            </w:r>
          </w:p>
        </w:tc>
        <w:tc>
          <w:tcPr>
            <w:tcW w:w="1213" w:type="dxa"/>
            <w:tcBorders>
              <w:top w:val="nil"/>
              <w:left w:val="nil"/>
              <w:bottom w:val="nil"/>
              <w:right w:val="nil"/>
            </w:tcBorders>
            <w:shd w:val="clear" w:color="auto" w:fill="auto"/>
            <w:vAlign w:val="center"/>
          </w:tcPr>
          <w:p w:rsidR="002F6B2B" w:rsidRPr="004370E6" w:rsidRDefault="002F6B2B" w:rsidP="00B30B91">
            <w:pPr>
              <w:ind w:right="337"/>
              <w:jc w:val="right"/>
              <w:rPr>
                <w:rFonts w:ascii="Arial Narrow" w:hAnsi="Arial Narrow"/>
                <w:sz w:val="16"/>
                <w:szCs w:val="16"/>
              </w:rPr>
            </w:pPr>
            <w:r>
              <w:rPr>
                <w:rFonts w:ascii="Arial Narrow" w:hAnsi="Arial Narrow"/>
                <w:sz w:val="16"/>
                <w:szCs w:val="16"/>
              </w:rPr>
              <w:t>2.402</w:t>
            </w:r>
          </w:p>
        </w:tc>
        <w:tc>
          <w:tcPr>
            <w:tcW w:w="1276" w:type="dxa"/>
            <w:tcBorders>
              <w:top w:val="nil"/>
              <w:left w:val="nil"/>
              <w:bottom w:val="nil"/>
              <w:right w:val="single" w:sz="4" w:space="0" w:color="auto"/>
            </w:tcBorders>
            <w:shd w:val="clear" w:color="auto" w:fill="auto"/>
            <w:vAlign w:val="center"/>
          </w:tcPr>
          <w:p w:rsidR="002F6B2B" w:rsidRPr="004370E6" w:rsidRDefault="002F6B2B" w:rsidP="00B30B91">
            <w:pPr>
              <w:ind w:right="337"/>
              <w:jc w:val="right"/>
              <w:rPr>
                <w:rFonts w:ascii="Arial Narrow" w:hAnsi="Arial Narrow"/>
                <w:sz w:val="16"/>
                <w:szCs w:val="16"/>
              </w:rPr>
            </w:pPr>
            <w:r>
              <w:rPr>
                <w:rFonts w:ascii="Arial Narrow" w:hAnsi="Arial Narrow"/>
                <w:sz w:val="16"/>
                <w:szCs w:val="16"/>
              </w:rPr>
              <w:t>1</w:t>
            </w:r>
            <w:r w:rsidRPr="004370E6">
              <w:rPr>
                <w:rFonts w:ascii="Arial Narrow" w:hAnsi="Arial Narrow"/>
                <w:sz w:val="16"/>
                <w:szCs w:val="16"/>
              </w:rPr>
              <w:t>.</w:t>
            </w:r>
            <w:r>
              <w:rPr>
                <w:rFonts w:ascii="Arial Narrow" w:hAnsi="Arial Narrow"/>
                <w:sz w:val="16"/>
                <w:szCs w:val="16"/>
              </w:rPr>
              <w:t>760</w:t>
            </w:r>
          </w:p>
        </w:tc>
      </w:tr>
      <w:tr w:rsidR="002F6B2B" w:rsidRPr="006B2DB8" w:rsidTr="00BE3746">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2F6B2B" w:rsidRPr="006B2DB8" w:rsidRDefault="002F6B2B" w:rsidP="008B79B5">
            <w:pPr>
              <w:tabs>
                <w:tab w:val="left" w:pos="258"/>
              </w:tabs>
              <w:spacing w:before="20" w:after="20"/>
              <w:ind w:left="477" w:hanging="477"/>
              <w:jc w:val="both"/>
              <w:rPr>
                <w:rFonts w:ascii="Arial Narrow" w:hAnsi="Arial Narrow"/>
                <w:sz w:val="16"/>
                <w:szCs w:val="16"/>
              </w:rPr>
            </w:pPr>
            <w:r w:rsidRPr="006B2DB8">
              <w:rPr>
                <w:rFonts w:ascii="Arial Narrow" w:hAnsi="Arial Narrow"/>
                <w:sz w:val="16"/>
                <w:szCs w:val="16"/>
              </w:rPr>
              <w:tab/>
            </w:r>
            <w:r>
              <w:rPr>
                <w:rFonts w:ascii="Arial Narrow" w:hAnsi="Arial Narrow"/>
                <w:sz w:val="16"/>
                <w:szCs w:val="16"/>
              </w:rPr>
              <w:t>β</w:t>
            </w:r>
            <w:r w:rsidRPr="00301426">
              <w:rPr>
                <w:rFonts w:ascii="Arial Narrow" w:hAnsi="Arial Narrow"/>
                <w:sz w:val="16"/>
                <w:szCs w:val="16"/>
              </w:rPr>
              <w:t>.</w:t>
            </w:r>
            <w:r w:rsidRPr="00301426">
              <w:rPr>
                <w:rFonts w:ascii="Arial Narrow" w:hAnsi="Arial Narrow"/>
                <w:sz w:val="16"/>
                <w:szCs w:val="16"/>
              </w:rPr>
              <w:tab/>
            </w:r>
            <w:r>
              <w:rPr>
                <w:rFonts w:ascii="Arial Narrow" w:hAnsi="Arial Narrow"/>
                <w:sz w:val="16"/>
                <w:szCs w:val="16"/>
              </w:rPr>
              <w:t xml:space="preserve">ΚΑΠ </w:t>
            </w:r>
            <w:r w:rsidRPr="006B2DB8">
              <w:rPr>
                <w:rFonts w:ascii="Arial Narrow" w:hAnsi="Arial Narrow"/>
                <w:sz w:val="16"/>
                <w:szCs w:val="16"/>
              </w:rPr>
              <w:t>Περιφ</w:t>
            </w:r>
            <w:r>
              <w:rPr>
                <w:rFonts w:ascii="Arial Narrow" w:hAnsi="Arial Narrow"/>
                <w:sz w:val="16"/>
                <w:szCs w:val="16"/>
              </w:rPr>
              <w:t>ερειών</w:t>
            </w:r>
          </w:p>
        </w:tc>
        <w:tc>
          <w:tcPr>
            <w:tcW w:w="1213" w:type="dxa"/>
            <w:tcBorders>
              <w:top w:val="nil"/>
              <w:left w:val="nil"/>
              <w:bottom w:val="nil"/>
              <w:right w:val="nil"/>
            </w:tcBorders>
            <w:shd w:val="clear" w:color="auto" w:fill="auto"/>
            <w:vAlign w:val="center"/>
          </w:tcPr>
          <w:p w:rsidR="002F6B2B" w:rsidRPr="004370E6" w:rsidRDefault="002F6B2B" w:rsidP="00B30B91">
            <w:pPr>
              <w:ind w:right="337"/>
              <w:jc w:val="right"/>
              <w:rPr>
                <w:rFonts w:ascii="Arial Narrow" w:hAnsi="Arial Narrow"/>
                <w:sz w:val="16"/>
                <w:szCs w:val="16"/>
              </w:rPr>
            </w:pPr>
            <w:r>
              <w:rPr>
                <w:rFonts w:ascii="Arial Narrow" w:hAnsi="Arial Narrow"/>
                <w:sz w:val="16"/>
                <w:szCs w:val="16"/>
              </w:rPr>
              <w:t>738</w:t>
            </w:r>
          </w:p>
        </w:tc>
        <w:tc>
          <w:tcPr>
            <w:tcW w:w="1276" w:type="dxa"/>
            <w:tcBorders>
              <w:top w:val="nil"/>
              <w:left w:val="nil"/>
              <w:bottom w:val="nil"/>
              <w:right w:val="single" w:sz="4" w:space="0" w:color="auto"/>
            </w:tcBorders>
            <w:shd w:val="clear" w:color="auto" w:fill="auto"/>
            <w:vAlign w:val="center"/>
          </w:tcPr>
          <w:p w:rsidR="002F6B2B" w:rsidRPr="004370E6" w:rsidRDefault="002F6B2B" w:rsidP="00B30B91">
            <w:pPr>
              <w:ind w:right="337"/>
              <w:jc w:val="right"/>
              <w:rPr>
                <w:rFonts w:ascii="Arial Narrow" w:hAnsi="Arial Narrow"/>
                <w:sz w:val="16"/>
                <w:szCs w:val="16"/>
              </w:rPr>
            </w:pPr>
            <w:r>
              <w:rPr>
                <w:rFonts w:ascii="Arial Narrow" w:hAnsi="Arial Narrow"/>
                <w:sz w:val="16"/>
                <w:szCs w:val="16"/>
              </w:rPr>
              <w:t>665</w:t>
            </w:r>
          </w:p>
        </w:tc>
      </w:tr>
      <w:tr w:rsidR="002F6B2B" w:rsidRPr="006B2DB8" w:rsidTr="004F0BB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vAlign w:val="center"/>
          </w:tcPr>
          <w:p w:rsidR="002F6B2B" w:rsidRPr="006B2DB8" w:rsidRDefault="002F6B2B" w:rsidP="008B79B5">
            <w:pPr>
              <w:spacing w:before="20" w:after="20"/>
              <w:ind w:left="258" w:hanging="258"/>
              <w:jc w:val="both"/>
              <w:rPr>
                <w:rFonts w:ascii="Arial Narrow" w:hAnsi="Arial Narrow"/>
                <w:b/>
                <w:sz w:val="16"/>
                <w:szCs w:val="16"/>
              </w:rPr>
            </w:pPr>
            <w:r w:rsidRPr="006B2DB8">
              <w:rPr>
                <w:rFonts w:ascii="Arial Narrow" w:hAnsi="Arial Narrow"/>
                <w:b/>
                <w:sz w:val="16"/>
                <w:szCs w:val="16"/>
              </w:rPr>
              <w:t xml:space="preserve"> </w:t>
            </w:r>
            <w:r>
              <w:rPr>
                <w:rFonts w:ascii="Arial Narrow" w:hAnsi="Arial Narrow"/>
                <w:b/>
                <w:sz w:val="16"/>
                <w:szCs w:val="16"/>
                <w:lang w:val="en-GB"/>
              </w:rPr>
              <w:t>II</w:t>
            </w:r>
            <w:r w:rsidRPr="00301426">
              <w:rPr>
                <w:rFonts w:ascii="Arial Narrow" w:hAnsi="Arial Narrow"/>
                <w:b/>
                <w:sz w:val="16"/>
                <w:szCs w:val="16"/>
              </w:rPr>
              <w:t>.</w:t>
            </w:r>
            <w:r w:rsidRPr="00301426">
              <w:rPr>
                <w:rFonts w:ascii="Arial Narrow" w:hAnsi="Arial Narrow"/>
                <w:b/>
                <w:sz w:val="16"/>
                <w:szCs w:val="16"/>
              </w:rPr>
              <w:tab/>
              <w:t>Επιχορήγηση</w:t>
            </w:r>
            <w:r w:rsidRPr="006B2DB8">
              <w:rPr>
                <w:rFonts w:ascii="Arial Narrow" w:hAnsi="Arial Narrow"/>
                <w:b/>
                <w:sz w:val="16"/>
                <w:szCs w:val="16"/>
              </w:rPr>
              <w:t xml:space="preserve"> σε ΟΤΑ </w:t>
            </w:r>
            <w:r w:rsidR="00506609">
              <w:rPr>
                <w:rFonts w:ascii="Arial Narrow" w:hAnsi="Arial Narrow"/>
                <w:b/>
                <w:sz w:val="16"/>
                <w:szCs w:val="16"/>
              </w:rPr>
              <w:t>α’ και β’ βαθμού</w:t>
            </w:r>
          </w:p>
        </w:tc>
        <w:tc>
          <w:tcPr>
            <w:tcW w:w="1213" w:type="dxa"/>
            <w:tcBorders>
              <w:top w:val="nil"/>
              <w:left w:val="nil"/>
              <w:bottom w:val="nil"/>
              <w:right w:val="nil"/>
            </w:tcBorders>
            <w:shd w:val="clear" w:color="auto" w:fill="auto"/>
            <w:vAlign w:val="bottom"/>
          </w:tcPr>
          <w:p w:rsidR="002F6B2B" w:rsidRPr="004370E6" w:rsidRDefault="002F6B2B" w:rsidP="00B30B91">
            <w:pPr>
              <w:ind w:right="337"/>
              <w:jc w:val="right"/>
              <w:rPr>
                <w:rFonts w:ascii="Arial Narrow" w:hAnsi="Arial Narrow"/>
                <w:b/>
                <w:bCs/>
                <w:sz w:val="16"/>
                <w:szCs w:val="16"/>
              </w:rPr>
            </w:pPr>
            <w:r>
              <w:rPr>
                <w:rFonts w:ascii="Arial Narrow" w:hAnsi="Arial Narrow"/>
                <w:b/>
                <w:bCs/>
                <w:sz w:val="16"/>
                <w:szCs w:val="16"/>
              </w:rPr>
              <w:t>90</w:t>
            </w:r>
          </w:p>
        </w:tc>
        <w:tc>
          <w:tcPr>
            <w:tcW w:w="1276" w:type="dxa"/>
            <w:tcBorders>
              <w:top w:val="nil"/>
              <w:left w:val="nil"/>
              <w:bottom w:val="nil"/>
              <w:right w:val="single" w:sz="4" w:space="0" w:color="auto"/>
            </w:tcBorders>
            <w:shd w:val="clear" w:color="auto" w:fill="auto"/>
            <w:vAlign w:val="bottom"/>
          </w:tcPr>
          <w:p w:rsidR="002F6B2B" w:rsidRPr="004370E6" w:rsidRDefault="002F6B2B" w:rsidP="00876098">
            <w:pPr>
              <w:ind w:right="337"/>
              <w:jc w:val="right"/>
              <w:rPr>
                <w:rFonts w:ascii="Arial Narrow" w:hAnsi="Arial Narrow"/>
                <w:b/>
                <w:bCs/>
                <w:sz w:val="16"/>
                <w:szCs w:val="16"/>
              </w:rPr>
            </w:pPr>
            <w:r>
              <w:rPr>
                <w:rFonts w:ascii="Arial Narrow" w:hAnsi="Arial Narrow"/>
                <w:b/>
                <w:bCs/>
                <w:sz w:val="16"/>
                <w:szCs w:val="16"/>
              </w:rPr>
              <w:t>4</w:t>
            </w:r>
            <w:r w:rsidRPr="004370E6">
              <w:rPr>
                <w:rFonts w:ascii="Arial Narrow" w:hAnsi="Arial Narrow"/>
                <w:b/>
                <w:bCs/>
                <w:sz w:val="16"/>
                <w:szCs w:val="16"/>
              </w:rPr>
              <w:t>3</w:t>
            </w:r>
          </w:p>
        </w:tc>
      </w:tr>
      <w:tr w:rsidR="002F6B2B" w:rsidRPr="006B2DB8" w:rsidTr="00BE3746">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2F6B2B" w:rsidRPr="006B2DB8" w:rsidRDefault="002F6B2B" w:rsidP="008B79B5">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α</w:t>
            </w:r>
            <w:r w:rsidRPr="00301426">
              <w:rPr>
                <w:rFonts w:ascii="Arial Narrow" w:hAnsi="Arial Narrow"/>
                <w:sz w:val="16"/>
                <w:szCs w:val="16"/>
              </w:rPr>
              <w:t>.</w:t>
            </w:r>
            <w:r w:rsidRPr="00301426">
              <w:rPr>
                <w:rFonts w:ascii="Arial Narrow" w:hAnsi="Arial Narrow"/>
                <w:sz w:val="16"/>
                <w:szCs w:val="16"/>
              </w:rPr>
              <w:tab/>
            </w:r>
            <w:r>
              <w:rPr>
                <w:rFonts w:ascii="Arial Narrow" w:hAnsi="Arial Narrow"/>
                <w:sz w:val="16"/>
                <w:szCs w:val="16"/>
              </w:rPr>
              <w:t>Ειδική επιχορήγηση σε Δήμους</w:t>
            </w:r>
          </w:p>
        </w:tc>
        <w:tc>
          <w:tcPr>
            <w:tcW w:w="1213" w:type="dxa"/>
            <w:tcBorders>
              <w:top w:val="nil"/>
              <w:left w:val="nil"/>
              <w:bottom w:val="nil"/>
              <w:right w:val="nil"/>
            </w:tcBorders>
            <w:shd w:val="clear" w:color="auto" w:fill="auto"/>
            <w:vAlign w:val="center"/>
          </w:tcPr>
          <w:p w:rsidR="002F6B2B" w:rsidRPr="004370E6" w:rsidRDefault="002F6B2B" w:rsidP="00B30B91">
            <w:pPr>
              <w:ind w:right="337"/>
              <w:jc w:val="right"/>
              <w:rPr>
                <w:rFonts w:ascii="Arial Narrow" w:hAnsi="Arial Narrow"/>
                <w:sz w:val="16"/>
                <w:szCs w:val="16"/>
              </w:rPr>
            </w:pPr>
            <w:r>
              <w:rPr>
                <w:rFonts w:ascii="Arial Narrow" w:hAnsi="Arial Narrow"/>
                <w:sz w:val="16"/>
                <w:szCs w:val="16"/>
              </w:rPr>
              <w:t>39</w:t>
            </w:r>
          </w:p>
        </w:tc>
        <w:tc>
          <w:tcPr>
            <w:tcW w:w="1276" w:type="dxa"/>
            <w:tcBorders>
              <w:top w:val="nil"/>
              <w:left w:val="nil"/>
              <w:bottom w:val="nil"/>
              <w:right w:val="single" w:sz="4" w:space="0" w:color="auto"/>
            </w:tcBorders>
            <w:shd w:val="clear" w:color="auto" w:fill="auto"/>
            <w:vAlign w:val="center"/>
          </w:tcPr>
          <w:p w:rsidR="002F6B2B" w:rsidRPr="004370E6" w:rsidRDefault="002F6B2B" w:rsidP="00B30B91">
            <w:pPr>
              <w:ind w:right="337"/>
              <w:jc w:val="right"/>
              <w:rPr>
                <w:rFonts w:ascii="Arial Narrow" w:hAnsi="Arial Narrow"/>
                <w:sz w:val="16"/>
                <w:szCs w:val="16"/>
              </w:rPr>
            </w:pPr>
            <w:r>
              <w:rPr>
                <w:rFonts w:ascii="Arial Narrow" w:hAnsi="Arial Narrow"/>
                <w:sz w:val="16"/>
                <w:szCs w:val="16"/>
              </w:rPr>
              <w:t>21</w:t>
            </w:r>
          </w:p>
        </w:tc>
      </w:tr>
      <w:tr w:rsidR="002F6B2B" w:rsidRPr="006B2DB8" w:rsidTr="00BE3746">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2F6B2B" w:rsidRPr="006B2DB8" w:rsidRDefault="002F6B2B" w:rsidP="008B79B5">
            <w:pPr>
              <w:tabs>
                <w:tab w:val="left" w:pos="258"/>
              </w:tabs>
              <w:spacing w:before="20" w:after="20"/>
              <w:ind w:left="477" w:hanging="477"/>
              <w:jc w:val="both"/>
              <w:rPr>
                <w:rFonts w:ascii="Arial Narrow" w:hAnsi="Arial Narrow"/>
                <w:sz w:val="16"/>
                <w:szCs w:val="16"/>
              </w:rPr>
            </w:pPr>
            <w:r w:rsidRPr="006B2DB8">
              <w:rPr>
                <w:rFonts w:ascii="Arial Narrow" w:hAnsi="Arial Narrow"/>
                <w:sz w:val="16"/>
                <w:szCs w:val="16"/>
              </w:rPr>
              <w:tab/>
            </w:r>
            <w:r>
              <w:rPr>
                <w:rFonts w:ascii="Arial Narrow" w:hAnsi="Arial Narrow"/>
                <w:sz w:val="16"/>
                <w:szCs w:val="16"/>
              </w:rPr>
              <w:t>β</w:t>
            </w:r>
            <w:r w:rsidRPr="00301426">
              <w:rPr>
                <w:rFonts w:ascii="Arial Narrow" w:hAnsi="Arial Narrow"/>
                <w:sz w:val="16"/>
                <w:szCs w:val="16"/>
              </w:rPr>
              <w:t>.</w:t>
            </w:r>
            <w:r w:rsidRPr="00301426">
              <w:rPr>
                <w:rFonts w:ascii="Arial Narrow" w:hAnsi="Arial Narrow"/>
                <w:sz w:val="16"/>
                <w:szCs w:val="16"/>
              </w:rPr>
              <w:tab/>
            </w:r>
            <w:r w:rsidR="006C10BA">
              <w:rPr>
                <w:rFonts w:ascii="Arial Narrow" w:hAnsi="Arial Narrow"/>
                <w:sz w:val="16"/>
                <w:szCs w:val="16"/>
              </w:rPr>
              <w:t>Λοιπές επιχορηγή</w:t>
            </w:r>
            <w:r>
              <w:rPr>
                <w:rFonts w:ascii="Arial Narrow" w:hAnsi="Arial Narrow"/>
                <w:sz w:val="16"/>
                <w:szCs w:val="16"/>
              </w:rPr>
              <w:t>σεις</w:t>
            </w:r>
            <w:r w:rsidR="00506609">
              <w:rPr>
                <w:rFonts w:ascii="Arial Narrow" w:hAnsi="Arial Narrow"/>
                <w:sz w:val="16"/>
                <w:szCs w:val="16"/>
              </w:rPr>
              <w:t xml:space="preserve"> (Υπουργείο Εσωτερικών και λοιπά Υπουργεία)</w:t>
            </w:r>
          </w:p>
        </w:tc>
        <w:tc>
          <w:tcPr>
            <w:tcW w:w="1213" w:type="dxa"/>
            <w:tcBorders>
              <w:top w:val="nil"/>
              <w:left w:val="nil"/>
              <w:bottom w:val="nil"/>
              <w:right w:val="nil"/>
            </w:tcBorders>
            <w:shd w:val="clear" w:color="auto" w:fill="auto"/>
            <w:vAlign w:val="center"/>
          </w:tcPr>
          <w:p w:rsidR="002F6B2B" w:rsidRPr="004370E6" w:rsidRDefault="002F6B2B" w:rsidP="00B30B91">
            <w:pPr>
              <w:ind w:right="337"/>
              <w:jc w:val="right"/>
              <w:rPr>
                <w:rFonts w:ascii="Arial Narrow" w:hAnsi="Arial Narrow"/>
                <w:sz w:val="16"/>
                <w:szCs w:val="16"/>
              </w:rPr>
            </w:pPr>
            <w:r>
              <w:rPr>
                <w:rFonts w:ascii="Arial Narrow" w:hAnsi="Arial Narrow"/>
                <w:sz w:val="16"/>
                <w:szCs w:val="16"/>
              </w:rPr>
              <w:t>51</w:t>
            </w:r>
          </w:p>
        </w:tc>
        <w:tc>
          <w:tcPr>
            <w:tcW w:w="1276" w:type="dxa"/>
            <w:tcBorders>
              <w:top w:val="nil"/>
              <w:left w:val="nil"/>
              <w:bottom w:val="nil"/>
              <w:right w:val="single" w:sz="4" w:space="0" w:color="auto"/>
            </w:tcBorders>
            <w:shd w:val="clear" w:color="auto" w:fill="auto"/>
            <w:vAlign w:val="center"/>
          </w:tcPr>
          <w:p w:rsidR="002F6B2B" w:rsidRPr="004370E6" w:rsidRDefault="002F6B2B" w:rsidP="00B30B91">
            <w:pPr>
              <w:ind w:right="337"/>
              <w:jc w:val="right"/>
              <w:rPr>
                <w:rFonts w:ascii="Arial Narrow" w:hAnsi="Arial Narrow"/>
                <w:sz w:val="16"/>
                <w:szCs w:val="16"/>
              </w:rPr>
            </w:pPr>
            <w:r>
              <w:rPr>
                <w:rFonts w:ascii="Arial Narrow" w:hAnsi="Arial Narrow"/>
                <w:sz w:val="16"/>
                <w:szCs w:val="16"/>
              </w:rPr>
              <w:t>22</w:t>
            </w:r>
          </w:p>
        </w:tc>
      </w:tr>
      <w:tr w:rsidR="002F6B2B" w:rsidRPr="006B2DB8" w:rsidTr="00BE3746">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2F6B2B" w:rsidRPr="004F0BB2" w:rsidRDefault="002F6B2B" w:rsidP="004F0BB2">
            <w:pPr>
              <w:tabs>
                <w:tab w:val="left" w:pos="258"/>
              </w:tabs>
              <w:spacing w:before="20" w:after="20"/>
              <w:jc w:val="both"/>
              <w:rPr>
                <w:rFonts w:ascii="Arial Narrow" w:hAnsi="Arial Narrow"/>
                <w:b/>
                <w:sz w:val="16"/>
                <w:szCs w:val="16"/>
              </w:rPr>
            </w:pPr>
            <w:r>
              <w:rPr>
                <w:rFonts w:ascii="Arial Narrow" w:hAnsi="Arial Narrow"/>
                <w:b/>
                <w:sz w:val="16"/>
                <w:szCs w:val="16"/>
                <w:lang w:val="en-GB"/>
              </w:rPr>
              <w:t>III</w:t>
            </w:r>
            <w:r w:rsidRPr="004F0BB2">
              <w:rPr>
                <w:rFonts w:ascii="Arial Narrow" w:hAnsi="Arial Narrow"/>
                <w:b/>
                <w:sz w:val="16"/>
                <w:szCs w:val="16"/>
              </w:rPr>
              <w:t>.</w:t>
            </w:r>
            <w:r w:rsidRPr="004F0BB2">
              <w:rPr>
                <w:rFonts w:ascii="Arial Narrow" w:hAnsi="Arial Narrow"/>
                <w:b/>
                <w:sz w:val="16"/>
                <w:szCs w:val="16"/>
              </w:rPr>
              <w:tab/>
            </w:r>
            <w:r>
              <w:rPr>
                <w:rFonts w:ascii="Arial Narrow" w:hAnsi="Arial Narrow"/>
                <w:b/>
                <w:sz w:val="16"/>
                <w:szCs w:val="16"/>
              </w:rPr>
              <w:t>Λοιπές αποδόσεις σε ΟΤΑ</w:t>
            </w:r>
            <w:r w:rsidR="00506609">
              <w:rPr>
                <w:rFonts w:ascii="Arial Narrow" w:hAnsi="Arial Narrow"/>
                <w:b/>
                <w:sz w:val="16"/>
                <w:szCs w:val="16"/>
              </w:rPr>
              <w:t xml:space="preserve"> α’ βαθμού</w:t>
            </w:r>
          </w:p>
        </w:tc>
        <w:tc>
          <w:tcPr>
            <w:tcW w:w="1213" w:type="dxa"/>
            <w:tcBorders>
              <w:top w:val="nil"/>
              <w:left w:val="nil"/>
              <w:bottom w:val="nil"/>
              <w:right w:val="nil"/>
            </w:tcBorders>
            <w:shd w:val="clear" w:color="auto" w:fill="auto"/>
            <w:vAlign w:val="center"/>
          </w:tcPr>
          <w:p w:rsidR="002F6B2B" w:rsidRPr="00876098" w:rsidRDefault="002F6B2B" w:rsidP="00B30B91">
            <w:pPr>
              <w:ind w:right="337"/>
              <w:jc w:val="right"/>
              <w:rPr>
                <w:rFonts w:ascii="Arial Narrow" w:hAnsi="Arial Narrow"/>
                <w:b/>
                <w:sz w:val="16"/>
                <w:szCs w:val="16"/>
              </w:rPr>
            </w:pPr>
            <w:r w:rsidRPr="00876098">
              <w:rPr>
                <w:rFonts w:ascii="Arial Narrow" w:hAnsi="Arial Narrow"/>
                <w:b/>
                <w:sz w:val="16"/>
                <w:szCs w:val="16"/>
              </w:rPr>
              <w:t>4</w:t>
            </w:r>
          </w:p>
        </w:tc>
        <w:tc>
          <w:tcPr>
            <w:tcW w:w="1276" w:type="dxa"/>
            <w:tcBorders>
              <w:top w:val="nil"/>
              <w:left w:val="nil"/>
              <w:bottom w:val="nil"/>
              <w:right w:val="single" w:sz="4" w:space="0" w:color="auto"/>
            </w:tcBorders>
            <w:shd w:val="clear" w:color="auto" w:fill="auto"/>
            <w:vAlign w:val="center"/>
          </w:tcPr>
          <w:p w:rsidR="002F6B2B" w:rsidRPr="00876098" w:rsidRDefault="002F6B2B" w:rsidP="00B30B91">
            <w:pPr>
              <w:ind w:right="337"/>
              <w:jc w:val="right"/>
              <w:rPr>
                <w:rFonts w:ascii="Arial Narrow" w:hAnsi="Arial Narrow"/>
                <w:b/>
                <w:sz w:val="16"/>
                <w:szCs w:val="16"/>
              </w:rPr>
            </w:pPr>
            <w:r w:rsidRPr="00876098">
              <w:rPr>
                <w:rFonts w:ascii="Arial Narrow" w:hAnsi="Arial Narrow"/>
                <w:b/>
                <w:sz w:val="16"/>
                <w:szCs w:val="16"/>
              </w:rPr>
              <w:t>3</w:t>
            </w:r>
          </w:p>
        </w:tc>
      </w:tr>
      <w:tr w:rsidR="002F6B2B" w:rsidRPr="006B2DB8" w:rsidTr="00B26CA9">
        <w:tblPrEx>
          <w:tblBorders>
            <w:top w:val="single" w:sz="4" w:space="0" w:color="auto"/>
            <w:left w:val="single" w:sz="4" w:space="0" w:color="auto"/>
            <w:bottom w:val="single" w:sz="4" w:space="0" w:color="auto"/>
            <w:right w:val="single" w:sz="4" w:space="0" w:color="auto"/>
            <w:insideV w:val="single" w:sz="4" w:space="0" w:color="auto"/>
          </w:tblBorders>
        </w:tblPrEx>
        <w:trPr>
          <w:trHeight w:val="397"/>
          <w:jc w:val="center"/>
        </w:trPr>
        <w:tc>
          <w:tcPr>
            <w:tcW w:w="5957" w:type="dxa"/>
            <w:tcBorders>
              <w:top w:val="nil"/>
              <w:left w:val="single" w:sz="4" w:space="0" w:color="auto"/>
              <w:bottom w:val="single" w:sz="4" w:space="0" w:color="auto"/>
              <w:right w:val="nil"/>
            </w:tcBorders>
            <w:shd w:val="clear" w:color="auto" w:fill="D9D9D9" w:themeFill="background1" w:themeFillShade="D9"/>
            <w:vAlign w:val="center"/>
          </w:tcPr>
          <w:p w:rsidR="00B26CA9" w:rsidRPr="008B79B5" w:rsidRDefault="002F6B2B" w:rsidP="00B26CA9">
            <w:pPr>
              <w:spacing w:before="20" w:after="20"/>
              <w:ind w:left="258" w:hanging="258"/>
              <w:rPr>
                <w:rFonts w:ascii="Arial Narrow" w:hAnsi="Arial Narrow"/>
                <w:b/>
                <w:sz w:val="16"/>
                <w:szCs w:val="16"/>
              </w:rPr>
            </w:pPr>
            <w:r>
              <w:rPr>
                <w:rFonts w:ascii="Arial Narrow" w:hAnsi="Arial Narrow"/>
                <w:b/>
                <w:sz w:val="16"/>
                <w:szCs w:val="16"/>
              </w:rPr>
              <w:t>Σύνολο μεταβιβάσεων από τον Τακτικό Προϋπολογισμό στους ΟΤΑ</w:t>
            </w:r>
            <w:r w:rsidR="00B26CA9">
              <w:rPr>
                <w:rFonts w:ascii="Arial Narrow" w:hAnsi="Arial Narrow"/>
                <w:b/>
                <w:sz w:val="16"/>
                <w:szCs w:val="16"/>
              </w:rPr>
              <w:t xml:space="preserve"> (Ι + ΙΙ + ΙΙΙ)</w:t>
            </w:r>
          </w:p>
        </w:tc>
        <w:tc>
          <w:tcPr>
            <w:tcW w:w="1213" w:type="dxa"/>
            <w:tcBorders>
              <w:top w:val="nil"/>
              <w:left w:val="nil"/>
              <w:bottom w:val="single" w:sz="4" w:space="0" w:color="auto"/>
              <w:right w:val="nil"/>
            </w:tcBorders>
            <w:shd w:val="clear" w:color="auto" w:fill="D9D9D9" w:themeFill="background1" w:themeFillShade="D9"/>
            <w:vAlign w:val="center"/>
          </w:tcPr>
          <w:p w:rsidR="002F6B2B" w:rsidRPr="004370E6" w:rsidRDefault="002F6B2B" w:rsidP="00B30B91">
            <w:pPr>
              <w:ind w:right="337"/>
              <w:jc w:val="right"/>
              <w:rPr>
                <w:rFonts w:ascii="Arial Narrow" w:hAnsi="Arial Narrow"/>
                <w:b/>
                <w:bCs/>
                <w:sz w:val="16"/>
                <w:szCs w:val="16"/>
              </w:rPr>
            </w:pPr>
            <w:r w:rsidRPr="004370E6">
              <w:rPr>
                <w:rFonts w:ascii="Arial Narrow" w:hAnsi="Arial Narrow"/>
                <w:b/>
                <w:bCs/>
                <w:sz w:val="16"/>
                <w:szCs w:val="16"/>
              </w:rPr>
              <w:t>3.</w:t>
            </w:r>
            <w:r>
              <w:rPr>
                <w:rFonts w:ascii="Arial Narrow" w:hAnsi="Arial Narrow"/>
                <w:b/>
                <w:bCs/>
                <w:sz w:val="16"/>
                <w:szCs w:val="16"/>
              </w:rPr>
              <w:t>234</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rsidR="002F6B2B" w:rsidRPr="004370E6" w:rsidRDefault="002F6B2B" w:rsidP="00B30B91">
            <w:pPr>
              <w:ind w:right="337"/>
              <w:jc w:val="right"/>
              <w:rPr>
                <w:rFonts w:ascii="Arial Narrow" w:hAnsi="Arial Narrow"/>
                <w:b/>
                <w:bCs/>
                <w:sz w:val="16"/>
                <w:szCs w:val="16"/>
              </w:rPr>
            </w:pPr>
            <w:r>
              <w:rPr>
                <w:rFonts w:ascii="Arial Narrow" w:hAnsi="Arial Narrow"/>
                <w:b/>
                <w:bCs/>
                <w:sz w:val="16"/>
                <w:szCs w:val="16"/>
              </w:rPr>
              <w:t>2</w:t>
            </w:r>
            <w:r w:rsidRPr="004370E6">
              <w:rPr>
                <w:rFonts w:ascii="Arial Narrow" w:hAnsi="Arial Narrow"/>
                <w:b/>
                <w:bCs/>
                <w:sz w:val="16"/>
                <w:szCs w:val="16"/>
              </w:rPr>
              <w:t>.</w:t>
            </w:r>
            <w:r>
              <w:rPr>
                <w:rFonts w:ascii="Arial Narrow" w:hAnsi="Arial Narrow"/>
                <w:b/>
                <w:bCs/>
                <w:sz w:val="16"/>
                <w:szCs w:val="16"/>
              </w:rPr>
              <w:t>472</w:t>
            </w:r>
          </w:p>
        </w:tc>
      </w:tr>
    </w:tbl>
    <w:p w:rsidR="008B5CB0" w:rsidRDefault="008B5CB0" w:rsidP="0086304C">
      <w:pPr>
        <w:jc w:val="both"/>
        <w:rPr>
          <w:rFonts w:ascii="Arial Narrow" w:hAnsi="Arial Narrow"/>
          <w:b/>
          <w:bCs/>
          <w:sz w:val="22"/>
          <w:szCs w:val="22"/>
        </w:rPr>
      </w:pPr>
    </w:p>
    <w:p w:rsidR="008B5CB0" w:rsidRPr="008B5CB0" w:rsidRDefault="008B5CB0" w:rsidP="0086304C">
      <w:pPr>
        <w:jc w:val="both"/>
        <w:rPr>
          <w:rFonts w:ascii="Arial Narrow" w:hAnsi="Arial Narrow"/>
          <w:b/>
          <w:bCs/>
          <w:sz w:val="22"/>
          <w:szCs w:val="22"/>
        </w:rPr>
      </w:pPr>
    </w:p>
    <w:p w:rsidR="000D6FF5" w:rsidRDefault="000D6FF5" w:rsidP="0086304C">
      <w:pPr>
        <w:jc w:val="both"/>
        <w:rPr>
          <w:rFonts w:ascii="Arial Narrow" w:hAnsi="Arial Narrow"/>
          <w:b/>
          <w:bCs/>
          <w:sz w:val="22"/>
          <w:szCs w:val="22"/>
        </w:rPr>
      </w:pPr>
    </w:p>
    <w:tbl>
      <w:tblPr>
        <w:tblW w:w="0" w:type="auto"/>
        <w:jc w:val="center"/>
        <w:tblLayout w:type="fixed"/>
        <w:tblCellMar>
          <w:left w:w="28" w:type="dxa"/>
          <w:right w:w="28" w:type="dxa"/>
        </w:tblCellMar>
        <w:tblLook w:val="0000"/>
      </w:tblPr>
      <w:tblGrid>
        <w:gridCol w:w="312"/>
        <w:gridCol w:w="4678"/>
        <w:gridCol w:w="992"/>
        <w:gridCol w:w="992"/>
        <w:gridCol w:w="867"/>
        <w:gridCol w:w="976"/>
      </w:tblGrid>
      <w:tr w:rsidR="00BE3746" w:rsidRPr="006B2DB8" w:rsidTr="00B01F9F">
        <w:trPr>
          <w:cantSplit/>
          <w:jc w:val="center"/>
        </w:trPr>
        <w:tc>
          <w:tcPr>
            <w:tcW w:w="8817" w:type="dxa"/>
            <w:gridSpan w:val="6"/>
            <w:tcBorders>
              <w:top w:val="single" w:sz="4" w:space="0" w:color="auto"/>
              <w:left w:val="single" w:sz="4" w:space="0" w:color="auto"/>
              <w:right w:val="single" w:sz="4" w:space="0" w:color="auto"/>
            </w:tcBorders>
            <w:shd w:val="clear" w:color="auto" w:fill="404040" w:themeFill="text1" w:themeFillTint="BF"/>
            <w:vAlign w:val="center"/>
          </w:tcPr>
          <w:p w:rsidR="00BE3746" w:rsidRPr="006B2DB8" w:rsidRDefault="001528EA" w:rsidP="003625C5">
            <w:pPr>
              <w:spacing w:before="120"/>
              <w:jc w:val="center"/>
              <w:rPr>
                <w:rFonts w:ascii="Arial Narrow" w:hAnsi="Arial Narrow"/>
                <w:b/>
                <w:color w:val="FFFFFF"/>
              </w:rPr>
            </w:pPr>
            <w:r>
              <w:rPr>
                <w:rFonts w:ascii="Arial Narrow" w:hAnsi="Arial Narrow"/>
                <w:b/>
                <w:color w:val="FFFFFF"/>
              </w:rPr>
              <w:t>Πίνακας 3.28</w:t>
            </w:r>
            <w:r w:rsidR="00BE3746" w:rsidRPr="006B2DB8">
              <w:rPr>
                <w:rFonts w:ascii="Arial Narrow" w:hAnsi="Arial Narrow"/>
                <w:b/>
                <w:color w:val="FFFFFF"/>
              </w:rPr>
              <w:t xml:space="preserve">  Ενοποιημένος προϋπολογισμός ΟΤΑ</w:t>
            </w:r>
          </w:p>
          <w:p w:rsidR="00BE3746" w:rsidRPr="006B2DB8" w:rsidRDefault="00BE3746" w:rsidP="003625C5">
            <w:pPr>
              <w:spacing w:after="60"/>
              <w:jc w:val="center"/>
              <w:rPr>
                <w:rFonts w:ascii="Arial Narrow" w:hAnsi="Arial Narrow"/>
                <w:b/>
                <w:color w:val="FFFFFF"/>
              </w:rPr>
            </w:pPr>
            <w:r w:rsidRPr="006B2DB8">
              <w:rPr>
                <w:rFonts w:ascii="Arial Narrow" w:hAnsi="Arial Narrow"/>
                <w:b/>
                <w:color w:val="FFFFFF"/>
              </w:rPr>
              <w:t>(σε εκατ. ευρώ)</w:t>
            </w:r>
          </w:p>
        </w:tc>
      </w:tr>
      <w:tr w:rsidR="00BE3746" w:rsidRPr="006B2DB8" w:rsidTr="00B01F9F">
        <w:trPr>
          <w:cantSplit/>
          <w:jc w:val="center"/>
        </w:trPr>
        <w:tc>
          <w:tcPr>
            <w:tcW w:w="8817" w:type="dxa"/>
            <w:gridSpan w:val="6"/>
            <w:tcBorders>
              <w:left w:val="single" w:sz="4" w:space="0" w:color="auto"/>
              <w:bottom w:val="single" w:sz="4" w:space="0" w:color="auto"/>
              <w:right w:val="single" w:sz="4" w:space="0" w:color="auto"/>
            </w:tcBorders>
            <w:shd w:val="clear" w:color="auto" w:fill="auto"/>
            <w:vAlign w:val="center"/>
          </w:tcPr>
          <w:p w:rsidR="00BE3746" w:rsidRPr="006B2DB8" w:rsidRDefault="00BE3746" w:rsidP="003625C5">
            <w:pPr>
              <w:jc w:val="center"/>
              <w:rPr>
                <w:rFonts w:ascii="Arial Narrow" w:hAnsi="Arial Narrow"/>
                <w:b/>
                <w:color w:val="FFFFFF"/>
                <w:sz w:val="14"/>
              </w:rPr>
            </w:pPr>
          </w:p>
        </w:tc>
      </w:tr>
      <w:tr w:rsidR="00B01F9F" w:rsidRPr="006B2DB8" w:rsidTr="00B01F9F">
        <w:trPr>
          <w:cantSplit/>
          <w:trHeight w:val="260"/>
          <w:jc w:val="center"/>
        </w:trPr>
        <w:tc>
          <w:tcPr>
            <w:tcW w:w="4990" w:type="dxa"/>
            <w:gridSpan w:val="2"/>
            <w:vMerge w:val="restart"/>
            <w:tcBorders>
              <w:top w:val="single" w:sz="4" w:space="0" w:color="auto"/>
              <w:left w:val="single" w:sz="4" w:space="0" w:color="auto"/>
              <w:bottom w:val="single" w:sz="4" w:space="0" w:color="auto"/>
              <w:right w:val="single" w:sz="4" w:space="0" w:color="auto"/>
            </w:tcBorders>
            <w:vAlign w:val="center"/>
          </w:tcPr>
          <w:p w:rsidR="00B01F9F" w:rsidRPr="006B2DB8" w:rsidRDefault="00B01F9F" w:rsidP="003625C5">
            <w:pPr>
              <w:spacing w:before="70"/>
              <w:jc w:val="center"/>
              <w:rPr>
                <w:rFonts w:ascii="Arial Narrow" w:hAnsi="Arial Narrow"/>
                <w:b/>
                <w:sz w:val="16"/>
                <w:szCs w:val="16"/>
              </w:rPr>
            </w:pPr>
            <w:r w:rsidRPr="006B2DB8">
              <w:rPr>
                <w:rFonts w:ascii="Arial Narrow" w:hAnsi="Arial Narrow"/>
                <w:b/>
                <w:sz w:val="16"/>
                <w:szCs w:val="16"/>
              </w:rPr>
              <w:t>Κατηγορία</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01F9F" w:rsidRPr="006B2DB8" w:rsidRDefault="00B01F9F" w:rsidP="003625C5">
            <w:pPr>
              <w:jc w:val="center"/>
              <w:rPr>
                <w:rFonts w:ascii="Arial Narrow" w:hAnsi="Arial Narrow"/>
                <w:b/>
                <w:sz w:val="16"/>
                <w:szCs w:val="16"/>
              </w:rPr>
            </w:pPr>
            <w:r>
              <w:rPr>
                <w:rFonts w:ascii="Arial Narrow" w:hAnsi="Arial Narrow"/>
                <w:b/>
                <w:sz w:val="16"/>
                <w:szCs w:val="16"/>
              </w:rPr>
              <w:t>201</w:t>
            </w:r>
            <w:r w:rsidR="002F6B2B">
              <w:rPr>
                <w:rFonts w:ascii="Arial Narrow" w:hAnsi="Arial Narrow"/>
                <w:b/>
                <w:sz w:val="16"/>
                <w:szCs w:val="16"/>
              </w:rPr>
              <w:t>8</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01F9F" w:rsidRPr="006B2DB8" w:rsidRDefault="00B01F9F" w:rsidP="003625C5">
            <w:pPr>
              <w:jc w:val="center"/>
              <w:rPr>
                <w:rFonts w:ascii="Arial Narrow" w:hAnsi="Arial Narrow"/>
                <w:b/>
                <w:sz w:val="16"/>
                <w:szCs w:val="16"/>
              </w:rPr>
            </w:pPr>
            <w:r>
              <w:rPr>
                <w:rFonts w:ascii="Arial Narrow" w:hAnsi="Arial Narrow"/>
                <w:b/>
                <w:sz w:val="16"/>
                <w:szCs w:val="16"/>
              </w:rPr>
              <w:t>201</w:t>
            </w:r>
            <w:r w:rsidR="002F6B2B">
              <w:rPr>
                <w:rFonts w:ascii="Arial Narrow" w:hAnsi="Arial Narrow"/>
                <w:b/>
                <w:sz w:val="16"/>
                <w:szCs w:val="16"/>
              </w:rPr>
              <w:t>9</w:t>
            </w:r>
          </w:p>
        </w:tc>
      </w:tr>
      <w:tr w:rsidR="00B01F9F" w:rsidRPr="006B2DB8" w:rsidTr="00B01F9F">
        <w:trPr>
          <w:cantSplit/>
          <w:trHeight w:val="253"/>
          <w:jc w:val="center"/>
        </w:trPr>
        <w:tc>
          <w:tcPr>
            <w:tcW w:w="4990" w:type="dxa"/>
            <w:gridSpan w:val="2"/>
            <w:vMerge/>
            <w:tcBorders>
              <w:top w:val="single" w:sz="4" w:space="0" w:color="auto"/>
              <w:left w:val="single" w:sz="4" w:space="0" w:color="auto"/>
              <w:bottom w:val="single" w:sz="4" w:space="0" w:color="auto"/>
              <w:right w:val="single" w:sz="4" w:space="0" w:color="auto"/>
            </w:tcBorders>
            <w:vAlign w:val="center"/>
          </w:tcPr>
          <w:p w:rsidR="00B01F9F" w:rsidRPr="006B2DB8" w:rsidRDefault="00B01F9F" w:rsidP="003625C5">
            <w:pPr>
              <w:spacing w:before="70"/>
              <w:jc w:val="center"/>
              <w:rPr>
                <w:rFonts w:ascii="Arial Narrow" w:hAnsi="Arial Narrow"/>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B01F9F" w:rsidRPr="006B2DB8" w:rsidRDefault="00B01F9F" w:rsidP="003625C5">
            <w:pPr>
              <w:jc w:val="center"/>
              <w:rPr>
                <w:rFonts w:ascii="Arial Narrow" w:hAnsi="Arial Narrow"/>
                <w:b/>
                <w:sz w:val="16"/>
                <w:szCs w:val="16"/>
              </w:rPr>
            </w:pPr>
            <w:r>
              <w:rPr>
                <w:rFonts w:ascii="Arial Narrow" w:hAnsi="Arial Narrow"/>
                <w:b/>
                <w:sz w:val="16"/>
                <w:szCs w:val="16"/>
              </w:rPr>
              <w:t>ΜΠΔΣ</w:t>
            </w:r>
          </w:p>
        </w:tc>
        <w:tc>
          <w:tcPr>
            <w:tcW w:w="992" w:type="dxa"/>
            <w:tcBorders>
              <w:top w:val="single" w:sz="4" w:space="0" w:color="auto"/>
              <w:left w:val="single" w:sz="4" w:space="0" w:color="auto"/>
              <w:bottom w:val="single" w:sz="4" w:space="0" w:color="auto"/>
              <w:right w:val="single" w:sz="4" w:space="0" w:color="auto"/>
            </w:tcBorders>
            <w:vAlign w:val="center"/>
          </w:tcPr>
          <w:p w:rsidR="00B01F9F" w:rsidRPr="006B2DB8" w:rsidRDefault="00B01F9F" w:rsidP="003625C5">
            <w:pPr>
              <w:jc w:val="center"/>
              <w:rPr>
                <w:rFonts w:ascii="Arial Narrow" w:hAnsi="Arial Narrow"/>
                <w:b/>
                <w:sz w:val="16"/>
                <w:szCs w:val="16"/>
              </w:rPr>
            </w:pPr>
            <w:r w:rsidRPr="006B2DB8">
              <w:rPr>
                <w:rFonts w:ascii="Arial Narrow" w:hAnsi="Arial Narrow"/>
                <w:b/>
                <w:sz w:val="16"/>
                <w:szCs w:val="16"/>
              </w:rPr>
              <w:t>Εκτιμήσεις</w:t>
            </w:r>
          </w:p>
        </w:tc>
        <w:tc>
          <w:tcPr>
            <w:tcW w:w="867" w:type="dxa"/>
            <w:tcBorders>
              <w:top w:val="single" w:sz="4" w:space="0" w:color="auto"/>
              <w:left w:val="single" w:sz="4" w:space="0" w:color="auto"/>
              <w:bottom w:val="single" w:sz="4" w:space="0" w:color="auto"/>
              <w:right w:val="single" w:sz="4" w:space="0" w:color="auto"/>
            </w:tcBorders>
            <w:vAlign w:val="center"/>
          </w:tcPr>
          <w:p w:rsidR="00B01F9F" w:rsidRPr="006B2DB8" w:rsidRDefault="00B01F9F" w:rsidP="003625C5">
            <w:pPr>
              <w:jc w:val="center"/>
              <w:rPr>
                <w:rFonts w:ascii="Arial Narrow" w:hAnsi="Arial Narrow"/>
                <w:b/>
                <w:sz w:val="16"/>
                <w:szCs w:val="16"/>
              </w:rPr>
            </w:pPr>
            <w:r>
              <w:rPr>
                <w:rFonts w:ascii="Arial Narrow" w:hAnsi="Arial Narrow"/>
                <w:b/>
                <w:sz w:val="16"/>
                <w:szCs w:val="16"/>
              </w:rPr>
              <w:t>ΜΠΔΣ</w:t>
            </w:r>
          </w:p>
        </w:tc>
        <w:tc>
          <w:tcPr>
            <w:tcW w:w="976" w:type="dxa"/>
            <w:tcBorders>
              <w:top w:val="single" w:sz="4" w:space="0" w:color="auto"/>
              <w:left w:val="single" w:sz="4" w:space="0" w:color="auto"/>
              <w:bottom w:val="single" w:sz="4" w:space="0" w:color="auto"/>
              <w:right w:val="single" w:sz="4" w:space="0" w:color="auto"/>
            </w:tcBorders>
            <w:vAlign w:val="center"/>
          </w:tcPr>
          <w:p w:rsidR="00B01F9F" w:rsidRPr="006B2DB8" w:rsidRDefault="00B01F9F" w:rsidP="003625C5">
            <w:pPr>
              <w:jc w:val="center"/>
              <w:rPr>
                <w:rFonts w:ascii="Arial Narrow" w:hAnsi="Arial Narrow"/>
                <w:b/>
                <w:sz w:val="16"/>
                <w:szCs w:val="16"/>
              </w:rPr>
            </w:pPr>
            <w:r>
              <w:rPr>
                <w:rFonts w:ascii="Arial Narrow" w:hAnsi="Arial Narrow"/>
                <w:b/>
                <w:sz w:val="16"/>
                <w:szCs w:val="16"/>
              </w:rPr>
              <w:t>Προβλέψεις</w:t>
            </w:r>
          </w:p>
        </w:tc>
      </w:tr>
      <w:tr w:rsidR="0089521F" w:rsidRPr="006B2DB8" w:rsidTr="0089521F">
        <w:trPr>
          <w:cantSplit/>
          <w:jc w:val="center"/>
        </w:trPr>
        <w:tc>
          <w:tcPr>
            <w:tcW w:w="312" w:type="dxa"/>
            <w:tcBorders>
              <w:top w:val="single" w:sz="4" w:space="0" w:color="auto"/>
              <w:left w:val="single" w:sz="4" w:space="0" w:color="auto"/>
            </w:tcBorders>
            <w:shd w:val="clear" w:color="auto" w:fill="D9D9D9" w:themeFill="background1" w:themeFillShade="D9"/>
          </w:tcPr>
          <w:p w:rsidR="0089521F" w:rsidRPr="006B2DB8" w:rsidRDefault="0089521F" w:rsidP="003625C5">
            <w:pPr>
              <w:tabs>
                <w:tab w:val="num" w:pos="900"/>
              </w:tabs>
              <w:spacing w:before="60" w:after="60"/>
              <w:jc w:val="right"/>
              <w:rPr>
                <w:rFonts w:ascii="Arial Narrow" w:hAnsi="Arial Narrow"/>
                <w:b/>
                <w:sz w:val="16"/>
                <w:szCs w:val="16"/>
              </w:rPr>
            </w:pPr>
            <w:r w:rsidRPr="006B2DB8">
              <w:rPr>
                <w:rFonts w:ascii="Arial Narrow" w:hAnsi="Arial Narrow"/>
                <w:b/>
                <w:sz w:val="16"/>
                <w:szCs w:val="16"/>
              </w:rPr>
              <w:t>Α</w:t>
            </w:r>
          </w:p>
        </w:tc>
        <w:tc>
          <w:tcPr>
            <w:tcW w:w="4678" w:type="dxa"/>
            <w:tcBorders>
              <w:top w:val="single" w:sz="4" w:space="0" w:color="auto"/>
            </w:tcBorders>
            <w:shd w:val="clear" w:color="auto" w:fill="D9D9D9" w:themeFill="background1" w:themeFillShade="D9"/>
          </w:tcPr>
          <w:p w:rsidR="0089521F" w:rsidRPr="006B2DB8" w:rsidRDefault="0089521F" w:rsidP="00BE3746">
            <w:pPr>
              <w:tabs>
                <w:tab w:val="num" w:pos="900"/>
              </w:tabs>
              <w:spacing w:before="60" w:after="60"/>
              <w:rPr>
                <w:rFonts w:ascii="Arial Narrow" w:hAnsi="Arial Narrow"/>
                <w:b/>
                <w:sz w:val="16"/>
                <w:szCs w:val="16"/>
              </w:rPr>
            </w:pPr>
            <w:r w:rsidRPr="006B2DB8">
              <w:rPr>
                <w:rFonts w:ascii="Arial Narrow" w:hAnsi="Arial Narrow"/>
                <w:b/>
                <w:sz w:val="16"/>
                <w:szCs w:val="16"/>
              </w:rPr>
              <w:t>Έσοδα (1+2+3+4+5+6</w:t>
            </w:r>
            <w:r>
              <w:rPr>
                <w:rFonts w:ascii="Arial Narrow" w:hAnsi="Arial Narrow"/>
                <w:b/>
                <w:sz w:val="16"/>
                <w:szCs w:val="16"/>
              </w:rPr>
              <w:t>)</w:t>
            </w:r>
          </w:p>
        </w:tc>
        <w:tc>
          <w:tcPr>
            <w:tcW w:w="992" w:type="dxa"/>
            <w:tcBorders>
              <w:top w:val="single" w:sz="4" w:space="0" w:color="auto"/>
            </w:tcBorders>
            <w:shd w:val="clear" w:color="auto" w:fill="D9D9D9" w:themeFill="background1" w:themeFillShade="D9"/>
            <w:vAlign w:val="center"/>
          </w:tcPr>
          <w:p w:rsidR="0089521F" w:rsidRPr="00422C0D" w:rsidRDefault="0089521F" w:rsidP="0089521F">
            <w:pPr>
              <w:ind w:right="227"/>
              <w:jc w:val="right"/>
              <w:rPr>
                <w:rFonts w:ascii="Arial Narrow" w:hAnsi="Arial Narrow"/>
                <w:b/>
                <w:bCs/>
                <w:color w:val="000000"/>
                <w:sz w:val="16"/>
                <w:szCs w:val="16"/>
              </w:rPr>
            </w:pPr>
            <w:r w:rsidRPr="00335564">
              <w:rPr>
                <w:rFonts w:ascii="Arial Narrow" w:hAnsi="Arial Narrow"/>
                <w:b/>
                <w:bCs/>
                <w:color w:val="000000"/>
                <w:sz w:val="16"/>
                <w:szCs w:val="16"/>
              </w:rPr>
              <w:t>7.811</w:t>
            </w:r>
          </w:p>
        </w:tc>
        <w:tc>
          <w:tcPr>
            <w:tcW w:w="992" w:type="dxa"/>
            <w:tcBorders>
              <w:top w:val="single" w:sz="4" w:space="0" w:color="auto"/>
            </w:tcBorders>
            <w:shd w:val="clear" w:color="auto" w:fill="D9D9D9" w:themeFill="background1" w:themeFillShade="D9"/>
            <w:vAlign w:val="center"/>
          </w:tcPr>
          <w:p w:rsidR="0089521F" w:rsidRPr="004735E4" w:rsidRDefault="0089521F" w:rsidP="0089521F">
            <w:pPr>
              <w:ind w:right="227"/>
              <w:jc w:val="right"/>
              <w:rPr>
                <w:rFonts w:ascii="Arial Narrow" w:hAnsi="Arial Narrow"/>
                <w:b/>
                <w:bCs/>
                <w:color w:val="000000"/>
                <w:sz w:val="16"/>
                <w:szCs w:val="16"/>
              </w:rPr>
            </w:pPr>
            <w:r w:rsidRPr="00BF3DD0">
              <w:rPr>
                <w:rFonts w:ascii="Arial Narrow" w:hAnsi="Arial Narrow"/>
                <w:b/>
                <w:bCs/>
                <w:color w:val="000000"/>
                <w:sz w:val="16"/>
                <w:szCs w:val="16"/>
              </w:rPr>
              <w:t>7</w:t>
            </w:r>
            <w:r>
              <w:rPr>
                <w:rFonts w:ascii="Arial Narrow" w:hAnsi="Arial Narrow"/>
                <w:b/>
                <w:bCs/>
                <w:color w:val="000000"/>
                <w:sz w:val="16"/>
                <w:szCs w:val="16"/>
              </w:rPr>
              <w:t>.</w:t>
            </w:r>
            <w:r w:rsidR="007656AC">
              <w:rPr>
                <w:rFonts w:ascii="Arial Narrow" w:hAnsi="Arial Narrow"/>
                <w:b/>
                <w:bCs/>
                <w:color w:val="000000"/>
                <w:sz w:val="16"/>
                <w:szCs w:val="16"/>
              </w:rPr>
              <w:t>820</w:t>
            </w:r>
          </w:p>
        </w:tc>
        <w:tc>
          <w:tcPr>
            <w:tcW w:w="867" w:type="dxa"/>
            <w:tcBorders>
              <w:top w:val="single" w:sz="4" w:space="0" w:color="auto"/>
            </w:tcBorders>
            <w:shd w:val="clear" w:color="auto" w:fill="D9D9D9" w:themeFill="background1" w:themeFillShade="D9"/>
            <w:vAlign w:val="center"/>
          </w:tcPr>
          <w:p w:rsidR="0089521F" w:rsidRPr="00F92EF7" w:rsidRDefault="0089521F" w:rsidP="0089521F">
            <w:pPr>
              <w:ind w:right="227"/>
              <w:jc w:val="right"/>
              <w:rPr>
                <w:rFonts w:ascii="Arial Narrow" w:hAnsi="Arial Narrow"/>
                <w:b/>
                <w:bCs/>
                <w:color w:val="000000"/>
                <w:sz w:val="16"/>
                <w:szCs w:val="16"/>
                <w:lang w:val="en-US"/>
              </w:rPr>
            </w:pPr>
            <w:r w:rsidRPr="00BF3DD0">
              <w:rPr>
                <w:rFonts w:ascii="Arial Narrow" w:hAnsi="Arial Narrow"/>
                <w:b/>
                <w:bCs/>
                <w:color w:val="000000"/>
                <w:sz w:val="16"/>
                <w:szCs w:val="16"/>
              </w:rPr>
              <w:t>7.</w:t>
            </w:r>
            <w:r>
              <w:rPr>
                <w:rFonts w:ascii="Arial Narrow" w:hAnsi="Arial Narrow"/>
                <w:b/>
                <w:bCs/>
                <w:color w:val="000000"/>
                <w:sz w:val="16"/>
                <w:szCs w:val="16"/>
                <w:lang w:val="en-US"/>
              </w:rPr>
              <w:t>102</w:t>
            </w:r>
          </w:p>
        </w:tc>
        <w:tc>
          <w:tcPr>
            <w:tcW w:w="976" w:type="dxa"/>
            <w:tcBorders>
              <w:top w:val="single" w:sz="4" w:space="0" w:color="auto"/>
              <w:right w:val="single" w:sz="4" w:space="0" w:color="auto"/>
            </w:tcBorders>
            <w:shd w:val="clear" w:color="auto" w:fill="D9D9D9" w:themeFill="background1" w:themeFillShade="D9"/>
            <w:vAlign w:val="center"/>
          </w:tcPr>
          <w:p w:rsidR="0089521F" w:rsidRPr="004735E4" w:rsidRDefault="0089521F" w:rsidP="0089521F">
            <w:pPr>
              <w:ind w:right="227"/>
              <w:jc w:val="right"/>
              <w:rPr>
                <w:rFonts w:ascii="Arial Narrow" w:hAnsi="Arial Narrow"/>
                <w:b/>
                <w:bCs/>
                <w:color w:val="000000"/>
                <w:sz w:val="16"/>
                <w:szCs w:val="16"/>
              </w:rPr>
            </w:pPr>
            <w:r>
              <w:rPr>
                <w:rFonts w:ascii="Arial Narrow" w:hAnsi="Arial Narrow"/>
                <w:b/>
                <w:bCs/>
                <w:color w:val="000000"/>
                <w:sz w:val="16"/>
                <w:szCs w:val="16"/>
                <w:lang w:val="en-US"/>
              </w:rPr>
              <w:t>6</w:t>
            </w:r>
            <w:r w:rsidRPr="00BF3DD0">
              <w:rPr>
                <w:rFonts w:ascii="Arial Narrow" w:hAnsi="Arial Narrow"/>
                <w:b/>
                <w:bCs/>
                <w:color w:val="000000"/>
                <w:sz w:val="16"/>
                <w:szCs w:val="16"/>
              </w:rPr>
              <w:t>.</w:t>
            </w:r>
            <w:r>
              <w:rPr>
                <w:rFonts w:ascii="Arial Narrow" w:hAnsi="Arial Narrow"/>
                <w:b/>
                <w:bCs/>
                <w:color w:val="000000"/>
                <w:sz w:val="16"/>
                <w:szCs w:val="16"/>
                <w:lang w:val="en-US"/>
              </w:rPr>
              <w:t>9</w:t>
            </w:r>
            <w:r>
              <w:rPr>
                <w:rFonts w:ascii="Arial Narrow" w:hAnsi="Arial Narrow"/>
                <w:b/>
                <w:bCs/>
                <w:color w:val="000000"/>
                <w:sz w:val="16"/>
                <w:szCs w:val="16"/>
              </w:rPr>
              <w:t>62</w:t>
            </w:r>
          </w:p>
        </w:tc>
      </w:tr>
      <w:tr w:rsidR="0089521F" w:rsidRPr="006B2DB8" w:rsidTr="00B01F9F">
        <w:trPr>
          <w:cantSplit/>
          <w:jc w:val="center"/>
        </w:trPr>
        <w:tc>
          <w:tcPr>
            <w:tcW w:w="312" w:type="dxa"/>
            <w:tcBorders>
              <w:left w:val="single" w:sz="4" w:space="0" w:color="auto"/>
            </w:tcBorders>
          </w:tcPr>
          <w:p w:rsidR="0089521F" w:rsidRPr="006B2DB8" w:rsidRDefault="0089521F" w:rsidP="00E5670A">
            <w:pPr>
              <w:tabs>
                <w:tab w:val="num" w:pos="900"/>
              </w:tabs>
              <w:jc w:val="right"/>
              <w:rPr>
                <w:rFonts w:ascii="Arial Narrow" w:hAnsi="Arial Narrow"/>
                <w:sz w:val="16"/>
                <w:szCs w:val="16"/>
              </w:rPr>
            </w:pPr>
            <w:r w:rsidRPr="006B2DB8">
              <w:rPr>
                <w:rFonts w:ascii="Arial Narrow" w:hAnsi="Arial Narrow"/>
                <w:sz w:val="16"/>
                <w:szCs w:val="16"/>
              </w:rPr>
              <w:t>1</w:t>
            </w:r>
          </w:p>
        </w:tc>
        <w:tc>
          <w:tcPr>
            <w:tcW w:w="4678" w:type="dxa"/>
          </w:tcPr>
          <w:p w:rsidR="0089521F" w:rsidRPr="006B2DB8" w:rsidRDefault="00202514" w:rsidP="003625C5">
            <w:pPr>
              <w:tabs>
                <w:tab w:val="num" w:pos="900"/>
              </w:tabs>
              <w:rPr>
                <w:rFonts w:ascii="Arial Narrow" w:hAnsi="Arial Narrow"/>
                <w:sz w:val="16"/>
                <w:szCs w:val="16"/>
              </w:rPr>
            </w:pPr>
            <w:r>
              <w:rPr>
                <w:rFonts w:ascii="Arial Narrow" w:hAnsi="Arial Narrow"/>
                <w:sz w:val="16"/>
                <w:szCs w:val="16"/>
              </w:rPr>
              <w:t>Μεταβιβάσεις</w:t>
            </w:r>
            <w:r w:rsidR="0089521F" w:rsidRPr="006B2DB8">
              <w:rPr>
                <w:rFonts w:ascii="Arial Narrow" w:hAnsi="Arial Narrow"/>
                <w:sz w:val="16"/>
                <w:szCs w:val="16"/>
              </w:rPr>
              <w:t xml:space="preserve"> από Τακτικό Προϋπολογισμό</w:t>
            </w:r>
          </w:p>
        </w:tc>
        <w:tc>
          <w:tcPr>
            <w:tcW w:w="992" w:type="dxa"/>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3.</w:t>
            </w:r>
            <w:r>
              <w:rPr>
                <w:rFonts w:ascii="Arial Narrow" w:hAnsi="Arial Narrow"/>
                <w:color w:val="000000"/>
                <w:sz w:val="16"/>
                <w:szCs w:val="16"/>
                <w:lang w:val="en-US"/>
              </w:rPr>
              <w:t>193</w:t>
            </w:r>
          </w:p>
        </w:tc>
        <w:tc>
          <w:tcPr>
            <w:tcW w:w="992" w:type="dxa"/>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3.</w:t>
            </w:r>
            <w:r>
              <w:rPr>
                <w:rFonts w:ascii="Arial Narrow" w:hAnsi="Arial Narrow"/>
                <w:color w:val="000000"/>
                <w:sz w:val="16"/>
                <w:szCs w:val="16"/>
                <w:lang w:val="en-US"/>
              </w:rPr>
              <w:t>234</w:t>
            </w:r>
          </w:p>
        </w:tc>
        <w:tc>
          <w:tcPr>
            <w:tcW w:w="867" w:type="dxa"/>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2</w:t>
            </w:r>
            <w:r w:rsidRPr="00BF3DD0">
              <w:rPr>
                <w:rFonts w:ascii="Arial Narrow" w:hAnsi="Arial Narrow"/>
                <w:color w:val="000000"/>
                <w:sz w:val="16"/>
                <w:szCs w:val="16"/>
              </w:rPr>
              <w:t>.</w:t>
            </w:r>
            <w:r>
              <w:rPr>
                <w:rFonts w:ascii="Arial Narrow" w:hAnsi="Arial Narrow"/>
                <w:color w:val="000000"/>
                <w:sz w:val="16"/>
                <w:szCs w:val="16"/>
                <w:lang w:val="en-US"/>
              </w:rPr>
              <w:t>510</w:t>
            </w:r>
          </w:p>
        </w:tc>
        <w:tc>
          <w:tcPr>
            <w:tcW w:w="976" w:type="dxa"/>
            <w:tcBorders>
              <w:right w:val="single" w:sz="4" w:space="0" w:color="auto"/>
            </w:tcBorders>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2</w:t>
            </w:r>
            <w:r w:rsidRPr="00BF3DD0">
              <w:rPr>
                <w:rFonts w:ascii="Arial Narrow" w:hAnsi="Arial Narrow"/>
                <w:color w:val="000000"/>
                <w:sz w:val="16"/>
                <w:szCs w:val="16"/>
              </w:rPr>
              <w:t>.</w:t>
            </w:r>
            <w:r>
              <w:rPr>
                <w:rFonts w:ascii="Arial Narrow" w:hAnsi="Arial Narrow"/>
                <w:color w:val="000000"/>
                <w:sz w:val="16"/>
                <w:szCs w:val="16"/>
                <w:lang w:val="en-US"/>
              </w:rPr>
              <w:t>472</w:t>
            </w:r>
          </w:p>
        </w:tc>
      </w:tr>
      <w:tr w:rsidR="0089521F" w:rsidRPr="0012422B" w:rsidTr="00B01F9F">
        <w:trPr>
          <w:cantSplit/>
          <w:jc w:val="center"/>
        </w:trPr>
        <w:tc>
          <w:tcPr>
            <w:tcW w:w="312" w:type="dxa"/>
            <w:tcBorders>
              <w:left w:val="single" w:sz="4" w:space="0" w:color="auto"/>
            </w:tcBorders>
          </w:tcPr>
          <w:p w:rsidR="0089521F" w:rsidRPr="0012422B" w:rsidRDefault="0089521F" w:rsidP="00E5670A">
            <w:pPr>
              <w:jc w:val="right"/>
              <w:rPr>
                <w:rFonts w:ascii="Arial Narrow" w:hAnsi="Arial Narrow"/>
                <w:color w:val="000000"/>
                <w:sz w:val="16"/>
                <w:szCs w:val="16"/>
              </w:rPr>
            </w:pPr>
            <w:r w:rsidRPr="0012422B">
              <w:rPr>
                <w:rFonts w:ascii="Arial Narrow" w:hAnsi="Arial Narrow"/>
                <w:color w:val="000000"/>
                <w:sz w:val="16"/>
                <w:szCs w:val="16"/>
              </w:rPr>
              <w:t>2</w:t>
            </w:r>
          </w:p>
        </w:tc>
        <w:tc>
          <w:tcPr>
            <w:tcW w:w="4678" w:type="dxa"/>
          </w:tcPr>
          <w:p w:rsidR="0089521F" w:rsidRPr="0012422B" w:rsidRDefault="0089521F" w:rsidP="00E5670A">
            <w:pPr>
              <w:ind w:right="227"/>
              <w:rPr>
                <w:rFonts w:ascii="Arial Narrow" w:hAnsi="Arial Narrow"/>
                <w:color w:val="000000"/>
                <w:sz w:val="16"/>
                <w:szCs w:val="16"/>
              </w:rPr>
            </w:pPr>
            <w:r w:rsidRPr="0012422B">
              <w:rPr>
                <w:rFonts w:ascii="Arial Narrow" w:hAnsi="Arial Narrow"/>
                <w:color w:val="000000"/>
                <w:sz w:val="16"/>
                <w:szCs w:val="16"/>
              </w:rPr>
              <w:t xml:space="preserve">Επιχορηγήσεις από ΠΔΕ </w:t>
            </w:r>
          </w:p>
        </w:tc>
        <w:tc>
          <w:tcPr>
            <w:tcW w:w="992" w:type="dxa"/>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1.198</w:t>
            </w:r>
          </w:p>
        </w:tc>
        <w:tc>
          <w:tcPr>
            <w:tcW w:w="992" w:type="dxa"/>
            <w:vAlign w:val="center"/>
          </w:tcPr>
          <w:p w:rsidR="0089521F" w:rsidRPr="007656AC" w:rsidRDefault="007656AC" w:rsidP="0089521F">
            <w:pPr>
              <w:ind w:right="227"/>
              <w:jc w:val="right"/>
              <w:rPr>
                <w:rFonts w:ascii="Arial Narrow" w:hAnsi="Arial Narrow"/>
                <w:color w:val="000000"/>
                <w:sz w:val="16"/>
                <w:szCs w:val="16"/>
              </w:rPr>
            </w:pPr>
            <w:r>
              <w:rPr>
                <w:rFonts w:ascii="Arial Narrow" w:hAnsi="Arial Narrow"/>
                <w:color w:val="000000"/>
                <w:sz w:val="16"/>
                <w:szCs w:val="16"/>
              </w:rPr>
              <w:t>1.095</w:t>
            </w:r>
          </w:p>
        </w:tc>
        <w:tc>
          <w:tcPr>
            <w:tcW w:w="867" w:type="dxa"/>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1.170</w:t>
            </w:r>
          </w:p>
        </w:tc>
        <w:tc>
          <w:tcPr>
            <w:tcW w:w="976" w:type="dxa"/>
            <w:tcBorders>
              <w:right w:val="single" w:sz="4" w:space="0" w:color="auto"/>
            </w:tcBorders>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1.027</w:t>
            </w:r>
          </w:p>
        </w:tc>
      </w:tr>
      <w:tr w:rsidR="0089521F" w:rsidRPr="006B2DB8" w:rsidTr="00B01F9F">
        <w:trPr>
          <w:cantSplit/>
          <w:jc w:val="center"/>
        </w:trPr>
        <w:tc>
          <w:tcPr>
            <w:tcW w:w="312" w:type="dxa"/>
            <w:tcBorders>
              <w:left w:val="single" w:sz="4" w:space="0" w:color="auto"/>
            </w:tcBorders>
          </w:tcPr>
          <w:p w:rsidR="0089521F" w:rsidRPr="006B2DB8" w:rsidRDefault="0089521F" w:rsidP="00E5670A">
            <w:pPr>
              <w:tabs>
                <w:tab w:val="num" w:pos="900"/>
              </w:tabs>
              <w:jc w:val="right"/>
              <w:rPr>
                <w:rFonts w:ascii="Arial Narrow" w:hAnsi="Arial Narrow"/>
                <w:sz w:val="16"/>
                <w:szCs w:val="16"/>
              </w:rPr>
            </w:pPr>
            <w:r w:rsidRPr="006B2DB8">
              <w:rPr>
                <w:rFonts w:ascii="Arial Narrow" w:hAnsi="Arial Narrow"/>
                <w:sz w:val="16"/>
                <w:szCs w:val="16"/>
              </w:rPr>
              <w:t>3</w:t>
            </w:r>
          </w:p>
        </w:tc>
        <w:tc>
          <w:tcPr>
            <w:tcW w:w="4678" w:type="dxa"/>
          </w:tcPr>
          <w:p w:rsidR="0089521F" w:rsidRPr="006B2DB8" w:rsidRDefault="0089521F" w:rsidP="003625C5">
            <w:pPr>
              <w:tabs>
                <w:tab w:val="num" w:pos="900"/>
              </w:tabs>
              <w:rPr>
                <w:rFonts w:ascii="Arial Narrow" w:hAnsi="Arial Narrow"/>
                <w:sz w:val="16"/>
                <w:szCs w:val="16"/>
              </w:rPr>
            </w:pPr>
            <w:r w:rsidRPr="006B2DB8">
              <w:rPr>
                <w:rFonts w:ascii="Arial Narrow" w:hAnsi="Arial Narrow"/>
                <w:sz w:val="16"/>
                <w:szCs w:val="16"/>
              </w:rPr>
              <w:t>Τόκοι</w:t>
            </w:r>
          </w:p>
        </w:tc>
        <w:tc>
          <w:tcPr>
            <w:tcW w:w="992" w:type="dxa"/>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4</w:t>
            </w:r>
            <w:r>
              <w:rPr>
                <w:rFonts w:ascii="Arial Narrow" w:hAnsi="Arial Narrow"/>
                <w:color w:val="000000"/>
                <w:sz w:val="16"/>
                <w:szCs w:val="16"/>
                <w:lang w:val="en-US"/>
              </w:rPr>
              <w:t>8</w:t>
            </w:r>
          </w:p>
        </w:tc>
        <w:tc>
          <w:tcPr>
            <w:tcW w:w="992" w:type="dxa"/>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4</w:t>
            </w:r>
            <w:r>
              <w:rPr>
                <w:rFonts w:ascii="Arial Narrow" w:hAnsi="Arial Narrow"/>
                <w:color w:val="000000"/>
                <w:sz w:val="16"/>
                <w:szCs w:val="16"/>
                <w:lang w:val="en-US"/>
              </w:rPr>
              <w:t>8</w:t>
            </w:r>
          </w:p>
        </w:tc>
        <w:tc>
          <w:tcPr>
            <w:tcW w:w="867" w:type="dxa"/>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51</w:t>
            </w:r>
          </w:p>
        </w:tc>
        <w:tc>
          <w:tcPr>
            <w:tcW w:w="976" w:type="dxa"/>
            <w:tcBorders>
              <w:right w:val="single" w:sz="4" w:space="0" w:color="auto"/>
            </w:tcBorders>
            <w:vAlign w:val="center"/>
          </w:tcPr>
          <w:p w:rsidR="0089521F" w:rsidRPr="00BF3DD0" w:rsidRDefault="0089521F" w:rsidP="0089521F">
            <w:pPr>
              <w:ind w:right="227"/>
              <w:jc w:val="right"/>
              <w:rPr>
                <w:rFonts w:ascii="Arial Narrow" w:hAnsi="Arial Narrow"/>
                <w:color w:val="000000"/>
                <w:sz w:val="16"/>
                <w:szCs w:val="16"/>
              </w:rPr>
            </w:pPr>
            <w:r>
              <w:rPr>
                <w:rFonts w:ascii="Arial Narrow" w:hAnsi="Arial Narrow"/>
                <w:color w:val="000000"/>
                <w:sz w:val="16"/>
                <w:szCs w:val="16"/>
                <w:lang w:val="en-US"/>
              </w:rPr>
              <w:t>5</w:t>
            </w:r>
            <w:r w:rsidRPr="00BF3DD0">
              <w:rPr>
                <w:rFonts w:ascii="Arial Narrow" w:hAnsi="Arial Narrow"/>
                <w:color w:val="000000"/>
                <w:sz w:val="16"/>
                <w:szCs w:val="16"/>
              </w:rPr>
              <w:t>1</w:t>
            </w:r>
          </w:p>
        </w:tc>
      </w:tr>
      <w:tr w:rsidR="0089521F" w:rsidRPr="006B2DB8" w:rsidTr="00B01F9F">
        <w:trPr>
          <w:cantSplit/>
          <w:jc w:val="center"/>
        </w:trPr>
        <w:tc>
          <w:tcPr>
            <w:tcW w:w="312" w:type="dxa"/>
            <w:tcBorders>
              <w:left w:val="single" w:sz="4" w:space="0" w:color="auto"/>
            </w:tcBorders>
          </w:tcPr>
          <w:p w:rsidR="0089521F" w:rsidRPr="006B2DB8" w:rsidRDefault="0089521F" w:rsidP="003625C5">
            <w:pPr>
              <w:tabs>
                <w:tab w:val="num" w:pos="900"/>
              </w:tabs>
              <w:jc w:val="right"/>
              <w:rPr>
                <w:rFonts w:ascii="Arial Narrow" w:hAnsi="Arial Narrow"/>
                <w:sz w:val="16"/>
                <w:szCs w:val="16"/>
              </w:rPr>
            </w:pPr>
            <w:r w:rsidRPr="006B2DB8">
              <w:rPr>
                <w:rFonts w:ascii="Arial Narrow" w:hAnsi="Arial Narrow"/>
                <w:sz w:val="16"/>
                <w:szCs w:val="16"/>
              </w:rPr>
              <w:t>4</w:t>
            </w:r>
          </w:p>
        </w:tc>
        <w:tc>
          <w:tcPr>
            <w:tcW w:w="4678" w:type="dxa"/>
          </w:tcPr>
          <w:p w:rsidR="0089521F" w:rsidRPr="006B2DB8" w:rsidRDefault="0089521F" w:rsidP="003625C5">
            <w:pPr>
              <w:tabs>
                <w:tab w:val="num" w:pos="900"/>
              </w:tabs>
              <w:rPr>
                <w:rFonts w:ascii="Arial Narrow" w:hAnsi="Arial Narrow"/>
                <w:sz w:val="16"/>
                <w:szCs w:val="16"/>
              </w:rPr>
            </w:pPr>
            <w:r w:rsidRPr="006B2DB8">
              <w:rPr>
                <w:rFonts w:ascii="Arial Narrow" w:hAnsi="Arial Narrow"/>
                <w:sz w:val="16"/>
                <w:szCs w:val="16"/>
              </w:rPr>
              <w:t>Έσοδα από προγράμματα της ΕΕ</w:t>
            </w:r>
          </w:p>
        </w:tc>
        <w:tc>
          <w:tcPr>
            <w:tcW w:w="992" w:type="dxa"/>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1</w:t>
            </w:r>
            <w:r>
              <w:rPr>
                <w:rFonts w:ascii="Arial Narrow" w:hAnsi="Arial Narrow"/>
                <w:color w:val="000000"/>
                <w:sz w:val="16"/>
                <w:szCs w:val="16"/>
                <w:lang w:val="en-US"/>
              </w:rPr>
              <w:t>8</w:t>
            </w:r>
          </w:p>
        </w:tc>
        <w:tc>
          <w:tcPr>
            <w:tcW w:w="992" w:type="dxa"/>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22</w:t>
            </w:r>
          </w:p>
        </w:tc>
        <w:tc>
          <w:tcPr>
            <w:tcW w:w="867" w:type="dxa"/>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1</w:t>
            </w:r>
            <w:r>
              <w:rPr>
                <w:rFonts w:ascii="Arial Narrow" w:hAnsi="Arial Narrow"/>
                <w:color w:val="000000"/>
                <w:sz w:val="16"/>
                <w:szCs w:val="16"/>
                <w:lang w:val="en-US"/>
              </w:rPr>
              <w:t>8</w:t>
            </w:r>
          </w:p>
        </w:tc>
        <w:tc>
          <w:tcPr>
            <w:tcW w:w="976" w:type="dxa"/>
            <w:tcBorders>
              <w:right w:val="single" w:sz="4" w:space="0" w:color="auto"/>
            </w:tcBorders>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22</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sz w:val="16"/>
                <w:szCs w:val="16"/>
              </w:rPr>
            </w:pPr>
            <w:r w:rsidRPr="006B2DB8">
              <w:rPr>
                <w:rFonts w:ascii="Arial Narrow" w:hAnsi="Arial Narrow"/>
                <w:sz w:val="16"/>
                <w:szCs w:val="16"/>
              </w:rPr>
              <w:t>5</w:t>
            </w:r>
          </w:p>
        </w:tc>
        <w:tc>
          <w:tcPr>
            <w:tcW w:w="4678" w:type="dxa"/>
            <w:shd w:val="clear" w:color="auto" w:fill="FFFFFF"/>
          </w:tcPr>
          <w:p w:rsidR="0089521F" w:rsidRPr="006B2DB8" w:rsidRDefault="0089521F" w:rsidP="003625C5">
            <w:pPr>
              <w:tabs>
                <w:tab w:val="num" w:pos="900"/>
              </w:tabs>
              <w:rPr>
                <w:rFonts w:ascii="Arial Narrow" w:hAnsi="Arial Narrow"/>
                <w:sz w:val="16"/>
                <w:szCs w:val="16"/>
              </w:rPr>
            </w:pPr>
            <w:r w:rsidRPr="006B2DB8">
              <w:rPr>
                <w:rFonts w:ascii="Arial Narrow" w:hAnsi="Arial Narrow"/>
                <w:sz w:val="16"/>
                <w:szCs w:val="16"/>
              </w:rPr>
              <w:t>Λοιπά έσοδα</w:t>
            </w:r>
          </w:p>
        </w:tc>
        <w:tc>
          <w:tcPr>
            <w:tcW w:w="992" w:type="dxa"/>
            <w:shd w:val="clear" w:color="auto" w:fill="FFFFFF"/>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2.</w:t>
            </w:r>
            <w:r>
              <w:rPr>
                <w:rFonts w:ascii="Arial Narrow" w:hAnsi="Arial Narrow"/>
                <w:color w:val="000000"/>
                <w:sz w:val="16"/>
                <w:szCs w:val="16"/>
                <w:lang w:val="en-US"/>
              </w:rPr>
              <w:t>513</w:t>
            </w:r>
          </w:p>
        </w:tc>
        <w:tc>
          <w:tcPr>
            <w:tcW w:w="992" w:type="dxa"/>
            <w:shd w:val="clear" w:color="auto" w:fill="FFFFFF"/>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2.5</w:t>
            </w:r>
            <w:r>
              <w:rPr>
                <w:rFonts w:ascii="Arial Narrow" w:hAnsi="Arial Narrow"/>
                <w:color w:val="000000"/>
                <w:sz w:val="16"/>
                <w:szCs w:val="16"/>
                <w:lang w:val="en-US"/>
              </w:rPr>
              <w:t>66</w:t>
            </w:r>
          </w:p>
        </w:tc>
        <w:tc>
          <w:tcPr>
            <w:tcW w:w="867" w:type="dxa"/>
            <w:shd w:val="clear" w:color="auto" w:fill="FFFFFF"/>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2.</w:t>
            </w:r>
            <w:r>
              <w:rPr>
                <w:rFonts w:ascii="Arial Narrow" w:hAnsi="Arial Narrow"/>
                <w:color w:val="000000"/>
                <w:sz w:val="16"/>
                <w:szCs w:val="16"/>
                <w:lang w:val="en-US"/>
              </w:rPr>
              <w:t>561</w:t>
            </w:r>
          </w:p>
        </w:tc>
        <w:tc>
          <w:tcPr>
            <w:tcW w:w="976" w:type="dxa"/>
            <w:tcBorders>
              <w:right w:val="single" w:sz="4" w:space="0" w:color="auto"/>
            </w:tcBorders>
            <w:shd w:val="clear" w:color="auto" w:fill="FFFFFF"/>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2.</w:t>
            </w:r>
            <w:r>
              <w:rPr>
                <w:rFonts w:ascii="Arial Narrow" w:hAnsi="Arial Narrow"/>
                <w:color w:val="000000"/>
                <w:sz w:val="16"/>
                <w:szCs w:val="16"/>
                <w:lang w:val="en-US"/>
              </w:rPr>
              <w:t>614</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i/>
                <w:sz w:val="16"/>
                <w:szCs w:val="16"/>
              </w:rPr>
            </w:pPr>
          </w:p>
        </w:tc>
        <w:tc>
          <w:tcPr>
            <w:tcW w:w="4678" w:type="dxa"/>
            <w:shd w:val="clear" w:color="auto" w:fill="FFFFFF"/>
          </w:tcPr>
          <w:p w:rsidR="0089521F" w:rsidRPr="006B2DB8" w:rsidRDefault="0089521F" w:rsidP="003625C5">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από ανταποδοτικά τέλη και δικαιώματα</w:t>
            </w:r>
          </w:p>
        </w:tc>
        <w:tc>
          <w:tcPr>
            <w:tcW w:w="992" w:type="dxa"/>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sidRPr="00BF3DD0">
              <w:rPr>
                <w:rFonts w:ascii="Arial Narrow" w:hAnsi="Arial Narrow"/>
                <w:i/>
                <w:iCs/>
                <w:color w:val="000000"/>
                <w:sz w:val="16"/>
                <w:szCs w:val="16"/>
              </w:rPr>
              <w:t>1</w:t>
            </w:r>
            <w:r>
              <w:rPr>
                <w:rFonts w:ascii="Arial Narrow" w:hAnsi="Arial Narrow"/>
                <w:i/>
                <w:iCs/>
                <w:color w:val="000000"/>
                <w:sz w:val="16"/>
                <w:szCs w:val="16"/>
                <w:lang w:val="en-US"/>
              </w:rPr>
              <w:t>.092</w:t>
            </w:r>
          </w:p>
        </w:tc>
        <w:tc>
          <w:tcPr>
            <w:tcW w:w="992" w:type="dxa"/>
            <w:shd w:val="clear" w:color="auto" w:fill="FFFFFF"/>
            <w:vAlign w:val="center"/>
          </w:tcPr>
          <w:p w:rsidR="0089521F" w:rsidRPr="004735E4" w:rsidRDefault="0089521F" w:rsidP="0089521F">
            <w:pPr>
              <w:ind w:right="227"/>
              <w:jc w:val="right"/>
              <w:rPr>
                <w:rFonts w:ascii="Arial Narrow" w:hAnsi="Arial Narrow"/>
                <w:i/>
                <w:iCs/>
                <w:color w:val="000000"/>
                <w:sz w:val="16"/>
                <w:szCs w:val="16"/>
              </w:rPr>
            </w:pPr>
            <w:r w:rsidRPr="00BF3DD0">
              <w:rPr>
                <w:rFonts w:ascii="Arial Narrow" w:hAnsi="Arial Narrow"/>
                <w:i/>
                <w:iCs/>
                <w:color w:val="000000"/>
                <w:sz w:val="16"/>
                <w:szCs w:val="16"/>
              </w:rPr>
              <w:t>1</w:t>
            </w:r>
            <w:r>
              <w:rPr>
                <w:rFonts w:ascii="Arial Narrow" w:hAnsi="Arial Narrow"/>
                <w:i/>
                <w:iCs/>
                <w:color w:val="000000"/>
                <w:sz w:val="16"/>
                <w:szCs w:val="16"/>
                <w:lang w:val="en-US"/>
              </w:rPr>
              <w:t>.</w:t>
            </w:r>
            <w:r>
              <w:rPr>
                <w:rFonts w:ascii="Arial Narrow" w:hAnsi="Arial Narrow"/>
                <w:i/>
                <w:iCs/>
                <w:color w:val="000000"/>
                <w:sz w:val="16"/>
                <w:szCs w:val="16"/>
              </w:rPr>
              <w:t>098</w:t>
            </w:r>
          </w:p>
        </w:tc>
        <w:tc>
          <w:tcPr>
            <w:tcW w:w="867" w:type="dxa"/>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sidRPr="00BF3DD0">
              <w:rPr>
                <w:rFonts w:ascii="Arial Narrow" w:hAnsi="Arial Narrow"/>
                <w:i/>
                <w:iCs/>
                <w:color w:val="000000"/>
                <w:sz w:val="16"/>
                <w:szCs w:val="16"/>
              </w:rPr>
              <w:t>1</w:t>
            </w:r>
            <w:r>
              <w:rPr>
                <w:rFonts w:ascii="Arial Narrow" w:hAnsi="Arial Narrow"/>
                <w:i/>
                <w:iCs/>
                <w:color w:val="000000"/>
                <w:sz w:val="16"/>
                <w:szCs w:val="16"/>
                <w:lang w:val="en-US"/>
              </w:rPr>
              <w:t>.107</w:t>
            </w:r>
          </w:p>
        </w:tc>
        <w:tc>
          <w:tcPr>
            <w:tcW w:w="976" w:type="dxa"/>
            <w:tcBorders>
              <w:right w:val="single" w:sz="4" w:space="0" w:color="auto"/>
            </w:tcBorders>
            <w:shd w:val="clear" w:color="auto" w:fill="FFFFFF"/>
            <w:vAlign w:val="center"/>
          </w:tcPr>
          <w:p w:rsidR="0089521F" w:rsidRPr="004735E4" w:rsidRDefault="0089521F" w:rsidP="0089521F">
            <w:pPr>
              <w:ind w:right="227"/>
              <w:jc w:val="right"/>
              <w:rPr>
                <w:rFonts w:ascii="Arial Narrow" w:hAnsi="Arial Narrow"/>
                <w:i/>
                <w:iCs/>
                <w:color w:val="000000"/>
                <w:sz w:val="16"/>
                <w:szCs w:val="16"/>
              </w:rPr>
            </w:pPr>
            <w:r w:rsidRPr="00BF3DD0">
              <w:rPr>
                <w:rFonts w:ascii="Arial Narrow" w:hAnsi="Arial Narrow"/>
                <w:i/>
                <w:iCs/>
                <w:color w:val="000000"/>
                <w:sz w:val="16"/>
                <w:szCs w:val="16"/>
              </w:rPr>
              <w:t>1</w:t>
            </w:r>
            <w:r>
              <w:rPr>
                <w:rFonts w:ascii="Arial Narrow" w:hAnsi="Arial Narrow"/>
                <w:i/>
                <w:iCs/>
                <w:color w:val="000000"/>
                <w:sz w:val="16"/>
                <w:szCs w:val="16"/>
                <w:lang w:val="en-US"/>
              </w:rPr>
              <w:t>.11</w:t>
            </w:r>
            <w:r>
              <w:rPr>
                <w:rFonts w:ascii="Arial Narrow" w:hAnsi="Arial Narrow"/>
                <w:i/>
                <w:iCs/>
                <w:color w:val="000000"/>
                <w:sz w:val="16"/>
                <w:szCs w:val="16"/>
              </w:rPr>
              <w:t>3</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i/>
                <w:sz w:val="16"/>
                <w:szCs w:val="16"/>
              </w:rPr>
            </w:pPr>
          </w:p>
        </w:tc>
        <w:tc>
          <w:tcPr>
            <w:tcW w:w="4678" w:type="dxa"/>
            <w:shd w:val="clear" w:color="auto" w:fill="FFFFFF"/>
          </w:tcPr>
          <w:p w:rsidR="0089521F" w:rsidRPr="006B2DB8" w:rsidRDefault="0089521F" w:rsidP="003625C5">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από φόρους, λοιπά τέλη, δικαιώματα και παροχή υπηρεσιών</w:t>
            </w:r>
          </w:p>
        </w:tc>
        <w:tc>
          <w:tcPr>
            <w:tcW w:w="992" w:type="dxa"/>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sidRPr="00BF3DD0">
              <w:rPr>
                <w:rFonts w:ascii="Arial Narrow" w:hAnsi="Arial Narrow"/>
                <w:i/>
                <w:iCs/>
                <w:color w:val="000000"/>
                <w:sz w:val="16"/>
                <w:szCs w:val="16"/>
              </w:rPr>
              <w:t>5</w:t>
            </w:r>
            <w:r>
              <w:rPr>
                <w:rFonts w:ascii="Arial Narrow" w:hAnsi="Arial Narrow"/>
                <w:i/>
                <w:iCs/>
                <w:color w:val="000000"/>
                <w:sz w:val="16"/>
                <w:szCs w:val="16"/>
                <w:lang w:val="en-US"/>
              </w:rPr>
              <w:t>18</w:t>
            </w:r>
          </w:p>
        </w:tc>
        <w:tc>
          <w:tcPr>
            <w:tcW w:w="992" w:type="dxa"/>
            <w:shd w:val="clear" w:color="auto" w:fill="FFFFFF"/>
            <w:vAlign w:val="center"/>
          </w:tcPr>
          <w:p w:rsidR="0089521F" w:rsidRPr="004735E4" w:rsidRDefault="0089521F" w:rsidP="0089521F">
            <w:pPr>
              <w:ind w:right="227"/>
              <w:jc w:val="right"/>
              <w:rPr>
                <w:rFonts w:ascii="Arial Narrow" w:hAnsi="Arial Narrow"/>
                <w:i/>
                <w:iCs/>
                <w:color w:val="000000"/>
                <w:sz w:val="16"/>
                <w:szCs w:val="16"/>
              </w:rPr>
            </w:pPr>
            <w:r w:rsidRPr="00BF3DD0">
              <w:rPr>
                <w:rFonts w:ascii="Arial Narrow" w:hAnsi="Arial Narrow"/>
                <w:i/>
                <w:iCs/>
                <w:color w:val="000000"/>
                <w:sz w:val="16"/>
                <w:szCs w:val="16"/>
              </w:rPr>
              <w:t>5</w:t>
            </w:r>
            <w:r>
              <w:rPr>
                <w:rFonts w:ascii="Arial Narrow" w:hAnsi="Arial Narrow"/>
                <w:i/>
                <w:iCs/>
                <w:color w:val="000000"/>
                <w:sz w:val="16"/>
                <w:szCs w:val="16"/>
              </w:rPr>
              <w:t>40</w:t>
            </w:r>
          </w:p>
        </w:tc>
        <w:tc>
          <w:tcPr>
            <w:tcW w:w="867" w:type="dxa"/>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sidRPr="00BF3DD0">
              <w:rPr>
                <w:rFonts w:ascii="Arial Narrow" w:hAnsi="Arial Narrow"/>
                <w:i/>
                <w:iCs/>
                <w:color w:val="000000"/>
                <w:sz w:val="16"/>
                <w:szCs w:val="16"/>
              </w:rPr>
              <w:t>5</w:t>
            </w:r>
            <w:r>
              <w:rPr>
                <w:rFonts w:ascii="Arial Narrow" w:hAnsi="Arial Narrow"/>
                <w:i/>
                <w:iCs/>
                <w:color w:val="000000"/>
                <w:sz w:val="16"/>
                <w:szCs w:val="16"/>
                <w:lang w:val="en-US"/>
              </w:rPr>
              <w:t>32</w:t>
            </w:r>
          </w:p>
        </w:tc>
        <w:tc>
          <w:tcPr>
            <w:tcW w:w="976" w:type="dxa"/>
            <w:tcBorders>
              <w:right w:val="single" w:sz="4" w:space="0" w:color="auto"/>
            </w:tcBorders>
            <w:shd w:val="clear" w:color="auto" w:fill="FFFFFF"/>
            <w:vAlign w:val="center"/>
          </w:tcPr>
          <w:p w:rsidR="0089521F" w:rsidRPr="004735E4" w:rsidRDefault="0089521F" w:rsidP="0089521F">
            <w:pPr>
              <w:ind w:right="227"/>
              <w:jc w:val="right"/>
              <w:rPr>
                <w:rFonts w:ascii="Arial Narrow" w:hAnsi="Arial Narrow"/>
                <w:i/>
                <w:iCs/>
                <w:color w:val="000000"/>
                <w:sz w:val="16"/>
                <w:szCs w:val="16"/>
              </w:rPr>
            </w:pPr>
            <w:r w:rsidRPr="00BF3DD0">
              <w:rPr>
                <w:rFonts w:ascii="Arial Narrow" w:hAnsi="Arial Narrow"/>
                <w:i/>
                <w:iCs/>
                <w:color w:val="000000"/>
                <w:sz w:val="16"/>
                <w:szCs w:val="16"/>
              </w:rPr>
              <w:t>5</w:t>
            </w:r>
            <w:r>
              <w:rPr>
                <w:rFonts w:ascii="Arial Narrow" w:hAnsi="Arial Narrow"/>
                <w:i/>
                <w:iCs/>
                <w:color w:val="000000"/>
                <w:sz w:val="16"/>
                <w:szCs w:val="16"/>
              </w:rPr>
              <w:t>55</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i/>
                <w:sz w:val="16"/>
                <w:szCs w:val="16"/>
              </w:rPr>
            </w:pPr>
          </w:p>
        </w:tc>
        <w:tc>
          <w:tcPr>
            <w:tcW w:w="4678" w:type="dxa"/>
            <w:shd w:val="clear" w:color="auto" w:fill="FFFFFF"/>
          </w:tcPr>
          <w:p w:rsidR="0089521F" w:rsidRPr="006B2DB8" w:rsidRDefault="0089521F" w:rsidP="003625C5">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Λοιπά ίδια έσοδα</w:t>
            </w:r>
          </w:p>
        </w:tc>
        <w:tc>
          <w:tcPr>
            <w:tcW w:w="992" w:type="dxa"/>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Pr>
                <w:rFonts w:ascii="Arial Narrow" w:hAnsi="Arial Narrow"/>
                <w:i/>
                <w:iCs/>
                <w:color w:val="000000"/>
                <w:sz w:val="16"/>
                <w:szCs w:val="16"/>
                <w:lang w:val="en-US"/>
              </w:rPr>
              <w:t>399</w:t>
            </w:r>
          </w:p>
        </w:tc>
        <w:tc>
          <w:tcPr>
            <w:tcW w:w="992" w:type="dxa"/>
            <w:shd w:val="clear" w:color="auto" w:fill="FFFFFF"/>
            <w:vAlign w:val="center"/>
          </w:tcPr>
          <w:p w:rsidR="0089521F" w:rsidRPr="004735E4" w:rsidRDefault="0089521F" w:rsidP="0089521F">
            <w:pPr>
              <w:ind w:right="227"/>
              <w:jc w:val="right"/>
              <w:rPr>
                <w:rFonts w:ascii="Arial Narrow" w:hAnsi="Arial Narrow"/>
                <w:i/>
                <w:iCs/>
                <w:color w:val="000000"/>
                <w:sz w:val="16"/>
                <w:szCs w:val="16"/>
              </w:rPr>
            </w:pPr>
            <w:r>
              <w:rPr>
                <w:rFonts w:ascii="Arial Narrow" w:hAnsi="Arial Narrow"/>
                <w:i/>
                <w:iCs/>
                <w:color w:val="000000"/>
                <w:sz w:val="16"/>
                <w:szCs w:val="16"/>
                <w:lang w:val="en-US"/>
              </w:rPr>
              <w:t>3</w:t>
            </w:r>
            <w:r>
              <w:rPr>
                <w:rFonts w:ascii="Arial Narrow" w:hAnsi="Arial Narrow"/>
                <w:i/>
                <w:iCs/>
                <w:color w:val="000000"/>
                <w:sz w:val="16"/>
                <w:szCs w:val="16"/>
              </w:rPr>
              <w:t>83</w:t>
            </w:r>
          </w:p>
        </w:tc>
        <w:tc>
          <w:tcPr>
            <w:tcW w:w="867" w:type="dxa"/>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sidRPr="00BF3DD0">
              <w:rPr>
                <w:rFonts w:ascii="Arial Narrow" w:hAnsi="Arial Narrow"/>
                <w:i/>
                <w:iCs/>
                <w:color w:val="000000"/>
                <w:sz w:val="16"/>
                <w:szCs w:val="16"/>
              </w:rPr>
              <w:t>40</w:t>
            </w:r>
            <w:r>
              <w:rPr>
                <w:rFonts w:ascii="Arial Narrow" w:hAnsi="Arial Narrow"/>
                <w:i/>
                <w:iCs/>
                <w:color w:val="000000"/>
                <w:sz w:val="16"/>
                <w:szCs w:val="16"/>
                <w:lang w:val="en-US"/>
              </w:rPr>
              <w:t>6</w:t>
            </w:r>
          </w:p>
        </w:tc>
        <w:tc>
          <w:tcPr>
            <w:tcW w:w="976" w:type="dxa"/>
            <w:tcBorders>
              <w:right w:val="single" w:sz="4" w:space="0" w:color="auto"/>
            </w:tcBorders>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Pr>
                <w:rFonts w:ascii="Arial Narrow" w:hAnsi="Arial Narrow"/>
                <w:i/>
                <w:iCs/>
                <w:color w:val="000000"/>
                <w:sz w:val="16"/>
                <w:szCs w:val="16"/>
                <w:lang w:val="en-US"/>
              </w:rPr>
              <w:t>3</w:t>
            </w:r>
            <w:r>
              <w:rPr>
                <w:rFonts w:ascii="Arial Narrow" w:hAnsi="Arial Narrow"/>
                <w:i/>
                <w:iCs/>
                <w:color w:val="000000"/>
                <w:sz w:val="16"/>
                <w:szCs w:val="16"/>
              </w:rPr>
              <w:t>8</w:t>
            </w:r>
            <w:r>
              <w:rPr>
                <w:rFonts w:ascii="Arial Narrow" w:hAnsi="Arial Narrow"/>
                <w:i/>
                <w:iCs/>
                <w:color w:val="000000"/>
                <w:sz w:val="16"/>
                <w:szCs w:val="16"/>
                <w:lang w:val="en-US"/>
              </w:rPr>
              <w:t>8</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i/>
                <w:sz w:val="16"/>
                <w:szCs w:val="16"/>
              </w:rPr>
            </w:pPr>
          </w:p>
        </w:tc>
        <w:tc>
          <w:tcPr>
            <w:tcW w:w="4678" w:type="dxa"/>
            <w:shd w:val="clear" w:color="auto" w:fill="FFFFFF"/>
          </w:tcPr>
          <w:p w:rsidR="0089521F" w:rsidRPr="006B2DB8" w:rsidRDefault="0089521F" w:rsidP="003625C5">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ΠΟΕ</w:t>
            </w:r>
          </w:p>
        </w:tc>
        <w:tc>
          <w:tcPr>
            <w:tcW w:w="992" w:type="dxa"/>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sidRPr="00BF3DD0">
              <w:rPr>
                <w:rFonts w:ascii="Arial Narrow" w:hAnsi="Arial Narrow"/>
                <w:i/>
                <w:iCs/>
                <w:color w:val="000000"/>
                <w:sz w:val="16"/>
                <w:szCs w:val="16"/>
              </w:rPr>
              <w:t>5</w:t>
            </w:r>
            <w:r>
              <w:rPr>
                <w:rFonts w:ascii="Arial Narrow" w:hAnsi="Arial Narrow"/>
                <w:i/>
                <w:iCs/>
                <w:color w:val="000000"/>
                <w:sz w:val="16"/>
                <w:szCs w:val="16"/>
                <w:lang w:val="en-US"/>
              </w:rPr>
              <w:t>02</w:t>
            </w:r>
          </w:p>
        </w:tc>
        <w:tc>
          <w:tcPr>
            <w:tcW w:w="992" w:type="dxa"/>
            <w:shd w:val="clear" w:color="auto" w:fill="FFFFFF"/>
            <w:vAlign w:val="center"/>
          </w:tcPr>
          <w:p w:rsidR="0089521F" w:rsidRPr="004735E4" w:rsidRDefault="0089521F" w:rsidP="0089521F">
            <w:pPr>
              <w:ind w:right="227"/>
              <w:jc w:val="right"/>
              <w:rPr>
                <w:rFonts w:ascii="Arial Narrow" w:hAnsi="Arial Narrow"/>
                <w:i/>
                <w:iCs/>
                <w:color w:val="000000"/>
                <w:sz w:val="16"/>
                <w:szCs w:val="16"/>
              </w:rPr>
            </w:pPr>
            <w:r>
              <w:rPr>
                <w:rFonts w:ascii="Arial Narrow" w:hAnsi="Arial Narrow"/>
                <w:i/>
                <w:iCs/>
                <w:color w:val="000000"/>
                <w:sz w:val="16"/>
                <w:szCs w:val="16"/>
                <w:lang w:val="en-US"/>
              </w:rPr>
              <w:t>5</w:t>
            </w:r>
            <w:r>
              <w:rPr>
                <w:rFonts w:ascii="Arial Narrow" w:hAnsi="Arial Narrow"/>
                <w:i/>
                <w:iCs/>
                <w:color w:val="000000"/>
                <w:sz w:val="16"/>
                <w:szCs w:val="16"/>
              </w:rPr>
              <w:t>45</w:t>
            </w:r>
          </w:p>
        </w:tc>
        <w:tc>
          <w:tcPr>
            <w:tcW w:w="867" w:type="dxa"/>
            <w:shd w:val="clear" w:color="auto" w:fill="FFFFFF"/>
            <w:vAlign w:val="center"/>
          </w:tcPr>
          <w:p w:rsidR="0089521F" w:rsidRPr="00760933" w:rsidRDefault="0089521F" w:rsidP="0089521F">
            <w:pPr>
              <w:ind w:right="227"/>
              <w:jc w:val="right"/>
              <w:rPr>
                <w:rFonts w:ascii="Arial Narrow" w:hAnsi="Arial Narrow"/>
                <w:i/>
                <w:iCs/>
                <w:color w:val="000000"/>
                <w:sz w:val="16"/>
                <w:szCs w:val="16"/>
                <w:lang w:val="en-US"/>
              </w:rPr>
            </w:pPr>
            <w:r w:rsidRPr="00BF3DD0">
              <w:rPr>
                <w:rFonts w:ascii="Arial Narrow" w:hAnsi="Arial Narrow"/>
                <w:i/>
                <w:iCs/>
                <w:color w:val="000000"/>
                <w:sz w:val="16"/>
                <w:szCs w:val="16"/>
              </w:rPr>
              <w:t>51</w:t>
            </w:r>
            <w:r>
              <w:rPr>
                <w:rFonts w:ascii="Arial Narrow" w:hAnsi="Arial Narrow"/>
                <w:i/>
                <w:iCs/>
                <w:color w:val="000000"/>
                <w:sz w:val="16"/>
                <w:szCs w:val="16"/>
                <w:lang w:val="en-US"/>
              </w:rPr>
              <w:t>6</w:t>
            </w:r>
          </w:p>
        </w:tc>
        <w:tc>
          <w:tcPr>
            <w:tcW w:w="976" w:type="dxa"/>
            <w:tcBorders>
              <w:right w:val="single" w:sz="4" w:space="0" w:color="auto"/>
            </w:tcBorders>
            <w:shd w:val="clear" w:color="auto" w:fill="FFFFFF"/>
            <w:vAlign w:val="center"/>
          </w:tcPr>
          <w:p w:rsidR="0089521F" w:rsidRPr="004735E4" w:rsidRDefault="0089521F" w:rsidP="0089521F">
            <w:pPr>
              <w:ind w:right="227"/>
              <w:jc w:val="right"/>
              <w:rPr>
                <w:rFonts w:ascii="Arial Narrow" w:hAnsi="Arial Narrow"/>
                <w:i/>
                <w:iCs/>
                <w:color w:val="000000"/>
                <w:sz w:val="16"/>
                <w:szCs w:val="16"/>
              </w:rPr>
            </w:pPr>
            <w:r>
              <w:rPr>
                <w:rFonts w:ascii="Arial Narrow" w:hAnsi="Arial Narrow"/>
                <w:i/>
                <w:iCs/>
                <w:color w:val="000000"/>
                <w:sz w:val="16"/>
                <w:szCs w:val="16"/>
                <w:lang w:val="en-US"/>
              </w:rPr>
              <w:t>55</w:t>
            </w:r>
            <w:r>
              <w:rPr>
                <w:rFonts w:ascii="Arial Narrow" w:hAnsi="Arial Narrow"/>
                <w:i/>
                <w:iCs/>
                <w:color w:val="000000"/>
                <w:sz w:val="16"/>
                <w:szCs w:val="16"/>
              </w:rPr>
              <w:t>9</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sz w:val="16"/>
                <w:szCs w:val="16"/>
              </w:rPr>
            </w:pPr>
            <w:r w:rsidRPr="006B2DB8">
              <w:rPr>
                <w:rFonts w:ascii="Arial Narrow" w:hAnsi="Arial Narrow"/>
                <w:sz w:val="16"/>
                <w:szCs w:val="16"/>
              </w:rPr>
              <w:t>6</w:t>
            </w:r>
          </w:p>
        </w:tc>
        <w:tc>
          <w:tcPr>
            <w:tcW w:w="4678" w:type="dxa"/>
            <w:shd w:val="clear" w:color="auto" w:fill="FFFFFF"/>
          </w:tcPr>
          <w:p w:rsidR="0089521F" w:rsidRPr="006B2DB8" w:rsidRDefault="0089521F" w:rsidP="003625C5">
            <w:pPr>
              <w:tabs>
                <w:tab w:val="num" w:pos="176"/>
              </w:tabs>
              <w:ind w:left="176" w:hanging="176"/>
              <w:rPr>
                <w:rFonts w:ascii="Arial Narrow" w:hAnsi="Arial Narrow"/>
                <w:sz w:val="16"/>
                <w:szCs w:val="16"/>
              </w:rPr>
            </w:pPr>
            <w:r w:rsidRPr="006B2DB8">
              <w:rPr>
                <w:rFonts w:ascii="Arial Narrow" w:hAnsi="Arial Narrow"/>
                <w:sz w:val="16"/>
                <w:szCs w:val="16"/>
              </w:rPr>
              <w:t xml:space="preserve">Εισπράξεις υπέρ Δημοσίου και τρίτων </w:t>
            </w:r>
          </w:p>
        </w:tc>
        <w:tc>
          <w:tcPr>
            <w:tcW w:w="992" w:type="dxa"/>
            <w:shd w:val="clear" w:color="auto" w:fill="FFFFFF"/>
            <w:vAlign w:val="center"/>
          </w:tcPr>
          <w:p w:rsidR="0089521F" w:rsidRPr="00760933" w:rsidRDefault="0089521F" w:rsidP="0089521F">
            <w:pPr>
              <w:ind w:right="227"/>
              <w:jc w:val="right"/>
              <w:rPr>
                <w:rFonts w:ascii="Arial Narrow" w:hAnsi="Arial Narrow"/>
                <w:color w:val="000000"/>
                <w:sz w:val="16"/>
                <w:szCs w:val="16"/>
                <w:lang w:val="en-US"/>
              </w:rPr>
            </w:pPr>
            <w:r w:rsidRPr="00BF3DD0">
              <w:rPr>
                <w:rFonts w:ascii="Arial Narrow" w:hAnsi="Arial Narrow"/>
                <w:color w:val="000000"/>
                <w:sz w:val="16"/>
                <w:szCs w:val="16"/>
              </w:rPr>
              <w:t>8</w:t>
            </w:r>
            <w:r>
              <w:rPr>
                <w:rFonts w:ascii="Arial Narrow" w:hAnsi="Arial Narrow"/>
                <w:color w:val="000000"/>
                <w:sz w:val="16"/>
                <w:szCs w:val="16"/>
                <w:lang w:val="en-US"/>
              </w:rPr>
              <w:t>42</w:t>
            </w:r>
          </w:p>
        </w:tc>
        <w:tc>
          <w:tcPr>
            <w:tcW w:w="992" w:type="dxa"/>
            <w:shd w:val="clear" w:color="auto" w:fill="FFFFFF"/>
            <w:vAlign w:val="center"/>
          </w:tcPr>
          <w:p w:rsidR="0089521F" w:rsidRPr="00553290" w:rsidRDefault="0089521F" w:rsidP="0089521F">
            <w:pPr>
              <w:ind w:right="227"/>
              <w:jc w:val="right"/>
              <w:rPr>
                <w:rFonts w:ascii="Arial Narrow" w:hAnsi="Arial Narrow"/>
                <w:color w:val="000000"/>
                <w:sz w:val="16"/>
                <w:szCs w:val="16"/>
              </w:rPr>
            </w:pPr>
            <w:r>
              <w:rPr>
                <w:rFonts w:ascii="Arial Narrow" w:hAnsi="Arial Narrow"/>
                <w:color w:val="000000"/>
                <w:sz w:val="16"/>
                <w:szCs w:val="16"/>
                <w:lang w:val="en-US"/>
              </w:rPr>
              <w:t>85</w:t>
            </w:r>
            <w:r>
              <w:rPr>
                <w:rFonts w:ascii="Arial Narrow" w:hAnsi="Arial Narrow"/>
                <w:color w:val="000000"/>
                <w:sz w:val="16"/>
                <w:szCs w:val="16"/>
              </w:rPr>
              <w:t>6</w:t>
            </w:r>
          </w:p>
        </w:tc>
        <w:tc>
          <w:tcPr>
            <w:tcW w:w="867" w:type="dxa"/>
            <w:shd w:val="clear" w:color="auto" w:fill="FFFFFF"/>
            <w:vAlign w:val="center"/>
          </w:tcPr>
          <w:p w:rsidR="0089521F" w:rsidRPr="00760933" w:rsidRDefault="0089521F" w:rsidP="0089521F">
            <w:pPr>
              <w:ind w:right="227"/>
              <w:jc w:val="right"/>
              <w:rPr>
                <w:rFonts w:ascii="Arial Narrow" w:hAnsi="Arial Narrow"/>
                <w:color w:val="000000"/>
                <w:sz w:val="16"/>
                <w:szCs w:val="16"/>
                <w:lang w:val="en-US"/>
              </w:rPr>
            </w:pPr>
            <w:r>
              <w:rPr>
                <w:rFonts w:ascii="Arial Narrow" w:hAnsi="Arial Narrow"/>
                <w:color w:val="000000"/>
                <w:sz w:val="16"/>
                <w:szCs w:val="16"/>
                <w:lang w:val="en-US"/>
              </w:rPr>
              <w:t>792</w:t>
            </w:r>
          </w:p>
        </w:tc>
        <w:tc>
          <w:tcPr>
            <w:tcW w:w="976" w:type="dxa"/>
            <w:tcBorders>
              <w:right w:val="single" w:sz="4" w:space="0" w:color="auto"/>
            </w:tcBorders>
            <w:shd w:val="clear" w:color="auto" w:fill="FFFFFF"/>
            <w:vAlign w:val="center"/>
          </w:tcPr>
          <w:p w:rsidR="0089521F" w:rsidRPr="004735E4" w:rsidRDefault="0089521F" w:rsidP="0089521F">
            <w:pPr>
              <w:ind w:right="227"/>
              <w:jc w:val="right"/>
              <w:rPr>
                <w:rFonts w:ascii="Arial Narrow" w:hAnsi="Arial Narrow"/>
                <w:color w:val="000000"/>
                <w:sz w:val="16"/>
                <w:szCs w:val="16"/>
              </w:rPr>
            </w:pPr>
            <w:r>
              <w:rPr>
                <w:rFonts w:ascii="Arial Narrow" w:hAnsi="Arial Narrow"/>
                <w:color w:val="000000"/>
                <w:sz w:val="16"/>
                <w:szCs w:val="16"/>
                <w:lang w:val="en-US"/>
              </w:rPr>
              <w:t>7</w:t>
            </w:r>
            <w:r>
              <w:rPr>
                <w:rFonts w:ascii="Arial Narrow" w:hAnsi="Arial Narrow"/>
                <w:color w:val="000000"/>
                <w:sz w:val="16"/>
                <w:szCs w:val="16"/>
              </w:rPr>
              <w:t>75</w:t>
            </w:r>
          </w:p>
        </w:tc>
      </w:tr>
      <w:tr w:rsidR="0089521F" w:rsidRPr="006B2DB8" w:rsidTr="0089521F">
        <w:trPr>
          <w:cantSplit/>
          <w:jc w:val="center"/>
        </w:trPr>
        <w:tc>
          <w:tcPr>
            <w:tcW w:w="312" w:type="dxa"/>
            <w:tcBorders>
              <w:left w:val="single" w:sz="4" w:space="0" w:color="auto"/>
            </w:tcBorders>
            <w:shd w:val="clear" w:color="auto" w:fill="D9D9D9" w:themeFill="background1" w:themeFillShade="D9"/>
          </w:tcPr>
          <w:p w:rsidR="0089521F" w:rsidRPr="006B2DB8" w:rsidRDefault="0089521F" w:rsidP="003625C5">
            <w:pPr>
              <w:tabs>
                <w:tab w:val="num" w:pos="900"/>
              </w:tabs>
              <w:spacing w:before="60" w:after="60"/>
              <w:jc w:val="right"/>
              <w:rPr>
                <w:rFonts w:ascii="Arial Narrow" w:hAnsi="Arial Narrow"/>
                <w:b/>
                <w:sz w:val="16"/>
                <w:szCs w:val="16"/>
              </w:rPr>
            </w:pPr>
            <w:r w:rsidRPr="006B2DB8">
              <w:rPr>
                <w:rFonts w:ascii="Arial Narrow" w:hAnsi="Arial Narrow"/>
                <w:b/>
                <w:sz w:val="16"/>
                <w:szCs w:val="16"/>
              </w:rPr>
              <w:t>Β</w:t>
            </w:r>
          </w:p>
        </w:tc>
        <w:tc>
          <w:tcPr>
            <w:tcW w:w="4678" w:type="dxa"/>
            <w:shd w:val="clear" w:color="auto" w:fill="D9D9D9" w:themeFill="background1" w:themeFillShade="D9"/>
          </w:tcPr>
          <w:p w:rsidR="0089521F" w:rsidRPr="006B2DB8" w:rsidRDefault="0089521F" w:rsidP="003625C5">
            <w:pPr>
              <w:tabs>
                <w:tab w:val="num" w:pos="900"/>
              </w:tabs>
              <w:spacing w:before="60" w:after="60"/>
              <w:rPr>
                <w:rFonts w:ascii="Arial Narrow" w:hAnsi="Arial Narrow"/>
                <w:b/>
                <w:sz w:val="16"/>
                <w:szCs w:val="16"/>
              </w:rPr>
            </w:pPr>
            <w:r>
              <w:rPr>
                <w:rFonts w:ascii="Arial Narrow" w:hAnsi="Arial Narrow"/>
                <w:b/>
                <w:sz w:val="16"/>
                <w:szCs w:val="16"/>
              </w:rPr>
              <w:t>Έξοδα (1+2+3+4+5+6</w:t>
            </w:r>
            <w:r w:rsidRPr="006B2DB8">
              <w:rPr>
                <w:rFonts w:ascii="Arial Narrow" w:hAnsi="Arial Narrow"/>
                <w:b/>
                <w:sz w:val="16"/>
                <w:szCs w:val="16"/>
              </w:rPr>
              <w:t>)</w:t>
            </w:r>
          </w:p>
        </w:tc>
        <w:tc>
          <w:tcPr>
            <w:tcW w:w="992" w:type="dxa"/>
            <w:shd w:val="clear" w:color="auto" w:fill="D9D9D9" w:themeFill="background1" w:themeFillShade="D9"/>
            <w:vAlign w:val="center"/>
          </w:tcPr>
          <w:p w:rsidR="0089521F" w:rsidRPr="0089521F" w:rsidRDefault="0089521F" w:rsidP="0089521F">
            <w:pPr>
              <w:ind w:right="227"/>
              <w:jc w:val="right"/>
              <w:rPr>
                <w:rFonts w:ascii="Arial Narrow" w:hAnsi="Arial Narrow"/>
                <w:b/>
                <w:bCs/>
                <w:color w:val="000000"/>
                <w:sz w:val="16"/>
                <w:szCs w:val="16"/>
              </w:rPr>
            </w:pPr>
            <w:r w:rsidRPr="0089521F">
              <w:rPr>
                <w:rFonts w:ascii="Arial Narrow" w:hAnsi="Arial Narrow"/>
                <w:b/>
                <w:bCs/>
                <w:color w:val="000000"/>
                <w:sz w:val="16"/>
                <w:szCs w:val="16"/>
              </w:rPr>
              <w:t>7.266</w:t>
            </w:r>
          </w:p>
        </w:tc>
        <w:tc>
          <w:tcPr>
            <w:tcW w:w="992" w:type="dxa"/>
            <w:shd w:val="clear" w:color="auto" w:fill="D9D9D9" w:themeFill="background1" w:themeFillShade="D9"/>
            <w:vAlign w:val="center"/>
          </w:tcPr>
          <w:p w:rsidR="0089521F" w:rsidRPr="0098186C" w:rsidRDefault="0089521F" w:rsidP="0089521F">
            <w:pPr>
              <w:ind w:right="227"/>
              <w:jc w:val="right"/>
              <w:rPr>
                <w:rFonts w:ascii="Arial Narrow" w:hAnsi="Arial Narrow"/>
                <w:b/>
                <w:bCs/>
                <w:color w:val="000000"/>
                <w:sz w:val="16"/>
                <w:szCs w:val="16"/>
              </w:rPr>
            </w:pPr>
            <w:r>
              <w:rPr>
                <w:rFonts w:ascii="Arial Narrow" w:hAnsi="Arial Narrow"/>
                <w:b/>
                <w:bCs/>
                <w:color w:val="000000"/>
                <w:sz w:val="16"/>
                <w:szCs w:val="16"/>
              </w:rPr>
              <w:t>7</w:t>
            </w:r>
            <w:r w:rsidRPr="0098186C">
              <w:rPr>
                <w:rFonts w:ascii="Arial Narrow" w:hAnsi="Arial Narrow"/>
                <w:b/>
                <w:bCs/>
                <w:color w:val="000000"/>
                <w:sz w:val="16"/>
                <w:szCs w:val="16"/>
              </w:rPr>
              <w:t>.</w:t>
            </w:r>
            <w:r>
              <w:rPr>
                <w:rFonts w:ascii="Arial Narrow" w:hAnsi="Arial Narrow"/>
                <w:b/>
                <w:bCs/>
                <w:color w:val="000000"/>
                <w:sz w:val="16"/>
                <w:szCs w:val="16"/>
              </w:rPr>
              <w:t>374</w:t>
            </w:r>
          </w:p>
        </w:tc>
        <w:tc>
          <w:tcPr>
            <w:tcW w:w="867" w:type="dxa"/>
            <w:shd w:val="clear" w:color="auto" w:fill="D9D9D9" w:themeFill="background1" w:themeFillShade="D9"/>
            <w:vAlign w:val="center"/>
          </w:tcPr>
          <w:p w:rsidR="0089521F" w:rsidRPr="0098186C" w:rsidRDefault="0089521F" w:rsidP="0089521F">
            <w:pPr>
              <w:ind w:right="227"/>
              <w:jc w:val="right"/>
              <w:rPr>
                <w:rFonts w:ascii="Arial Narrow" w:hAnsi="Arial Narrow"/>
                <w:b/>
                <w:bCs/>
                <w:color w:val="000000"/>
                <w:sz w:val="16"/>
                <w:szCs w:val="16"/>
              </w:rPr>
            </w:pPr>
            <w:r>
              <w:rPr>
                <w:rFonts w:ascii="Arial Narrow" w:hAnsi="Arial Narrow"/>
                <w:b/>
                <w:bCs/>
                <w:color w:val="000000"/>
                <w:sz w:val="16"/>
                <w:szCs w:val="16"/>
              </w:rPr>
              <w:t>6</w:t>
            </w:r>
            <w:r w:rsidRPr="0098186C">
              <w:rPr>
                <w:rFonts w:ascii="Arial Narrow" w:hAnsi="Arial Narrow"/>
                <w:b/>
                <w:bCs/>
                <w:color w:val="000000"/>
                <w:sz w:val="16"/>
                <w:szCs w:val="16"/>
              </w:rPr>
              <w:t>.</w:t>
            </w:r>
            <w:r>
              <w:rPr>
                <w:rFonts w:ascii="Arial Narrow" w:hAnsi="Arial Narrow"/>
                <w:b/>
                <w:bCs/>
                <w:color w:val="000000"/>
                <w:sz w:val="16"/>
                <w:szCs w:val="16"/>
              </w:rPr>
              <w:t>878</w:t>
            </w:r>
          </w:p>
        </w:tc>
        <w:tc>
          <w:tcPr>
            <w:tcW w:w="976" w:type="dxa"/>
            <w:tcBorders>
              <w:right w:val="single" w:sz="4" w:space="0" w:color="auto"/>
            </w:tcBorders>
            <w:shd w:val="clear" w:color="auto" w:fill="D9D9D9" w:themeFill="background1" w:themeFillShade="D9"/>
            <w:vAlign w:val="center"/>
          </w:tcPr>
          <w:p w:rsidR="0089521F" w:rsidRPr="0098186C" w:rsidRDefault="0089521F" w:rsidP="0089521F">
            <w:pPr>
              <w:ind w:right="227"/>
              <w:jc w:val="right"/>
              <w:rPr>
                <w:rFonts w:ascii="Arial Narrow" w:hAnsi="Arial Narrow"/>
                <w:b/>
                <w:bCs/>
                <w:color w:val="000000"/>
                <w:sz w:val="16"/>
                <w:szCs w:val="16"/>
              </w:rPr>
            </w:pPr>
            <w:r w:rsidRPr="0098186C">
              <w:rPr>
                <w:rFonts w:ascii="Arial Narrow" w:hAnsi="Arial Narrow"/>
                <w:b/>
                <w:bCs/>
                <w:color w:val="000000"/>
                <w:sz w:val="16"/>
                <w:szCs w:val="16"/>
              </w:rPr>
              <w:t>6.</w:t>
            </w:r>
            <w:r>
              <w:rPr>
                <w:rFonts w:ascii="Arial Narrow" w:hAnsi="Arial Narrow"/>
                <w:b/>
                <w:bCs/>
                <w:color w:val="000000"/>
                <w:sz w:val="16"/>
                <w:szCs w:val="16"/>
              </w:rPr>
              <w:t>713</w:t>
            </w:r>
          </w:p>
        </w:tc>
      </w:tr>
      <w:tr w:rsidR="0089521F" w:rsidRPr="006B2DB8" w:rsidTr="00B01F9F">
        <w:trPr>
          <w:cantSplit/>
          <w:jc w:val="center"/>
        </w:trPr>
        <w:tc>
          <w:tcPr>
            <w:tcW w:w="312" w:type="dxa"/>
            <w:tcBorders>
              <w:left w:val="single" w:sz="4" w:space="0" w:color="auto"/>
            </w:tcBorders>
          </w:tcPr>
          <w:p w:rsidR="0089521F" w:rsidRPr="006B2DB8" w:rsidRDefault="0089521F" w:rsidP="003625C5">
            <w:pPr>
              <w:tabs>
                <w:tab w:val="num" w:pos="900"/>
              </w:tabs>
              <w:jc w:val="right"/>
              <w:rPr>
                <w:rFonts w:ascii="Arial Narrow" w:hAnsi="Arial Narrow"/>
                <w:sz w:val="16"/>
                <w:szCs w:val="16"/>
              </w:rPr>
            </w:pPr>
            <w:r w:rsidRPr="006B2DB8">
              <w:rPr>
                <w:rFonts w:ascii="Arial Narrow" w:hAnsi="Arial Narrow"/>
                <w:sz w:val="16"/>
                <w:szCs w:val="16"/>
              </w:rPr>
              <w:t>1</w:t>
            </w:r>
          </w:p>
        </w:tc>
        <w:tc>
          <w:tcPr>
            <w:tcW w:w="4678" w:type="dxa"/>
          </w:tcPr>
          <w:p w:rsidR="0089521F" w:rsidRPr="006B2DB8" w:rsidRDefault="0089521F" w:rsidP="003625C5">
            <w:pPr>
              <w:tabs>
                <w:tab w:val="num" w:pos="900"/>
              </w:tabs>
              <w:rPr>
                <w:rFonts w:ascii="Arial Narrow" w:hAnsi="Arial Narrow"/>
                <w:sz w:val="16"/>
                <w:szCs w:val="16"/>
              </w:rPr>
            </w:pPr>
            <w:r w:rsidRPr="006B2DB8">
              <w:rPr>
                <w:rFonts w:ascii="Arial Narrow" w:hAnsi="Arial Narrow"/>
                <w:sz w:val="16"/>
                <w:szCs w:val="16"/>
              </w:rPr>
              <w:t>Αμοιβές προσωπικού</w:t>
            </w:r>
          </w:p>
        </w:tc>
        <w:tc>
          <w:tcPr>
            <w:tcW w:w="992" w:type="dxa"/>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2.</w:t>
            </w:r>
            <w:r>
              <w:rPr>
                <w:rFonts w:ascii="Arial Narrow" w:hAnsi="Arial Narrow"/>
                <w:color w:val="000000"/>
                <w:sz w:val="16"/>
                <w:szCs w:val="16"/>
              </w:rPr>
              <w:t>346</w:t>
            </w:r>
          </w:p>
        </w:tc>
        <w:tc>
          <w:tcPr>
            <w:tcW w:w="992" w:type="dxa"/>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2.</w:t>
            </w:r>
            <w:r>
              <w:rPr>
                <w:rFonts w:ascii="Arial Narrow" w:hAnsi="Arial Narrow"/>
                <w:color w:val="000000"/>
                <w:sz w:val="16"/>
                <w:szCs w:val="16"/>
              </w:rPr>
              <w:t>382</w:t>
            </w:r>
          </w:p>
        </w:tc>
        <w:tc>
          <w:tcPr>
            <w:tcW w:w="867" w:type="dxa"/>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2.</w:t>
            </w:r>
            <w:r>
              <w:rPr>
                <w:rFonts w:ascii="Arial Narrow" w:hAnsi="Arial Narrow"/>
                <w:color w:val="000000"/>
                <w:sz w:val="16"/>
                <w:szCs w:val="16"/>
              </w:rPr>
              <w:t>398</w:t>
            </w:r>
          </w:p>
        </w:tc>
        <w:tc>
          <w:tcPr>
            <w:tcW w:w="976" w:type="dxa"/>
            <w:tcBorders>
              <w:right w:val="single" w:sz="4" w:space="0" w:color="auto"/>
            </w:tcBorders>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2.</w:t>
            </w:r>
            <w:r>
              <w:rPr>
                <w:rFonts w:ascii="Arial Narrow" w:hAnsi="Arial Narrow"/>
                <w:color w:val="000000"/>
                <w:sz w:val="16"/>
                <w:szCs w:val="16"/>
              </w:rPr>
              <w:t>409</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sz w:val="16"/>
                <w:szCs w:val="16"/>
              </w:rPr>
            </w:pPr>
            <w:r w:rsidRPr="006B2DB8">
              <w:rPr>
                <w:rFonts w:ascii="Arial Narrow" w:hAnsi="Arial Narrow"/>
                <w:sz w:val="16"/>
                <w:szCs w:val="16"/>
              </w:rPr>
              <w:t>2</w:t>
            </w:r>
          </w:p>
        </w:tc>
        <w:tc>
          <w:tcPr>
            <w:tcW w:w="4678" w:type="dxa"/>
            <w:shd w:val="clear" w:color="auto" w:fill="FFFFFF"/>
          </w:tcPr>
          <w:p w:rsidR="0089521F" w:rsidRPr="006B2DB8" w:rsidRDefault="0089521F" w:rsidP="003625C5">
            <w:pPr>
              <w:tabs>
                <w:tab w:val="num" w:pos="900"/>
              </w:tabs>
              <w:rPr>
                <w:rFonts w:ascii="Arial Narrow" w:hAnsi="Arial Narrow"/>
                <w:sz w:val="16"/>
                <w:szCs w:val="16"/>
              </w:rPr>
            </w:pPr>
            <w:r w:rsidRPr="006B2DB8">
              <w:rPr>
                <w:rFonts w:ascii="Arial Narrow" w:hAnsi="Arial Narrow"/>
                <w:sz w:val="16"/>
                <w:szCs w:val="16"/>
              </w:rPr>
              <w:t>Προνοιακά επιδόματα</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885</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899</w:t>
            </w:r>
          </w:p>
        </w:tc>
        <w:tc>
          <w:tcPr>
            <w:tcW w:w="867"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149</w:t>
            </w: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159</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sz w:val="16"/>
                <w:szCs w:val="16"/>
              </w:rPr>
            </w:pPr>
            <w:r>
              <w:rPr>
                <w:rFonts w:ascii="Arial Narrow" w:hAnsi="Arial Narrow"/>
                <w:sz w:val="16"/>
                <w:szCs w:val="16"/>
              </w:rPr>
              <w:t>3</w:t>
            </w:r>
          </w:p>
        </w:tc>
        <w:tc>
          <w:tcPr>
            <w:tcW w:w="4678" w:type="dxa"/>
            <w:shd w:val="clear" w:color="auto" w:fill="FFFFFF"/>
          </w:tcPr>
          <w:p w:rsidR="0089521F" w:rsidRPr="006B2DB8" w:rsidRDefault="0089521F" w:rsidP="003625C5">
            <w:pPr>
              <w:tabs>
                <w:tab w:val="num" w:pos="900"/>
              </w:tabs>
              <w:rPr>
                <w:rFonts w:ascii="Arial Narrow" w:hAnsi="Arial Narrow"/>
                <w:sz w:val="16"/>
                <w:szCs w:val="16"/>
              </w:rPr>
            </w:pPr>
            <w:r>
              <w:rPr>
                <w:rFonts w:ascii="Arial Narrow" w:hAnsi="Arial Narrow"/>
                <w:sz w:val="16"/>
                <w:szCs w:val="16"/>
              </w:rPr>
              <w:t>Τόκοι</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64</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61</w:t>
            </w:r>
          </w:p>
        </w:tc>
        <w:tc>
          <w:tcPr>
            <w:tcW w:w="867"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60</w:t>
            </w: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5</w:t>
            </w:r>
            <w:r>
              <w:rPr>
                <w:rFonts w:ascii="Arial Narrow" w:hAnsi="Arial Narrow"/>
                <w:color w:val="000000"/>
                <w:sz w:val="16"/>
                <w:szCs w:val="16"/>
              </w:rPr>
              <w:t>7</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sz w:val="16"/>
                <w:szCs w:val="16"/>
              </w:rPr>
            </w:pPr>
            <w:r>
              <w:rPr>
                <w:rFonts w:ascii="Arial Narrow" w:hAnsi="Arial Narrow"/>
                <w:sz w:val="16"/>
                <w:szCs w:val="16"/>
              </w:rPr>
              <w:t>4</w:t>
            </w:r>
          </w:p>
        </w:tc>
        <w:tc>
          <w:tcPr>
            <w:tcW w:w="4678" w:type="dxa"/>
            <w:shd w:val="clear" w:color="auto" w:fill="FFFFFF"/>
          </w:tcPr>
          <w:p w:rsidR="0089521F" w:rsidRPr="006B2DB8" w:rsidRDefault="0089521F" w:rsidP="00BE3746">
            <w:pPr>
              <w:tabs>
                <w:tab w:val="num" w:pos="900"/>
              </w:tabs>
              <w:rPr>
                <w:rFonts w:ascii="Arial Narrow" w:hAnsi="Arial Narrow"/>
                <w:sz w:val="16"/>
                <w:szCs w:val="16"/>
              </w:rPr>
            </w:pPr>
            <w:r w:rsidRPr="006B2DB8">
              <w:rPr>
                <w:rFonts w:ascii="Arial Narrow" w:hAnsi="Arial Narrow"/>
                <w:sz w:val="16"/>
                <w:szCs w:val="16"/>
              </w:rPr>
              <w:t xml:space="preserve">Δαπάνες για επενδύσεις </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1.</w:t>
            </w:r>
            <w:r>
              <w:rPr>
                <w:rFonts w:ascii="Arial Narrow" w:hAnsi="Arial Narrow"/>
                <w:color w:val="000000"/>
                <w:sz w:val="16"/>
                <w:szCs w:val="16"/>
              </w:rPr>
              <w:t>341</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1241</w:t>
            </w:r>
          </w:p>
        </w:tc>
        <w:tc>
          <w:tcPr>
            <w:tcW w:w="867"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1.</w:t>
            </w:r>
            <w:r>
              <w:rPr>
                <w:rFonts w:ascii="Arial Narrow" w:hAnsi="Arial Narrow"/>
                <w:color w:val="000000"/>
                <w:sz w:val="16"/>
                <w:szCs w:val="16"/>
              </w:rPr>
              <w:t>580</w:t>
            </w: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1404</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sz w:val="16"/>
                <w:szCs w:val="16"/>
              </w:rPr>
            </w:pPr>
            <w:r>
              <w:rPr>
                <w:rFonts w:ascii="Arial Narrow" w:hAnsi="Arial Narrow"/>
                <w:sz w:val="16"/>
                <w:szCs w:val="16"/>
              </w:rPr>
              <w:t>5</w:t>
            </w:r>
          </w:p>
        </w:tc>
        <w:tc>
          <w:tcPr>
            <w:tcW w:w="4678" w:type="dxa"/>
            <w:shd w:val="clear" w:color="auto" w:fill="FFFFFF"/>
          </w:tcPr>
          <w:p w:rsidR="0089521F" w:rsidRPr="006B2DB8" w:rsidRDefault="0089521F" w:rsidP="003625C5">
            <w:pPr>
              <w:tabs>
                <w:tab w:val="num" w:pos="900"/>
              </w:tabs>
              <w:rPr>
                <w:rFonts w:ascii="Arial Narrow" w:hAnsi="Arial Narrow"/>
                <w:sz w:val="16"/>
                <w:szCs w:val="16"/>
              </w:rPr>
            </w:pPr>
            <w:r w:rsidRPr="006B2DB8">
              <w:rPr>
                <w:rFonts w:ascii="Arial Narrow" w:hAnsi="Arial Narrow"/>
                <w:sz w:val="16"/>
                <w:szCs w:val="16"/>
              </w:rPr>
              <w:t>Λοιπές δαπάνες</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1.</w:t>
            </w:r>
            <w:r>
              <w:rPr>
                <w:rFonts w:ascii="Arial Narrow" w:hAnsi="Arial Narrow"/>
                <w:color w:val="000000"/>
                <w:sz w:val="16"/>
                <w:szCs w:val="16"/>
              </w:rPr>
              <w:t>765</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1.9</w:t>
            </w:r>
            <w:r>
              <w:rPr>
                <w:rFonts w:ascii="Arial Narrow" w:hAnsi="Arial Narrow"/>
                <w:color w:val="000000"/>
                <w:sz w:val="16"/>
                <w:szCs w:val="16"/>
              </w:rPr>
              <w:t>13</w:t>
            </w:r>
          </w:p>
        </w:tc>
        <w:tc>
          <w:tcPr>
            <w:tcW w:w="867"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1</w:t>
            </w:r>
            <w:r w:rsidRPr="0098186C">
              <w:rPr>
                <w:rFonts w:ascii="Arial Narrow" w:hAnsi="Arial Narrow"/>
                <w:color w:val="000000"/>
                <w:sz w:val="16"/>
                <w:szCs w:val="16"/>
              </w:rPr>
              <w:t>.</w:t>
            </w:r>
            <w:r>
              <w:rPr>
                <w:rFonts w:ascii="Arial Narrow" w:hAnsi="Arial Narrow"/>
                <w:color w:val="000000"/>
                <w:sz w:val="16"/>
                <w:szCs w:val="16"/>
              </w:rPr>
              <w:t>876</w:t>
            </w: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1.8</w:t>
            </w:r>
            <w:r>
              <w:rPr>
                <w:rFonts w:ascii="Arial Narrow" w:hAnsi="Arial Narrow"/>
                <w:color w:val="000000"/>
                <w:sz w:val="16"/>
                <w:szCs w:val="16"/>
              </w:rPr>
              <w:t>86</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i/>
                <w:sz w:val="16"/>
                <w:szCs w:val="16"/>
              </w:rPr>
            </w:pPr>
          </w:p>
        </w:tc>
        <w:tc>
          <w:tcPr>
            <w:tcW w:w="4678" w:type="dxa"/>
            <w:shd w:val="clear" w:color="auto" w:fill="FFFFFF"/>
          </w:tcPr>
          <w:p w:rsidR="0089521F" w:rsidRPr="006B2DB8" w:rsidRDefault="0089521F" w:rsidP="003625C5">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Πληρωμές ΠΟΕ</w:t>
            </w:r>
            <w:r w:rsidRPr="006B2DB8">
              <w:rPr>
                <w:rFonts w:ascii="Arial Narrow" w:hAnsi="Arial Narrow"/>
                <w:i/>
                <w:sz w:val="16"/>
                <w:szCs w:val="16"/>
              </w:rPr>
              <w:tab/>
            </w:r>
          </w:p>
        </w:tc>
        <w:tc>
          <w:tcPr>
            <w:tcW w:w="992"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Pr>
                <w:rFonts w:ascii="Arial Narrow" w:hAnsi="Arial Narrow"/>
                <w:i/>
                <w:iCs/>
                <w:color w:val="272727"/>
                <w:sz w:val="16"/>
                <w:szCs w:val="16"/>
              </w:rPr>
              <w:t>236</w:t>
            </w:r>
          </w:p>
        </w:tc>
        <w:tc>
          <w:tcPr>
            <w:tcW w:w="992"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Pr>
                <w:rFonts w:ascii="Arial Narrow" w:hAnsi="Arial Narrow"/>
                <w:i/>
                <w:iCs/>
                <w:color w:val="272727"/>
                <w:sz w:val="16"/>
                <w:szCs w:val="16"/>
              </w:rPr>
              <w:t>275</w:t>
            </w:r>
          </w:p>
        </w:tc>
        <w:tc>
          <w:tcPr>
            <w:tcW w:w="867"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3</w:t>
            </w:r>
            <w:r>
              <w:rPr>
                <w:rFonts w:ascii="Arial Narrow" w:hAnsi="Arial Narrow"/>
                <w:i/>
                <w:iCs/>
                <w:color w:val="272727"/>
                <w:sz w:val="16"/>
                <w:szCs w:val="16"/>
              </w:rPr>
              <w:t>59</w:t>
            </w: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2</w:t>
            </w:r>
            <w:r>
              <w:rPr>
                <w:rFonts w:ascii="Arial Narrow" w:hAnsi="Arial Narrow"/>
                <w:i/>
                <w:iCs/>
                <w:color w:val="272727"/>
                <w:sz w:val="16"/>
                <w:szCs w:val="16"/>
              </w:rPr>
              <w:t>91</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i/>
                <w:sz w:val="16"/>
                <w:szCs w:val="16"/>
              </w:rPr>
            </w:pPr>
          </w:p>
        </w:tc>
        <w:tc>
          <w:tcPr>
            <w:tcW w:w="4678" w:type="dxa"/>
            <w:shd w:val="clear" w:color="auto" w:fill="FFFFFF"/>
          </w:tcPr>
          <w:p w:rsidR="0089521F" w:rsidRPr="006B2DB8" w:rsidRDefault="0089521F" w:rsidP="003625C5">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Μεταβιβάσεις σε τρίτους</w:t>
            </w:r>
          </w:p>
        </w:tc>
        <w:tc>
          <w:tcPr>
            <w:tcW w:w="992"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2</w:t>
            </w:r>
            <w:r>
              <w:rPr>
                <w:rFonts w:ascii="Arial Narrow" w:hAnsi="Arial Narrow"/>
                <w:i/>
                <w:iCs/>
                <w:color w:val="272727"/>
                <w:sz w:val="16"/>
                <w:szCs w:val="16"/>
              </w:rPr>
              <w:t>28</w:t>
            </w:r>
          </w:p>
        </w:tc>
        <w:tc>
          <w:tcPr>
            <w:tcW w:w="992"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2</w:t>
            </w:r>
            <w:r>
              <w:rPr>
                <w:rFonts w:ascii="Arial Narrow" w:hAnsi="Arial Narrow"/>
                <w:i/>
                <w:iCs/>
                <w:color w:val="272727"/>
                <w:sz w:val="16"/>
                <w:szCs w:val="16"/>
              </w:rPr>
              <w:t>46</w:t>
            </w:r>
          </w:p>
        </w:tc>
        <w:tc>
          <w:tcPr>
            <w:tcW w:w="867"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2</w:t>
            </w:r>
            <w:r>
              <w:rPr>
                <w:rFonts w:ascii="Arial Narrow" w:hAnsi="Arial Narrow"/>
                <w:i/>
                <w:iCs/>
                <w:color w:val="272727"/>
                <w:sz w:val="16"/>
                <w:szCs w:val="16"/>
              </w:rPr>
              <w:t>29</w:t>
            </w: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2</w:t>
            </w:r>
            <w:r>
              <w:rPr>
                <w:rFonts w:ascii="Arial Narrow" w:hAnsi="Arial Narrow"/>
                <w:i/>
                <w:iCs/>
                <w:color w:val="272727"/>
                <w:sz w:val="16"/>
                <w:szCs w:val="16"/>
              </w:rPr>
              <w:t>47</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i/>
                <w:sz w:val="16"/>
                <w:szCs w:val="16"/>
              </w:rPr>
            </w:pPr>
          </w:p>
        </w:tc>
        <w:tc>
          <w:tcPr>
            <w:tcW w:w="4678" w:type="dxa"/>
            <w:shd w:val="clear" w:color="auto" w:fill="FFFFFF"/>
          </w:tcPr>
          <w:p w:rsidR="0089521F" w:rsidRPr="006B2DB8" w:rsidRDefault="0089521F" w:rsidP="003625C5">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Λοιπές λειτουργικές δαπάνες</w:t>
            </w:r>
          </w:p>
        </w:tc>
        <w:tc>
          <w:tcPr>
            <w:tcW w:w="992"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1.3</w:t>
            </w:r>
            <w:r>
              <w:rPr>
                <w:rFonts w:ascii="Arial Narrow" w:hAnsi="Arial Narrow"/>
                <w:i/>
                <w:iCs/>
                <w:color w:val="272727"/>
                <w:sz w:val="16"/>
                <w:szCs w:val="16"/>
              </w:rPr>
              <w:t>01</w:t>
            </w:r>
          </w:p>
        </w:tc>
        <w:tc>
          <w:tcPr>
            <w:tcW w:w="992"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1.</w:t>
            </w:r>
            <w:r>
              <w:rPr>
                <w:rFonts w:ascii="Arial Narrow" w:hAnsi="Arial Narrow"/>
                <w:i/>
                <w:iCs/>
                <w:color w:val="272727"/>
                <w:sz w:val="16"/>
                <w:szCs w:val="16"/>
              </w:rPr>
              <w:t>392</w:t>
            </w:r>
          </w:p>
        </w:tc>
        <w:tc>
          <w:tcPr>
            <w:tcW w:w="867" w:type="dxa"/>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1.</w:t>
            </w:r>
            <w:r>
              <w:rPr>
                <w:rFonts w:ascii="Arial Narrow" w:hAnsi="Arial Narrow"/>
                <w:i/>
                <w:iCs/>
                <w:color w:val="272727"/>
                <w:sz w:val="16"/>
                <w:szCs w:val="16"/>
              </w:rPr>
              <w:t>289</w:t>
            </w: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i/>
                <w:iCs/>
                <w:color w:val="272727"/>
                <w:sz w:val="16"/>
                <w:szCs w:val="16"/>
              </w:rPr>
            </w:pPr>
            <w:r w:rsidRPr="0098186C">
              <w:rPr>
                <w:rFonts w:ascii="Arial Narrow" w:hAnsi="Arial Narrow"/>
                <w:i/>
                <w:iCs/>
                <w:color w:val="272727"/>
                <w:sz w:val="16"/>
                <w:szCs w:val="16"/>
              </w:rPr>
              <w:t>1.</w:t>
            </w:r>
            <w:r>
              <w:rPr>
                <w:rFonts w:ascii="Arial Narrow" w:hAnsi="Arial Narrow"/>
                <w:i/>
                <w:iCs/>
                <w:color w:val="272727"/>
                <w:sz w:val="16"/>
                <w:szCs w:val="16"/>
              </w:rPr>
              <w:t>349</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sz w:val="16"/>
                <w:szCs w:val="16"/>
              </w:rPr>
            </w:pPr>
            <w:r>
              <w:rPr>
                <w:rFonts w:ascii="Arial Narrow" w:hAnsi="Arial Narrow"/>
                <w:sz w:val="16"/>
                <w:szCs w:val="16"/>
              </w:rPr>
              <w:t>6</w:t>
            </w:r>
          </w:p>
        </w:tc>
        <w:tc>
          <w:tcPr>
            <w:tcW w:w="4678" w:type="dxa"/>
            <w:shd w:val="clear" w:color="auto" w:fill="FFFFFF"/>
          </w:tcPr>
          <w:p w:rsidR="0089521F" w:rsidRPr="006B2DB8" w:rsidRDefault="0089521F" w:rsidP="003625C5">
            <w:pPr>
              <w:tabs>
                <w:tab w:val="num" w:pos="176"/>
              </w:tabs>
              <w:rPr>
                <w:rFonts w:ascii="Arial Narrow" w:hAnsi="Arial Narrow"/>
                <w:sz w:val="16"/>
                <w:szCs w:val="16"/>
              </w:rPr>
            </w:pPr>
            <w:r w:rsidRPr="006B2DB8">
              <w:rPr>
                <w:rFonts w:ascii="Arial Narrow" w:hAnsi="Arial Narrow"/>
                <w:sz w:val="16"/>
                <w:szCs w:val="16"/>
              </w:rPr>
              <w:t>Αποδόσεις εσόδων υπέρ Δημοσίου και τρίτων</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865</w:t>
            </w: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8</w:t>
            </w:r>
            <w:r>
              <w:rPr>
                <w:rFonts w:ascii="Arial Narrow" w:hAnsi="Arial Narrow"/>
                <w:color w:val="000000"/>
                <w:sz w:val="16"/>
                <w:szCs w:val="16"/>
              </w:rPr>
              <w:t>79</w:t>
            </w:r>
          </w:p>
        </w:tc>
        <w:tc>
          <w:tcPr>
            <w:tcW w:w="867"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r w:rsidRPr="0098186C">
              <w:rPr>
                <w:rFonts w:ascii="Arial Narrow" w:hAnsi="Arial Narrow"/>
                <w:color w:val="000000"/>
                <w:sz w:val="16"/>
                <w:szCs w:val="16"/>
              </w:rPr>
              <w:t>8</w:t>
            </w:r>
            <w:r>
              <w:rPr>
                <w:rFonts w:ascii="Arial Narrow" w:hAnsi="Arial Narrow"/>
                <w:color w:val="000000"/>
                <w:sz w:val="16"/>
                <w:szCs w:val="16"/>
              </w:rPr>
              <w:t>15</w:t>
            </w: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color w:val="000000"/>
                <w:sz w:val="16"/>
                <w:szCs w:val="16"/>
              </w:rPr>
            </w:pPr>
            <w:r>
              <w:rPr>
                <w:rFonts w:ascii="Arial Narrow" w:hAnsi="Arial Narrow"/>
                <w:color w:val="000000"/>
                <w:sz w:val="16"/>
                <w:szCs w:val="16"/>
              </w:rPr>
              <w:t>798</w:t>
            </w:r>
          </w:p>
        </w:tc>
      </w:tr>
      <w:tr w:rsidR="0089521F" w:rsidRPr="0098186C" w:rsidTr="0089521F">
        <w:trPr>
          <w:cantSplit/>
          <w:jc w:val="center"/>
        </w:trPr>
        <w:tc>
          <w:tcPr>
            <w:tcW w:w="312" w:type="dxa"/>
            <w:tcBorders>
              <w:left w:val="single" w:sz="4" w:space="0" w:color="auto"/>
            </w:tcBorders>
            <w:shd w:val="clear" w:color="auto" w:fill="D9D9D9" w:themeFill="background1" w:themeFillShade="D9"/>
          </w:tcPr>
          <w:p w:rsidR="0089521F" w:rsidRPr="0098186C" w:rsidRDefault="00B26CA9" w:rsidP="003625C5">
            <w:pPr>
              <w:tabs>
                <w:tab w:val="num" w:pos="900"/>
              </w:tabs>
              <w:spacing w:before="60" w:after="60"/>
              <w:jc w:val="right"/>
              <w:rPr>
                <w:rFonts w:ascii="Arial Narrow" w:hAnsi="Arial Narrow"/>
                <w:b/>
                <w:sz w:val="16"/>
                <w:szCs w:val="16"/>
              </w:rPr>
            </w:pPr>
            <w:r>
              <w:rPr>
                <w:rFonts w:ascii="Arial Narrow" w:hAnsi="Arial Narrow"/>
                <w:b/>
                <w:sz w:val="16"/>
                <w:szCs w:val="16"/>
              </w:rPr>
              <w:t>Γ</w:t>
            </w:r>
          </w:p>
        </w:tc>
        <w:tc>
          <w:tcPr>
            <w:tcW w:w="4678" w:type="dxa"/>
            <w:shd w:val="clear" w:color="auto" w:fill="D9D9D9" w:themeFill="background1" w:themeFillShade="D9"/>
          </w:tcPr>
          <w:p w:rsidR="0089521F" w:rsidRPr="0098186C" w:rsidRDefault="0089521F" w:rsidP="00BE3746">
            <w:pPr>
              <w:tabs>
                <w:tab w:val="num" w:pos="900"/>
              </w:tabs>
              <w:spacing w:before="60" w:after="60"/>
              <w:rPr>
                <w:rFonts w:ascii="Arial Narrow" w:hAnsi="Arial Narrow"/>
                <w:b/>
                <w:sz w:val="16"/>
                <w:szCs w:val="16"/>
              </w:rPr>
            </w:pPr>
            <w:r w:rsidRPr="0098186C">
              <w:rPr>
                <w:rFonts w:ascii="Arial Narrow" w:hAnsi="Arial Narrow"/>
                <w:b/>
                <w:sz w:val="16"/>
                <w:szCs w:val="16"/>
              </w:rPr>
              <w:t>Ταμειακό ισοζύγιο</w:t>
            </w:r>
            <w:r w:rsidR="00B26CA9">
              <w:rPr>
                <w:rFonts w:ascii="Arial Narrow" w:hAnsi="Arial Narrow"/>
                <w:b/>
                <w:sz w:val="16"/>
                <w:szCs w:val="16"/>
              </w:rPr>
              <w:t xml:space="preserve"> (Α – Β)</w:t>
            </w:r>
          </w:p>
        </w:tc>
        <w:tc>
          <w:tcPr>
            <w:tcW w:w="992" w:type="dxa"/>
            <w:shd w:val="clear" w:color="auto" w:fill="D9D9D9" w:themeFill="background1" w:themeFillShade="D9"/>
            <w:vAlign w:val="center"/>
          </w:tcPr>
          <w:p w:rsidR="0089521F" w:rsidRPr="0098186C" w:rsidRDefault="0089521F" w:rsidP="0089521F">
            <w:pPr>
              <w:ind w:right="227"/>
              <w:jc w:val="right"/>
              <w:rPr>
                <w:rFonts w:ascii="Arial Narrow" w:hAnsi="Arial Narrow"/>
                <w:b/>
                <w:color w:val="000000"/>
                <w:sz w:val="16"/>
                <w:szCs w:val="16"/>
              </w:rPr>
            </w:pPr>
            <w:r>
              <w:rPr>
                <w:rFonts w:ascii="Arial Narrow" w:hAnsi="Arial Narrow"/>
                <w:b/>
                <w:color w:val="000000"/>
                <w:sz w:val="16"/>
                <w:szCs w:val="16"/>
              </w:rPr>
              <w:t>545</w:t>
            </w:r>
          </w:p>
        </w:tc>
        <w:tc>
          <w:tcPr>
            <w:tcW w:w="992" w:type="dxa"/>
            <w:shd w:val="clear" w:color="auto" w:fill="D9D9D9" w:themeFill="background1" w:themeFillShade="D9"/>
            <w:vAlign w:val="center"/>
          </w:tcPr>
          <w:p w:rsidR="0089521F" w:rsidRPr="0098186C" w:rsidRDefault="007656AC" w:rsidP="0089521F">
            <w:pPr>
              <w:ind w:right="227"/>
              <w:jc w:val="right"/>
              <w:rPr>
                <w:rFonts w:ascii="Arial Narrow" w:hAnsi="Arial Narrow"/>
                <w:b/>
                <w:color w:val="000000"/>
                <w:sz w:val="16"/>
                <w:szCs w:val="16"/>
              </w:rPr>
            </w:pPr>
            <w:r>
              <w:rPr>
                <w:rFonts w:ascii="Arial Narrow" w:hAnsi="Arial Narrow"/>
                <w:b/>
                <w:color w:val="000000"/>
                <w:sz w:val="16"/>
                <w:szCs w:val="16"/>
              </w:rPr>
              <w:t>445</w:t>
            </w:r>
          </w:p>
        </w:tc>
        <w:tc>
          <w:tcPr>
            <w:tcW w:w="867" w:type="dxa"/>
            <w:shd w:val="clear" w:color="auto" w:fill="D9D9D9" w:themeFill="background1" w:themeFillShade="D9"/>
            <w:vAlign w:val="center"/>
          </w:tcPr>
          <w:p w:rsidR="0089521F" w:rsidRPr="0098186C" w:rsidRDefault="0089521F" w:rsidP="0089521F">
            <w:pPr>
              <w:ind w:right="227"/>
              <w:jc w:val="right"/>
              <w:rPr>
                <w:rFonts w:ascii="Arial Narrow" w:hAnsi="Arial Narrow"/>
                <w:b/>
                <w:color w:val="000000"/>
                <w:sz w:val="16"/>
                <w:szCs w:val="16"/>
              </w:rPr>
            </w:pPr>
            <w:r>
              <w:rPr>
                <w:rFonts w:ascii="Arial Narrow" w:hAnsi="Arial Narrow"/>
                <w:b/>
                <w:color w:val="000000"/>
                <w:sz w:val="16"/>
                <w:szCs w:val="16"/>
              </w:rPr>
              <w:t>224</w:t>
            </w:r>
          </w:p>
        </w:tc>
        <w:tc>
          <w:tcPr>
            <w:tcW w:w="976" w:type="dxa"/>
            <w:tcBorders>
              <w:right w:val="single" w:sz="4" w:space="0" w:color="auto"/>
            </w:tcBorders>
            <w:shd w:val="clear" w:color="auto" w:fill="D9D9D9" w:themeFill="background1" w:themeFillShade="D9"/>
            <w:vAlign w:val="center"/>
          </w:tcPr>
          <w:p w:rsidR="0089521F" w:rsidRPr="0098186C" w:rsidRDefault="0089521F" w:rsidP="0089521F">
            <w:pPr>
              <w:ind w:right="227"/>
              <w:jc w:val="right"/>
              <w:rPr>
                <w:rFonts w:ascii="Arial Narrow" w:hAnsi="Arial Narrow"/>
                <w:b/>
                <w:color w:val="000000"/>
                <w:sz w:val="16"/>
                <w:szCs w:val="16"/>
              </w:rPr>
            </w:pPr>
            <w:r>
              <w:rPr>
                <w:rFonts w:ascii="Arial Narrow" w:hAnsi="Arial Narrow"/>
                <w:b/>
                <w:color w:val="000000"/>
                <w:sz w:val="16"/>
                <w:szCs w:val="16"/>
              </w:rPr>
              <w:t>249</w:t>
            </w:r>
          </w:p>
        </w:tc>
      </w:tr>
      <w:tr w:rsidR="007E3F4B" w:rsidRPr="006B2DB8" w:rsidTr="004A4AB1">
        <w:trPr>
          <w:cantSplit/>
          <w:jc w:val="center"/>
        </w:trPr>
        <w:tc>
          <w:tcPr>
            <w:tcW w:w="312" w:type="dxa"/>
            <w:tcBorders>
              <w:left w:val="single" w:sz="4" w:space="0" w:color="auto"/>
            </w:tcBorders>
            <w:shd w:val="clear" w:color="auto" w:fill="FFFFFF"/>
          </w:tcPr>
          <w:p w:rsidR="007E3F4B" w:rsidRPr="006B2DB8" w:rsidRDefault="007E3F4B" w:rsidP="004A4AB1">
            <w:pPr>
              <w:tabs>
                <w:tab w:val="num" w:pos="900"/>
              </w:tabs>
              <w:jc w:val="right"/>
              <w:rPr>
                <w:rFonts w:ascii="Arial Narrow" w:hAnsi="Arial Narrow"/>
                <w:sz w:val="16"/>
                <w:szCs w:val="16"/>
              </w:rPr>
            </w:pPr>
          </w:p>
        </w:tc>
        <w:tc>
          <w:tcPr>
            <w:tcW w:w="4678" w:type="dxa"/>
            <w:shd w:val="clear" w:color="auto" w:fill="FFFFFF"/>
          </w:tcPr>
          <w:p w:rsidR="007E3F4B" w:rsidRPr="00BE3746" w:rsidRDefault="007E3F4B" w:rsidP="004A4AB1">
            <w:pPr>
              <w:tabs>
                <w:tab w:val="left" w:pos="161"/>
                <w:tab w:val="num" w:pos="900"/>
              </w:tabs>
              <w:rPr>
                <w:rFonts w:ascii="Arial Narrow" w:hAnsi="Arial Narrow"/>
                <w:sz w:val="16"/>
                <w:szCs w:val="16"/>
              </w:rPr>
            </w:pPr>
          </w:p>
        </w:tc>
        <w:tc>
          <w:tcPr>
            <w:tcW w:w="992" w:type="dxa"/>
            <w:shd w:val="clear" w:color="auto" w:fill="FFFFFF"/>
            <w:vAlign w:val="center"/>
          </w:tcPr>
          <w:p w:rsidR="007E3F4B" w:rsidRPr="0098186C" w:rsidRDefault="007E3F4B" w:rsidP="004A4AB1">
            <w:pPr>
              <w:ind w:right="227"/>
              <w:jc w:val="right"/>
              <w:rPr>
                <w:rFonts w:ascii="Arial Narrow" w:hAnsi="Arial Narrow"/>
                <w:color w:val="000000"/>
                <w:sz w:val="16"/>
                <w:szCs w:val="16"/>
              </w:rPr>
            </w:pPr>
          </w:p>
        </w:tc>
        <w:tc>
          <w:tcPr>
            <w:tcW w:w="992" w:type="dxa"/>
            <w:shd w:val="clear" w:color="auto" w:fill="FFFFFF"/>
            <w:vAlign w:val="center"/>
          </w:tcPr>
          <w:p w:rsidR="007E3F4B" w:rsidRPr="0098186C" w:rsidRDefault="007E3F4B" w:rsidP="004A4AB1">
            <w:pPr>
              <w:ind w:right="227"/>
              <w:jc w:val="right"/>
              <w:rPr>
                <w:rFonts w:ascii="Arial Narrow" w:hAnsi="Arial Narrow"/>
                <w:color w:val="000000"/>
                <w:sz w:val="16"/>
                <w:szCs w:val="16"/>
              </w:rPr>
            </w:pPr>
          </w:p>
        </w:tc>
        <w:tc>
          <w:tcPr>
            <w:tcW w:w="867" w:type="dxa"/>
            <w:shd w:val="clear" w:color="auto" w:fill="FFFFFF"/>
            <w:vAlign w:val="center"/>
          </w:tcPr>
          <w:p w:rsidR="007E3F4B" w:rsidRPr="0098186C" w:rsidRDefault="007E3F4B" w:rsidP="004A4AB1">
            <w:pPr>
              <w:ind w:right="227"/>
              <w:jc w:val="right"/>
              <w:rPr>
                <w:rFonts w:ascii="Arial Narrow" w:hAnsi="Arial Narrow"/>
                <w:color w:val="000000"/>
                <w:sz w:val="16"/>
                <w:szCs w:val="16"/>
              </w:rPr>
            </w:pPr>
          </w:p>
        </w:tc>
        <w:tc>
          <w:tcPr>
            <w:tcW w:w="976" w:type="dxa"/>
            <w:tcBorders>
              <w:right w:val="single" w:sz="4" w:space="0" w:color="auto"/>
            </w:tcBorders>
            <w:shd w:val="clear" w:color="auto" w:fill="FFFFFF"/>
            <w:vAlign w:val="center"/>
          </w:tcPr>
          <w:p w:rsidR="007E3F4B" w:rsidRPr="0098186C" w:rsidRDefault="007E3F4B" w:rsidP="004A4AB1">
            <w:pPr>
              <w:ind w:right="227"/>
              <w:jc w:val="right"/>
              <w:rPr>
                <w:rFonts w:ascii="Arial Narrow" w:hAnsi="Arial Narrow"/>
                <w:color w:val="000000"/>
                <w:sz w:val="16"/>
                <w:szCs w:val="16"/>
              </w:rPr>
            </w:pPr>
          </w:p>
        </w:tc>
      </w:tr>
      <w:tr w:rsidR="0089521F" w:rsidRPr="007E3F4B" w:rsidTr="007E3F4B">
        <w:trPr>
          <w:cantSplit/>
          <w:jc w:val="center"/>
        </w:trPr>
        <w:tc>
          <w:tcPr>
            <w:tcW w:w="312" w:type="dxa"/>
            <w:tcBorders>
              <w:left w:val="single" w:sz="4" w:space="0" w:color="auto"/>
            </w:tcBorders>
            <w:shd w:val="clear" w:color="auto" w:fill="D9D9D9" w:themeFill="background1" w:themeFillShade="D9"/>
          </w:tcPr>
          <w:p w:rsidR="0089521F" w:rsidRPr="007E3F4B" w:rsidRDefault="00B26CA9" w:rsidP="007E3F4B">
            <w:pPr>
              <w:tabs>
                <w:tab w:val="num" w:pos="900"/>
              </w:tabs>
              <w:spacing w:before="60" w:after="60"/>
              <w:jc w:val="right"/>
              <w:rPr>
                <w:rFonts w:ascii="Arial Narrow" w:hAnsi="Arial Narrow"/>
                <w:b/>
                <w:sz w:val="16"/>
                <w:szCs w:val="16"/>
              </w:rPr>
            </w:pPr>
            <w:r w:rsidRPr="007E3F4B">
              <w:rPr>
                <w:rFonts w:ascii="Arial Narrow" w:hAnsi="Arial Narrow"/>
                <w:b/>
                <w:sz w:val="16"/>
                <w:szCs w:val="16"/>
              </w:rPr>
              <w:t>Δ</w:t>
            </w:r>
          </w:p>
        </w:tc>
        <w:tc>
          <w:tcPr>
            <w:tcW w:w="4678" w:type="dxa"/>
            <w:shd w:val="clear" w:color="auto" w:fill="D9D9D9" w:themeFill="background1" w:themeFillShade="D9"/>
          </w:tcPr>
          <w:p w:rsidR="0089521F" w:rsidRPr="007E3F4B" w:rsidRDefault="0089521F" w:rsidP="007E3F4B">
            <w:pPr>
              <w:tabs>
                <w:tab w:val="left" w:pos="161"/>
                <w:tab w:val="num" w:pos="900"/>
              </w:tabs>
              <w:spacing w:before="60" w:after="60"/>
              <w:rPr>
                <w:rFonts w:ascii="Arial Narrow" w:hAnsi="Arial Narrow"/>
                <w:b/>
                <w:sz w:val="16"/>
                <w:szCs w:val="16"/>
              </w:rPr>
            </w:pPr>
            <w:r w:rsidRPr="007E3F4B">
              <w:rPr>
                <w:rFonts w:ascii="Arial Narrow" w:hAnsi="Arial Narrow"/>
                <w:b/>
                <w:sz w:val="16"/>
                <w:szCs w:val="16"/>
              </w:rPr>
              <w:t>Εθνικολογιστικές προσαρμογές</w:t>
            </w:r>
          </w:p>
        </w:tc>
        <w:tc>
          <w:tcPr>
            <w:tcW w:w="992" w:type="dxa"/>
            <w:shd w:val="clear" w:color="auto" w:fill="D9D9D9" w:themeFill="background1" w:themeFillShade="D9"/>
            <w:vAlign w:val="center"/>
          </w:tcPr>
          <w:p w:rsidR="0089521F" w:rsidRPr="007E3F4B" w:rsidRDefault="0089521F" w:rsidP="007E3F4B">
            <w:pPr>
              <w:spacing w:before="60" w:after="60"/>
              <w:ind w:right="227"/>
              <w:jc w:val="right"/>
              <w:rPr>
                <w:rFonts w:ascii="Arial Narrow" w:hAnsi="Arial Narrow"/>
                <w:b/>
                <w:color w:val="000000"/>
                <w:sz w:val="16"/>
                <w:szCs w:val="16"/>
              </w:rPr>
            </w:pPr>
            <w:r w:rsidRPr="007E3F4B">
              <w:rPr>
                <w:rFonts w:ascii="Arial Narrow" w:hAnsi="Arial Narrow"/>
                <w:b/>
                <w:color w:val="000000"/>
                <w:sz w:val="16"/>
                <w:szCs w:val="16"/>
              </w:rPr>
              <w:t>-63</w:t>
            </w:r>
          </w:p>
        </w:tc>
        <w:tc>
          <w:tcPr>
            <w:tcW w:w="992" w:type="dxa"/>
            <w:shd w:val="clear" w:color="auto" w:fill="D9D9D9" w:themeFill="background1" w:themeFillShade="D9"/>
            <w:vAlign w:val="center"/>
          </w:tcPr>
          <w:p w:rsidR="0089521F" w:rsidRPr="007E3F4B" w:rsidRDefault="0089521F" w:rsidP="007E3F4B">
            <w:pPr>
              <w:spacing w:before="60" w:after="60"/>
              <w:ind w:right="227"/>
              <w:jc w:val="right"/>
              <w:rPr>
                <w:rFonts w:ascii="Arial Narrow" w:hAnsi="Arial Narrow"/>
                <w:b/>
                <w:color w:val="000000"/>
                <w:sz w:val="16"/>
                <w:szCs w:val="16"/>
              </w:rPr>
            </w:pPr>
            <w:r w:rsidRPr="007E3F4B">
              <w:rPr>
                <w:rFonts w:ascii="Arial Narrow" w:hAnsi="Arial Narrow"/>
                <w:b/>
                <w:color w:val="000000"/>
                <w:sz w:val="16"/>
                <w:szCs w:val="16"/>
              </w:rPr>
              <w:t>-7</w:t>
            </w:r>
          </w:p>
        </w:tc>
        <w:tc>
          <w:tcPr>
            <w:tcW w:w="867" w:type="dxa"/>
            <w:shd w:val="clear" w:color="auto" w:fill="D9D9D9" w:themeFill="background1" w:themeFillShade="D9"/>
            <w:vAlign w:val="center"/>
          </w:tcPr>
          <w:p w:rsidR="0089521F" w:rsidRPr="007E3F4B" w:rsidRDefault="0089521F" w:rsidP="007E3F4B">
            <w:pPr>
              <w:spacing w:before="60" w:after="60"/>
              <w:ind w:right="227"/>
              <w:jc w:val="right"/>
              <w:rPr>
                <w:rFonts w:ascii="Arial Narrow" w:hAnsi="Arial Narrow"/>
                <w:b/>
                <w:color w:val="000000"/>
                <w:sz w:val="16"/>
                <w:szCs w:val="16"/>
              </w:rPr>
            </w:pPr>
            <w:r w:rsidRPr="007E3F4B">
              <w:rPr>
                <w:rFonts w:ascii="Arial Narrow" w:hAnsi="Arial Narrow"/>
                <w:b/>
                <w:color w:val="000000"/>
                <w:sz w:val="16"/>
                <w:szCs w:val="16"/>
              </w:rPr>
              <w:t>35</w:t>
            </w:r>
          </w:p>
        </w:tc>
        <w:tc>
          <w:tcPr>
            <w:tcW w:w="976" w:type="dxa"/>
            <w:tcBorders>
              <w:right w:val="single" w:sz="4" w:space="0" w:color="auto"/>
            </w:tcBorders>
            <w:shd w:val="clear" w:color="auto" w:fill="D9D9D9" w:themeFill="background1" w:themeFillShade="D9"/>
            <w:vAlign w:val="center"/>
          </w:tcPr>
          <w:p w:rsidR="0089521F" w:rsidRPr="007E3F4B" w:rsidRDefault="0089521F" w:rsidP="007E3F4B">
            <w:pPr>
              <w:spacing w:before="60" w:after="60"/>
              <w:ind w:right="227"/>
              <w:jc w:val="right"/>
              <w:rPr>
                <w:rFonts w:ascii="Arial Narrow" w:hAnsi="Arial Narrow"/>
                <w:b/>
                <w:color w:val="000000"/>
                <w:sz w:val="16"/>
                <w:szCs w:val="16"/>
              </w:rPr>
            </w:pPr>
            <w:r w:rsidRPr="007E3F4B">
              <w:rPr>
                <w:rFonts w:ascii="Arial Narrow" w:hAnsi="Arial Narrow"/>
                <w:b/>
                <w:color w:val="000000"/>
                <w:sz w:val="16"/>
                <w:szCs w:val="16"/>
              </w:rPr>
              <w:t>-5</w:t>
            </w:r>
          </w:p>
        </w:tc>
      </w:tr>
      <w:tr w:rsidR="0089521F" w:rsidRPr="006B2DB8" w:rsidTr="00B01F9F">
        <w:trPr>
          <w:cantSplit/>
          <w:jc w:val="center"/>
        </w:trPr>
        <w:tc>
          <w:tcPr>
            <w:tcW w:w="312" w:type="dxa"/>
            <w:tcBorders>
              <w:left w:val="single" w:sz="4" w:space="0" w:color="auto"/>
            </w:tcBorders>
            <w:shd w:val="clear" w:color="auto" w:fill="FFFFFF"/>
          </w:tcPr>
          <w:p w:rsidR="0089521F" w:rsidRPr="006B2DB8" w:rsidRDefault="0089521F" w:rsidP="003625C5">
            <w:pPr>
              <w:tabs>
                <w:tab w:val="num" w:pos="900"/>
              </w:tabs>
              <w:jc w:val="right"/>
              <w:rPr>
                <w:rFonts w:ascii="Arial Narrow" w:hAnsi="Arial Narrow"/>
                <w:sz w:val="16"/>
                <w:szCs w:val="16"/>
              </w:rPr>
            </w:pPr>
          </w:p>
        </w:tc>
        <w:tc>
          <w:tcPr>
            <w:tcW w:w="4678" w:type="dxa"/>
            <w:shd w:val="clear" w:color="auto" w:fill="FFFFFF"/>
          </w:tcPr>
          <w:p w:rsidR="0089521F" w:rsidRPr="00BE3746" w:rsidRDefault="0089521F" w:rsidP="00BE3746">
            <w:pPr>
              <w:tabs>
                <w:tab w:val="left" w:pos="161"/>
                <w:tab w:val="num" w:pos="900"/>
              </w:tabs>
              <w:rPr>
                <w:rFonts w:ascii="Arial Narrow" w:hAnsi="Arial Narrow"/>
                <w:sz w:val="16"/>
                <w:szCs w:val="16"/>
              </w:rPr>
            </w:pP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p>
        </w:tc>
        <w:tc>
          <w:tcPr>
            <w:tcW w:w="992"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p>
        </w:tc>
        <w:tc>
          <w:tcPr>
            <w:tcW w:w="867" w:type="dxa"/>
            <w:shd w:val="clear" w:color="auto" w:fill="FFFFFF"/>
            <w:vAlign w:val="center"/>
          </w:tcPr>
          <w:p w:rsidR="0089521F" w:rsidRPr="0098186C" w:rsidRDefault="0089521F" w:rsidP="0089521F">
            <w:pPr>
              <w:ind w:right="227"/>
              <w:jc w:val="right"/>
              <w:rPr>
                <w:rFonts w:ascii="Arial Narrow" w:hAnsi="Arial Narrow"/>
                <w:color w:val="000000"/>
                <w:sz w:val="16"/>
                <w:szCs w:val="16"/>
              </w:rPr>
            </w:pPr>
          </w:p>
        </w:tc>
        <w:tc>
          <w:tcPr>
            <w:tcW w:w="976" w:type="dxa"/>
            <w:tcBorders>
              <w:right w:val="single" w:sz="4" w:space="0" w:color="auto"/>
            </w:tcBorders>
            <w:shd w:val="clear" w:color="auto" w:fill="FFFFFF"/>
            <w:vAlign w:val="center"/>
          </w:tcPr>
          <w:p w:rsidR="0089521F" w:rsidRPr="0098186C" w:rsidRDefault="0089521F" w:rsidP="0089521F">
            <w:pPr>
              <w:ind w:right="227"/>
              <w:jc w:val="right"/>
              <w:rPr>
                <w:rFonts w:ascii="Arial Narrow" w:hAnsi="Arial Narrow"/>
                <w:color w:val="000000"/>
                <w:sz w:val="16"/>
                <w:szCs w:val="16"/>
              </w:rPr>
            </w:pPr>
          </w:p>
        </w:tc>
      </w:tr>
      <w:tr w:rsidR="0089521F" w:rsidRPr="00BE3746" w:rsidTr="0089521F">
        <w:trPr>
          <w:cantSplit/>
          <w:jc w:val="center"/>
        </w:trPr>
        <w:tc>
          <w:tcPr>
            <w:tcW w:w="312" w:type="dxa"/>
            <w:tcBorders>
              <w:left w:val="single" w:sz="4" w:space="0" w:color="auto"/>
              <w:bottom w:val="single" w:sz="4" w:space="0" w:color="auto"/>
            </w:tcBorders>
            <w:shd w:val="clear" w:color="auto" w:fill="D9D9D9" w:themeFill="background1" w:themeFillShade="D9"/>
          </w:tcPr>
          <w:p w:rsidR="0089521F" w:rsidRPr="00BE3746" w:rsidRDefault="001C464E" w:rsidP="003625C5">
            <w:pPr>
              <w:tabs>
                <w:tab w:val="num" w:pos="900"/>
              </w:tabs>
              <w:spacing w:before="60" w:after="60"/>
              <w:jc w:val="right"/>
              <w:rPr>
                <w:rFonts w:ascii="Arial Narrow" w:hAnsi="Arial Narrow"/>
                <w:b/>
                <w:sz w:val="16"/>
                <w:szCs w:val="16"/>
              </w:rPr>
            </w:pPr>
            <w:r>
              <w:rPr>
                <w:rFonts w:ascii="Arial Narrow" w:hAnsi="Arial Narrow"/>
                <w:b/>
                <w:sz w:val="16"/>
                <w:szCs w:val="16"/>
              </w:rPr>
              <w:t>Ε</w:t>
            </w:r>
          </w:p>
        </w:tc>
        <w:tc>
          <w:tcPr>
            <w:tcW w:w="4678" w:type="dxa"/>
            <w:tcBorders>
              <w:bottom w:val="single" w:sz="4" w:space="0" w:color="auto"/>
            </w:tcBorders>
            <w:shd w:val="clear" w:color="auto" w:fill="D9D9D9" w:themeFill="background1" w:themeFillShade="D9"/>
          </w:tcPr>
          <w:p w:rsidR="0089521F" w:rsidRPr="001C464E" w:rsidRDefault="0089521F" w:rsidP="003625C5">
            <w:pPr>
              <w:tabs>
                <w:tab w:val="num" w:pos="900"/>
              </w:tabs>
              <w:spacing w:before="60" w:after="60"/>
              <w:rPr>
                <w:rFonts w:ascii="Arial Narrow" w:hAnsi="Arial Narrow"/>
                <w:b/>
                <w:sz w:val="16"/>
                <w:szCs w:val="16"/>
              </w:rPr>
            </w:pPr>
            <w:r>
              <w:rPr>
                <w:rFonts w:ascii="Arial Narrow" w:hAnsi="Arial Narrow"/>
                <w:b/>
                <w:sz w:val="16"/>
                <w:szCs w:val="16"/>
              </w:rPr>
              <w:t xml:space="preserve">Ισοζύγιο </w:t>
            </w:r>
            <w:r w:rsidRPr="00BE3746">
              <w:rPr>
                <w:rFonts w:ascii="Arial Narrow" w:hAnsi="Arial Narrow"/>
                <w:b/>
                <w:sz w:val="16"/>
                <w:szCs w:val="16"/>
              </w:rPr>
              <w:t xml:space="preserve">κατά </w:t>
            </w:r>
            <w:r w:rsidRPr="00BE3746">
              <w:rPr>
                <w:rFonts w:ascii="Arial Narrow" w:hAnsi="Arial Narrow"/>
                <w:b/>
                <w:sz w:val="16"/>
                <w:szCs w:val="16"/>
                <w:lang w:val="en-GB"/>
              </w:rPr>
              <w:t>ESA</w:t>
            </w:r>
            <w:r w:rsidR="001C464E">
              <w:rPr>
                <w:rFonts w:ascii="Arial Narrow" w:hAnsi="Arial Narrow"/>
                <w:b/>
                <w:sz w:val="16"/>
                <w:szCs w:val="16"/>
              </w:rPr>
              <w:t xml:space="preserve"> (Γ + Δ)</w:t>
            </w:r>
          </w:p>
        </w:tc>
        <w:tc>
          <w:tcPr>
            <w:tcW w:w="992" w:type="dxa"/>
            <w:tcBorders>
              <w:bottom w:val="single" w:sz="4" w:space="0" w:color="auto"/>
            </w:tcBorders>
            <w:shd w:val="clear" w:color="auto" w:fill="D9D9D9" w:themeFill="background1" w:themeFillShade="D9"/>
            <w:vAlign w:val="center"/>
          </w:tcPr>
          <w:p w:rsidR="0089521F" w:rsidRPr="0098186C" w:rsidRDefault="0089521F" w:rsidP="0089521F">
            <w:pPr>
              <w:ind w:right="227"/>
              <w:jc w:val="right"/>
              <w:rPr>
                <w:rFonts w:ascii="Arial Narrow" w:hAnsi="Arial Narrow"/>
                <w:b/>
                <w:bCs/>
                <w:color w:val="000000"/>
                <w:sz w:val="16"/>
                <w:szCs w:val="16"/>
              </w:rPr>
            </w:pPr>
            <w:r>
              <w:rPr>
                <w:rFonts w:ascii="Arial Narrow" w:hAnsi="Arial Narrow"/>
                <w:b/>
                <w:bCs/>
                <w:color w:val="000000"/>
                <w:sz w:val="16"/>
                <w:szCs w:val="16"/>
              </w:rPr>
              <w:t>482</w:t>
            </w:r>
          </w:p>
        </w:tc>
        <w:tc>
          <w:tcPr>
            <w:tcW w:w="992" w:type="dxa"/>
            <w:tcBorders>
              <w:bottom w:val="single" w:sz="4" w:space="0" w:color="auto"/>
            </w:tcBorders>
            <w:shd w:val="clear" w:color="auto" w:fill="D9D9D9" w:themeFill="background1" w:themeFillShade="D9"/>
            <w:vAlign w:val="center"/>
          </w:tcPr>
          <w:p w:rsidR="0089521F" w:rsidRPr="0098186C" w:rsidRDefault="007656AC" w:rsidP="0089521F">
            <w:pPr>
              <w:ind w:right="227"/>
              <w:jc w:val="right"/>
              <w:rPr>
                <w:rFonts w:ascii="Arial Narrow" w:hAnsi="Arial Narrow"/>
                <w:b/>
                <w:bCs/>
                <w:color w:val="000000"/>
                <w:sz w:val="16"/>
                <w:szCs w:val="16"/>
              </w:rPr>
            </w:pPr>
            <w:r>
              <w:rPr>
                <w:rFonts w:ascii="Arial Narrow" w:hAnsi="Arial Narrow"/>
                <w:b/>
                <w:bCs/>
                <w:color w:val="000000"/>
                <w:sz w:val="16"/>
                <w:szCs w:val="16"/>
              </w:rPr>
              <w:t>438</w:t>
            </w:r>
          </w:p>
        </w:tc>
        <w:tc>
          <w:tcPr>
            <w:tcW w:w="867" w:type="dxa"/>
            <w:tcBorders>
              <w:bottom w:val="single" w:sz="4" w:space="0" w:color="auto"/>
            </w:tcBorders>
            <w:shd w:val="clear" w:color="auto" w:fill="D9D9D9" w:themeFill="background1" w:themeFillShade="D9"/>
            <w:vAlign w:val="center"/>
          </w:tcPr>
          <w:p w:rsidR="0089521F" w:rsidRPr="0098186C" w:rsidRDefault="0089521F" w:rsidP="0089521F">
            <w:pPr>
              <w:ind w:right="227"/>
              <w:jc w:val="right"/>
              <w:rPr>
                <w:rFonts w:ascii="Arial Narrow" w:hAnsi="Arial Narrow"/>
                <w:b/>
                <w:bCs/>
                <w:color w:val="000000"/>
                <w:sz w:val="16"/>
                <w:szCs w:val="16"/>
              </w:rPr>
            </w:pPr>
            <w:r>
              <w:rPr>
                <w:rFonts w:ascii="Arial Narrow" w:hAnsi="Arial Narrow"/>
                <w:b/>
                <w:bCs/>
                <w:color w:val="000000"/>
                <w:sz w:val="16"/>
                <w:szCs w:val="16"/>
              </w:rPr>
              <w:t>259</w:t>
            </w:r>
          </w:p>
        </w:tc>
        <w:tc>
          <w:tcPr>
            <w:tcW w:w="976" w:type="dxa"/>
            <w:tcBorders>
              <w:bottom w:val="single" w:sz="4" w:space="0" w:color="auto"/>
              <w:right w:val="single" w:sz="4" w:space="0" w:color="auto"/>
            </w:tcBorders>
            <w:shd w:val="clear" w:color="auto" w:fill="D9D9D9" w:themeFill="background1" w:themeFillShade="D9"/>
            <w:vAlign w:val="center"/>
          </w:tcPr>
          <w:p w:rsidR="0089521F" w:rsidRPr="0098186C" w:rsidRDefault="0089521F" w:rsidP="0089521F">
            <w:pPr>
              <w:ind w:right="227"/>
              <w:jc w:val="right"/>
              <w:rPr>
                <w:rFonts w:ascii="Arial Narrow" w:hAnsi="Arial Narrow"/>
                <w:b/>
                <w:bCs/>
                <w:color w:val="000000"/>
                <w:sz w:val="16"/>
                <w:szCs w:val="16"/>
              </w:rPr>
            </w:pPr>
            <w:r>
              <w:rPr>
                <w:rFonts w:ascii="Arial Narrow" w:hAnsi="Arial Narrow"/>
                <w:b/>
                <w:bCs/>
                <w:color w:val="000000"/>
                <w:sz w:val="16"/>
                <w:szCs w:val="16"/>
              </w:rPr>
              <w:t>244</w:t>
            </w:r>
          </w:p>
        </w:tc>
      </w:tr>
    </w:tbl>
    <w:p w:rsidR="00577D00" w:rsidRDefault="00577D00">
      <w:pPr>
        <w:rPr>
          <w:rFonts w:ascii="Arial Narrow" w:hAnsi="Arial Narrow"/>
          <w:sz w:val="16"/>
        </w:rPr>
      </w:pPr>
    </w:p>
    <w:p w:rsidR="00EE0588" w:rsidRDefault="00EE0588">
      <w:pPr>
        <w:rPr>
          <w:sz w:val="22"/>
        </w:rPr>
      </w:pPr>
    </w:p>
    <w:p w:rsidR="00EE0588" w:rsidRDefault="00EE0588">
      <w:pPr>
        <w:rPr>
          <w:sz w:val="22"/>
        </w:rPr>
      </w:pPr>
      <w:r>
        <w:rPr>
          <w:sz w:val="22"/>
        </w:rPr>
        <w:br w:type="page"/>
      </w:r>
    </w:p>
    <w:p w:rsidR="005F39F3" w:rsidRDefault="005F39F3" w:rsidP="009E495E">
      <w:pPr>
        <w:jc w:val="both"/>
        <w:rPr>
          <w:sz w:val="22"/>
        </w:rPr>
      </w:pPr>
    </w:p>
    <w:p w:rsidR="00AC6072" w:rsidRPr="00E741C4" w:rsidRDefault="00143E34" w:rsidP="00AC6072">
      <w:pPr>
        <w:shd w:val="clear" w:color="auto" w:fill="595959"/>
        <w:jc w:val="both"/>
        <w:rPr>
          <w:rFonts w:ascii="Arial Narrow" w:hAnsi="Arial Narrow"/>
          <w:b/>
          <w:color w:val="FFFFFF"/>
          <w:sz w:val="26"/>
          <w:szCs w:val="22"/>
        </w:rPr>
      </w:pPr>
      <w:r>
        <w:rPr>
          <w:rFonts w:ascii="Arial Narrow" w:hAnsi="Arial Narrow"/>
          <w:b/>
          <w:color w:val="FFFFFF"/>
          <w:sz w:val="26"/>
          <w:szCs w:val="22"/>
        </w:rPr>
        <w:t>8</w:t>
      </w:r>
      <w:r w:rsidR="00AC6072" w:rsidRPr="00E741C4">
        <w:rPr>
          <w:rFonts w:ascii="Arial Narrow" w:hAnsi="Arial Narrow"/>
          <w:b/>
          <w:color w:val="FFFFFF"/>
          <w:sz w:val="26"/>
          <w:szCs w:val="22"/>
        </w:rPr>
        <w:t>.</w:t>
      </w:r>
      <w:r w:rsidR="00AC6072" w:rsidRPr="00E741C4">
        <w:rPr>
          <w:rFonts w:ascii="Arial Narrow" w:hAnsi="Arial Narrow"/>
          <w:b/>
          <w:color w:val="FFFFFF"/>
          <w:sz w:val="26"/>
          <w:szCs w:val="22"/>
        </w:rPr>
        <w:tab/>
      </w:r>
      <w:r w:rsidR="00AC6072">
        <w:rPr>
          <w:rFonts w:ascii="Arial Narrow" w:hAnsi="Arial Narrow"/>
          <w:b/>
          <w:color w:val="FFFFFF"/>
          <w:sz w:val="26"/>
          <w:szCs w:val="22"/>
        </w:rPr>
        <w:t>Ληξιπρόθεσμες υποχρεώσεις</w:t>
      </w:r>
    </w:p>
    <w:p w:rsidR="00AC6072" w:rsidRDefault="00AC6072" w:rsidP="00AC6072">
      <w:pPr>
        <w:jc w:val="both"/>
        <w:rPr>
          <w:b/>
        </w:rPr>
      </w:pPr>
    </w:p>
    <w:p w:rsidR="00B30B91" w:rsidRPr="00B30B91" w:rsidRDefault="00B30B91" w:rsidP="00B30B91">
      <w:pPr>
        <w:jc w:val="both"/>
        <w:rPr>
          <w:bCs/>
          <w:sz w:val="22"/>
        </w:rPr>
      </w:pPr>
      <w:r w:rsidRPr="00B30B91">
        <w:rPr>
          <w:bCs/>
          <w:sz w:val="22"/>
        </w:rPr>
        <w:t>Στο πλαίσιο της εποπτείας των οικονομικών των φορέων της Γενικής Κυβέρνησης, το Γενικό Λογιστήριο του Κράτους παρακολουθεί την πορεία των ληξιπρόθεσμων οφειλών τ</w:t>
      </w:r>
      <w:r w:rsidR="00482903">
        <w:rPr>
          <w:bCs/>
          <w:sz w:val="22"/>
        </w:rPr>
        <w:t>ους</w:t>
      </w:r>
      <w:r w:rsidRPr="00B30B91">
        <w:rPr>
          <w:bCs/>
          <w:sz w:val="22"/>
        </w:rPr>
        <w:t xml:space="preserve"> προς τρίτους (φορείς εκτός Γενικής Κυβέρνησης) και δημοσιεύει σε μηνιαία βάση τα σχετικά στοιχεία. </w:t>
      </w:r>
    </w:p>
    <w:p w:rsidR="00B30B91" w:rsidRPr="00B30B91" w:rsidRDefault="00B30B91" w:rsidP="00B30B91">
      <w:pPr>
        <w:jc w:val="both"/>
        <w:rPr>
          <w:bCs/>
          <w:sz w:val="22"/>
        </w:rPr>
      </w:pPr>
    </w:p>
    <w:p w:rsidR="00482903" w:rsidRDefault="00482903" w:rsidP="00482903">
      <w:pPr>
        <w:jc w:val="both"/>
        <w:rPr>
          <w:bCs/>
          <w:sz w:val="22"/>
        </w:rPr>
      </w:pPr>
      <w:r w:rsidRPr="007A0CC7">
        <w:rPr>
          <w:bCs/>
          <w:sz w:val="22"/>
        </w:rPr>
        <w:t>Η τήρηση του Μητρώου Δεσμεύσεων</w:t>
      </w:r>
      <w:r w:rsidR="005240EB">
        <w:rPr>
          <w:bCs/>
          <w:sz w:val="22"/>
        </w:rPr>
        <w:t>,</w:t>
      </w:r>
      <w:r w:rsidRPr="007A0CC7">
        <w:rPr>
          <w:bCs/>
          <w:sz w:val="22"/>
        </w:rPr>
        <w:t xml:space="preserve"> σε συνδυασμό με τη μηνιαία υποβολή στοιχείων στο Γενικό Λογιστήριο του Κράτους, αποτελεί βασικό εργαλείο για την παρακολούθηση, τον έλεγχο και την ορθή εκτέλεση των δαπανών, καθώς και για την ακριβή και αξιόπιστη αποτύπωση των υποχρεώσεων της Γενικής Κυβέρνησης. Από τη θεσμοθέτησή του το 2010 μέχρι σήμερα</w:t>
      </w:r>
      <w:r w:rsidRPr="00355AC8">
        <w:rPr>
          <w:bCs/>
          <w:sz w:val="22"/>
        </w:rPr>
        <w:t>,</w:t>
      </w:r>
      <w:r w:rsidRPr="007A0CC7">
        <w:rPr>
          <w:bCs/>
          <w:sz w:val="22"/>
        </w:rPr>
        <w:t xml:space="preserve"> έχει σημειωθεί σημαντική βελτίωση, τόσο ως προς το ποσοστό των φορέων που το τηρούν και αποστέλλουν στοιχεία στο Γενικό Λογιστήριο του Κράτους, όσο και ως προς την ποιότητα των στοιχείων.</w:t>
      </w:r>
    </w:p>
    <w:p w:rsidR="00482903" w:rsidRPr="007A0CC7" w:rsidRDefault="00482903" w:rsidP="00482903">
      <w:pPr>
        <w:jc w:val="both"/>
        <w:rPr>
          <w:bCs/>
          <w:sz w:val="22"/>
        </w:rPr>
      </w:pPr>
    </w:p>
    <w:p w:rsidR="00482903" w:rsidRPr="007A0CC7" w:rsidRDefault="00482903" w:rsidP="00482903">
      <w:pPr>
        <w:jc w:val="both"/>
        <w:rPr>
          <w:bCs/>
          <w:sz w:val="22"/>
        </w:rPr>
      </w:pPr>
      <w:r>
        <w:rPr>
          <w:bCs/>
          <w:sz w:val="22"/>
        </w:rPr>
        <w:t>Για την πληρέστερη</w:t>
      </w:r>
      <w:r w:rsidRPr="007A0CC7">
        <w:rPr>
          <w:bCs/>
          <w:sz w:val="22"/>
        </w:rPr>
        <w:t xml:space="preserve"> καταγραφή και παρακολούθηση των υποχρεώσεων, </w:t>
      </w:r>
      <w:r>
        <w:rPr>
          <w:bCs/>
          <w:sz w:val="22"/>
        </w:rPr>
        <w:t>των βασικών λόγων δημιουργίας ληξιπρόθεσμων υποχρεώσεων, καθώς και των πληρωμών</w:t>
      </w:r>
      <w:r w:rsidRPr="00D97532">
        <w:rPr>
          <w:bCs/>
          <w:sz w:val="22"/>
        </w:rPr>
        <w:t xml:space="preserve"> </w:t>
      </w:r>
      <w:r w:rsidRPr="007A0CC7">
        <w:rPr>
          <w:bCs/>
          <w:sz w:val="22"/>
        </w:rPr>
        <w:t>των φορέων της Γενικής Κυβέρνησης</w:t>
      </w:r>
      <w:r>
        <w:rPr>
          <w:bCs/>
          <w:sz w:val="22"/>
        </w:rPr>
        <w:t>,</w:t>
      </w:r>
      <w:r w:rsidRPr="007A0CC7">
        <w:rPr>
          <w:bCs/>
          <w:sz w:val="22"/>
        </w:rPr>
        <w:t xml:space="preserve"> </w:t>
      </w:r>
      <w:r>
        <w:rPr>
          <w:bCs/>
          <w:sz w:val="22"/>
        </w:rPr>
        <w:t xml:space="preserve">το 2018 ανασχεδιάστηκε το Μητρώο Δεσμεύσεων, η σύνοψη αυτού και οι σχετικές μηνιαίες και τριμηνιαίες εκθέσεις αναφοράς που υποβάλλονται στο </w:t>
      </w:r>
      <w:r w:rsidRPr="007A0CC7">
        <w:rPr>
          <w:bCs/>
          <w:sz w:val="22"/>
        </w:rPr>
        <w:t>Γενικό Λογιστήριο του Κράτους</w:t>
      </w:r>
      <w:r>
        <w:rPr>
          <w:bCs/>
          <w:sz w:val="22"/>
        </w:rPr>
        <w:t xml:space="preserve"> και παρασχέθηκαν αναλυτικές οδηγίες</w:t>
      </w:r>
      <w:r w:rsidRPr="007A0CC7">
        <w:rPr>
          <w:bCs/>
          <w:sz w:val="22"/>
        </w:rPr>
        <w:t>.</w:t>
      </w:r>
      <w:r>
        <w:rPr>
          <w:bCs/>
          <w:sz w:val="22"/>
        </w:rPr>
        <w:t xml:space="preserve"> Με την πλήρη εφαρμογή των ανωτέρω, από το σύνολο των φορέων της Γενικής Κυβέρνησης, θα καταστεί δυνατή η συλλογή αναλυτικότερων στοιχείων, ενισχύοντας το ρόλο</w:t>
      </w:r>
      <w:r w:rsidRPr="007A0CC7">
        <w:rPr>
          <w:bCs/>
          <w:sz w:val="22"/>
        </w:rPr>
        <w:t xml:space="preserve"> εποπτείας του Γενικ</w:t>
      </w:r>
      <w:r w:rsidRPr="004E57F2">
        <w:rPr>
          <w:bCs/>
          <w:sz w:val="22"/>
        </w:rPr>
        <w:t>ο</w:t>
      </w:r>
      <w:r>
        <w:rPr>
          <w:bCs/>
          <w:sz w:val="22"/>
        </w:rPr>
        <w:t>ύ Λογιστηρί</w:t>
      </w:r>
      <w:r w:rsidRPr="007A0CC7">
        <w:rPr>
          <w:bCs/>
          <w:sz w:val="22"/>
        </w:rPr>
        <w:t>ο</w:t>
      </w:r>
      <w:r>
        <w:rPr>
          <w:bCs/>
          <w:sz w:val="22"/>
        </w:rPr>
        <w:t>υ</w:t>
      </w:r>
      <w:r w:rsidRPr="007A0CC7">
        <w:rPr>
          <w:bCs/>
          <w:sz w:val="22"/>
        </w:rPr>
        <w:t xml:space="preserve"> του Κράτους</w:t>
      </w:r>
      <w:r>
        <w:rPr>
          <w:bCs/>
          <w:sz w:val="22"/>
        </w:rPr>
        <w:t xml:space="preserve"> επί των δημοσιονομικών στοιχείων της Γενικής Κυβέρνησης</w:t>
      </w:r>
      <w:r w:rsidRPr="007A0CC7">
        <w:rPr>
          <w:bCs/>
          <w:sz w:val="22"/>
        </w:rPr>
        <w:t>.</w:t>
      </w:r>
    </w:p>
    <w:p w:rsidR="00482903" w:rsidRDefault="00482903" w:rsidP="00482903">
      <w:pPr>
        <w:jc w:val="both"/>
        <w:rPr>
          <w:bCs/>
          <w:sz w:val="22"/>
        </w:rPr>
      </w:pPr>
    </w:p>
    <w:p w:rsidR="00482903" w:rsidRDefault="00482903" w:rsidP="00482903">
      <w:pPr>
        <w:jc w:val="both"/>
        <w:rPr>
          <w:bCs/>
          <w:sz w:val="22"/>
        </w:rPr>
      </w:pPr>
      <w:r>
        <w:rPr>
          <w:bCs/>
          <w:sz w:val="22"/>
        </w:rPr>
        <w:t xml:space="preserve">Σύμφωνα με τα στοιχεία </w:t>
      </w:r>
      <w:r w:rsidRPr="007A0CC7">
        <w:rPr>
          <w:bCs/>
          <w:sz w:val="22"/>
        </w:rPr>
        <w:t xml:space="preserve">που </w:t>
      </w:r>
      <w:r>
        <w:rPr>
          <w:bCs/>
          <w:sz w:val="22"/>
        </w:rPr>
        <w:t xml:space="preserve">συλλέγονται και </w:t>
      </w:r>
      <w:r w:rsidRPr="007A0CC7">
        <w:rPr>
          <w:bCs/>
          <w:sz w:val="22"/>
        </w:rPr>
        <w:t>δημοσιεύονται μηνιαίως από το Γενικό Λογιστήριο του Κράτους</w:t>
      </w:r>
      <w:r>
        <w:rPr>
          <w:bCs/>
          <w:sz w:val="22"/>
        </w:rPr>
        <w:t xml:space="preserve">, η πορεία </w:t>
      </w:r>
      <w:r w:rsidRPr="007A0CC7">
        <w:rPr>
          <w:bCs/>
          <w:sz w:val="22"/>
        </w:rPr>
        <w:t xml:space="preserve">των ληξιπρόθεσμων υποχρεώσεων της Γενικής Κυβέρνησης, συμπεριλαμβανομένων και των </w:t>
      </w:r>
      <w:r>
        <w:rPr>
          <w:bCs/>
          <w:sz w:val="22"/>
        </w:rPr>
        <w:t>εκκρεμών επιστροφών φόρων</w:t>
      </w:r>
      <w:r w:rsidRPr="007A0CC7">
        <w:rPr>
          <w:bCs/>
          <w:sz w:val="22"/>
        </w:rPr>
        <w:t xml:space="preserve">, </w:t>
      </w:r>
      <w:r>
        <w:rPr>
          <w:bCs/>
          <w:sz w:val="22"/>
        </w:rPr>
        <w:t xml:space="preserve">παρατίθεται στον </w:t>
      </w:r>
      <w:r w:rsidRPr="0063680D">
        <w:rPr>
          <w:bCs/>
          <w:sz w:val="22"/>
        </w:rPr>
        <w:t xml:space="preserve">πίνακα </w:t>
      </w:r>
      <w:r w:rsidR="001528EA">
        <w:rPr>
          <w:bCs/>
          <w:sz w:val="22"/>
        </w:rPr>
        <w:t>3.29.</w:t>
      </w:r>
    </w:p>
    <w:p w:rsidR="00B30B91" w:rsidRPr="00B30B91" w:rsidRDefault="00B30B91" w:rsidP="008E0CDE">
      <w:pPr>
        <w:jc w:val="both"/>
        <w:rPr>
          <w:bCs/>
          <w:sz w:val="22"/>
        </w:rPr>
      </w:pPr>
    </w:p>
    <w:tbl>
      <w:tblPr>
        <w:tblW w:w="896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3075"/>
        <w:gridCol w:w="911"/>
        <w:gridCol w:w="880"/>
        <w:gridCol w:w="850"/>
        <w:gridCol w:w="769"/>
        <w:gridCol w:w="851"/>
        <w:gridCol w:w="830"/>
        <w:gridCol w:w="798"/>
      </w:tblGrid>
      <w:tr w:rsidR="00B30B91" w:rsidRPr="00BD513F" w:rsidTr="0047505B">
        <w:trPr>
          <w:trHeight w:val="567"/>
          <w:jc w:val="center"/>
        </w:trPr>
        <w:tc>
          <w:tcPr>
            <w:tcW w:w="8964" w:type="dxa"/>
            <w:gridSpan w:val="8"/>
            <w:shd w:val="clear" w:color="000000" w:fill="404040"/>
          </w:tcPr>
          <w:p w:rsidR="00B30B91" w:rsidRPr="007A0CC7" w:rsidRDefault="00B30B91" w:rsidP="00B30B91">
            <w:pPr>
              <w:jc w:val="center"/>
              <w:rPr>
                <w:rFonts w:ascii="Arial Narrow" w:hAnsi="Arial Narrow"/>
                <w:b/>
                <w:bCs/>
                <w:color w:val="FFFFFF"/>
              </w:rPr>
            </w:pPr>
            <w:r w:rsidRPr="007A0CC7">
              <w:rPr>
                <w:rFonts w:ascii="Arial Narrow" w:hAnsi="Arial Narrow"/>
                <w:b/>
                <w:bCs/>
                <w:color w:val="FFFFFF"/>
              </w:rPr>
              <w:t xml:space="preserve">Πίνακας </w:t>
            </w:r>
            <w:r w:rsidRPr="00202514">
              <w:rPr>
                <w:rFonts w:ascii="Arial Narrow" w:hAnsi="Arial Narrow"/>
                <w:b/>
                <w:bCs/>
                <w:color w:val="FFFFFF"/>
              </w:rPr>
              <w:t>3.</w:t>
            </w:r>
            <w:r w:rsidR="001528EA">
              <w:rPr>
                <w:rFonts w:ascii="Arial Narrow" w:hAnsi="Arial Narrow"/>
                <w:b/>
                <w:bCs/>
                <w:color w:val="FFFFFF"/>
              </w:rPr>
              <w:t>29</w:t>
            </w:r>
            <w:r w:rsidRPr="007A0CC7">
              <w:rPr>
                <w:rFonts w:ascii="Arial Narrow" w:hAnsi="Arial Narrow"/>
                <w:b/>
                <w:bCs/>
                <w:color w:val="FFFFFF"/>
              </w:rPr>
              <w:t xml:space="preserve"> </w:t>
            </w:r>
            <w:r>
              <w:rPr>
                <w:rFonts w:ascii="Arial Narrow" w:hAnsi="Arial Narrow"/>
                <w:b/>
                <w:bCs/>
                <w:color w:val="FFFFFF"/>
              </w:rPr>
              <w:t>Ληξιπρόθεσμες</w:t>
            </w:r>
            <w:r w:rsidRPr="007A0CC7">
              <w:rPr>
                <w:rFonts w:ascii="Arial Narrow" w:hAnsi="Arial Narrow"/>
                <w:b/>
                <w:bCs/>
                <w:color w:val="FFFFFF"/>
              </w:rPr>
              <w:t xml:space="preserve"> υποχρεώσε</w:t>
            </w:r>
            <w:r>
              <w:rPr>
                <w:rFonts w:ascii="Arial Narrow" w:hAnsi="Arial Narrow"/>
                <w:b/>
                <w:bCs/>
                <w:color w:val="FFFFFF"/>
              </w:rPr>
              <w:t>ις</w:t>
            </w:r>
            <w:r w:rsidRPr="007A0CC7">
              <w:rPr>
                <w:rFonts w:ascii="Arial Narrow" w:hAnsi="Arial Narrow"/>
                <w:b/>
                <w:bCs/>
                <w:color w:val="FFFFFF"/>
              </w:rPr>
              <w:t xml:space="preserve"> Γενικής Κυβέρνησης</w:t>
            </w:r>
          </w:p>
          <w:p w:rsidR="00B30B91" w:rsidRPr="00BD513F" w:rsidRDefault="00B30B91" w:rsidP="00B30B91">
            <w:pPr>
              <w:jc w:val="center"/>
              <w:rPr>
                <w:b/>
                <w:bCs/>
                <w:color w:val="FFFFFF"/>
              </w:rPr>
            </w:pPr>
            <w:r w:rsidRPr="007A0CC7">
              <w:rPr>
                <w:rFonts w:ascii="Arial Narrow" w:hAnsi="Arial Narrow"/>
                <w:b/>
                <w:bCs/>
                <w:color w:val="FFFFFF"/>
              </w:rPr>
              <w:t>(σε εκατ. ευρώ)</w:t>
            </w:r>
          </w:p>
        </w:tc>
      </w:tr>
      <w:tr w:rsidR="00B30B91" w:rsidRPr="00BD513F" w:rsidTr="0047505B">
        <w:trPr>
          <w:trHeight w:hRule="exact" w:val="227"/>
          <w:jc w:val="center"/>
        </w:trPr>
        <w:tc>
          <w:tcPr>
            <w:tcW w:w="8964" w:type="dxa"/>
            <w:gridSpan w:val="8"/>
            <w:tcBorders>
              <w:bottom w:val="single" w:sz="4" w:space="0" w:color="auto"/>
            </w:tcBorders>
            <w:shd w:val="clear" w:color="auto" w:fill="auto"/>
            <w:noWrap/>
            <w:vAlign w:val="center"/>
            <w:hideMark/>
          </w:tcPr>
          <w:p w:rsidR="00B30B91" w:rsidRPr="00BD513F" w:rsidRDefault="00B30B91" w:rsidP="00B30B91">
            <w:pPr>
              <w:jc w:val="center"/>
              <w:rPr>
                <w:rFonts w:cs="Arial"/>
                <w:b/>
                <w:bCs/>
                <w:color w:val="000000"/>
              </w:rPr>
            </w:pPr>
          </w:p>
        </w:tc>
      </w:tr>
      <w:tr w:rsidR="00B30B91" w:rsidRPr="00F77B5D" w:rsidTr="0047505B">
        <w:trPr>
          <w:trHeight w:val="227"/>
          <w:jc w:val="center"/>
        </w:trPr>
        <w:tc>
          <w:tcPr>
            <w:tcW w:w="3075" w:type="dxa"/>
            <w:tcBorders>
              <w:top w:val="single" w:sz="4" w:space="0" w:color="auto"/>
              <w:bottom w:val="single" w:sz="4" w:space="0" w:color="auto"/>
              <w:right w:val="single" w:sz="4" w:space="0" w:color="auto"/>
            </w:tcBorders>
            <w:shd w:val="clear" w:color="auto" w:fill="auto"/>
            <w:noWrap/>
            <w:vAlign w:val="center"/>
            <w:hideMark/>
          </w:tcPr>
          <w:p w:rsidR="00B30B91" w:rsidRPr="007A0CC7" w:rsidRDefault="00B30B91" w:rsidP="00B30B91">
            <w:pPr>
              <w:rPr>
                <w:rFonts w:ascii="Arial Narrow" w:hAnsi="Arial Narrow"/>
                <w:b/>
                <w:bCs/>
                <w:color w:val="00000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tcMar>
              <w:right w:w="28" w:type="dxa"/>
            </w:tcMar>
            <w:vAlign w:val="center"/>
            <w:hideMark/>
          </w:tcPr>
          <w:p w:rsidR="00B30B91" w:rsidRPr="00F77B5D" w:rsidRDefault="005240EB" w:rsidP="0047505B">
            <w:pPr>
              <w:jc w:val="center"/>
              <w:rPr>
                <w:rFonts w:ascii="Arial Narrow" w:hAnsi="Arial Narrow"/>
                <w:b/>
                <w:bCs/>
                <w:color w:val="000000"/>
                <w:sz w:val="16"/>
                <w:szCs w:val="16"/>
              </w:rPr>
            </w:pPr>
            <w:r>
              <w:rPr>
                <w:rFonts w:ascii="Arial Narrow" w:hAnsi="Arial Narrow"/>
                <w:b/>
                <w:bCs/>
                <w:color w:val="000000"/>
                <w:sz w:val="16"/>
                <w:szCs w:val="16"/>
              </w:rPr>
              <w:t>Ιού</w:t>
            </w:r>
            <w:r w:rsidR="00B30B91">
              <w:rPr>
                <w:rFonts w:ascii="Arial Narrow" w:hAnsi="Arial Narrow"/>
                <w:b/>
                <w:bCs/>
                <w:color w:val="000000"/>
                <w:sz w:val="16"/>
                <w:szCs w:val="16"/>
              </w:rPr>
              <w:t>ν.</w:t>
            </w:r>
            <w:r w:rsidR="005201F3">
              <w:rPr>
                <w:rFonts w:ascii="Arial Narrow" w:hAnsi="Arial Narrow"/>
                <w:b/>
                <w:bCs/>
                <w:color w:val="000000"/>
                <w:sz w:val="16"/>
                <w:szCs w:val="16"/>
              </w:rPr>
              <w:t xml:space="preserve"> </w:t>
            </w:r>
            <w:r w:rsidR="00B30B91">
              <w:rPr>
                <w:rFonts w:ascii="Arial Narrow" w:hAnsi="Arial Narrow"/>
                <w:b/>
                <w:bCs/>
                <w:color w:val="000000"/>
                <w:sz w:val="16"/>
                <w:szCs w:val="16"/>
              </w:rPr>
              <w:t>2016</w:t>
            </w:r>
          </w:p>
        </w:tc>
        <w:tc>
          <w:tcPr>
            <w:tcW w:w="880" w:type="dxa"/>
            <w:tcBorders>
              <w:top w:val="single" w:sz="4" w:space="0" w:color="auto"/>
              <w:left w:val="single" w:sz="4" w:space="0" w:color="auto"/>
              <w:bottom w:val="single" w:sz="4" w:space="0" w:color="auto"/>
              <w:right w:val="single" w:sz="4" w:space="0" w:color="auto"/>
            </w:tcBorders>
            <w:tcMar>
              <w:right w:w="28" w:type="dxa"/>
            </w:tcMar>
            <w:vAlign w:val="center"/>
          </w:tcPr>
          <w:p w:rsidR="00B30B91" w:rsidRPr="00F77B5D" w:rsidRDefault="00B30B91" w:rsidP="0047505B">
            <w:pPr>
              <w:jc w:val="center"/>
              <w:rPr>
                <w:rFonts w:ascii="Arial Narrow" w:hAnsi="Arial Narrow"/>
                <w:b/>
                <w:bCs/>
                <w:color w:val="000000"/>
                <w:sz w:val="16"/>
                <w:szCs w:val="16"/>
              </w:rPr>
            </w:pPr>
            <w:r w:rsidRPr="00F77B5D">
              <w:rPr>
                <w:rFonts w:ascii="Arial Narrow" w:hAnsi="Arial Narrow"/>
                <w:b/>
                <w:bCs/>
                <w:color w:val="000000"/>
                <w:sz w:val="16"/>
                <w:szCs w:val="16"/>
              </w:rPr>
              <w:t>Δεκ. 2016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right w:w="28" w:type="dxa"/>
            </w:tcMar>
            <w:vAlign w:val="center"/>
            <w:hideMark/>
          </w:tcPr>
          <w:p w:rsidR="00B30B91" w:rsidRPr="00F77B5D" w:rsidRDefault="005240EB" w:rsidP="0047505B">
            <w:pPr>
              <w:jc w:val="center"/>
              <w:rPr>
                <w:rFonts w:ascii="Arial Narrow" w:hAnsi="Arial Narrow"/>
                <w:b/>
                <w:bCs/>
                <w:color w:val="000000"/>
                <w:sz w:val="16"/>
                <w:szCs w:val="16"/>
              </w:rPr>
            </w:pPr>
            <w:r>
              <w:rPr>
                <w:rFonts w:ascii="Arial Narrow" w:hAnsi="Arial Narrow" w:cs="Arial"/>
                <w:b/>
                <w:bCs/>
                <w:color w:val="000000"/>
                <w:sz w:val="16"/>
                <w:szCs w:val="16"/>
              </w:rPr>
              <w:t>Ιού</w:t>
            </w:r>
            <w:r w:rsidR="00B30B91">
              <w:rPr>
                <w:rFonts w:ascii="Arial Narrow" w:hAnsi="Arial Narrow" w:cs="Arial"/>
                <w:b/>
                <w:bCs/>
                <w:color w:val="000000"/>
                <w:sz w:val="16"/>
                <w:szCs w:val="16"/>
              </w:rPr>
              <w:t>ν</w:t>
            </w:r>
            <w:r w:rsidR="00B30B91" w:rsidRPr="00F77B5D">
              <w:rPr>
                <w:rFonts w:ascii="Arial Narrow" w:hAnsi="Arial Narrow" w:cs="Arial"/>
                <w:b/>
                <w:bCs/>
                <w:color w:val="000000"/>
                <w:sz w:val="16"/>
                <w:szCs w:val="16"/>
              </w:rPr>
              <w:t>. 2017</w:t>
            </w:r>
          </w:p>
        </w:tc>
        <w:tc>
          <w:tcPr>
            <w:tcW w:w="769" w:type="dxa"/>
            <w:tcBorders>
              <w:top w:val="single" w:sz="4" w:space="0" w:color="auto"/>
              <w:left w:val="single" w:sz="4" w:space="0" w:color="auto"/>
              <w:bottom w:val="single" w:sz="4" w:space="0" w:color="auto"/>
              <w:right w:val="single" w:sz="4" w:space="0" w:color="auto"/>
            </w:tcBorders>
            <w:tcMar>
              <w:right w:w="28" w:type="dxa"/>
            </w:tcMar>
            <w:vAlign w:val="center"/>
          </w:tcPr>
          <w:p w:rsidR="00B30B91" w:rsidRDefault="00B30B91" w:rsidP="0047505B">
            <w:pPr>
              <w:jc w:val="center"/>
              <w:rPr>
                <w:rFonts w:ascii="Arial Narrow" w:hAnsi="Arial Narrow" w:cs="Arial"/>
                <w:b/>
                <w:bCs/>
                <w:color w:val="000000"/>
                <w:sz w:val="16"/>
                <w:szCs w:val="16"/>
              </w:rPr>
            </w:pPr>
            <w:r>
              <w:rPr>
                <w:rFonts w:ascii="Arial Narrow" w:hAnsi="Arial Narrow" w:cs="Arial"/>
                <w:b/>
                <w:bCs/>
                <w:color w:val="000000"/>
                <w:sz w:val="16"/>
                <w:szCs w:val="16"/>
              </w:rPr>
              <w:t>Δεκ</w:t>
            </w:r>
            <w:r w:rsidRPr="00F77B5D">
              <w:rPr>
                <w:rFonts w:ascii="Arial Narrow" w:hAnsi="Arial Narrow" w:cs="Arial"/>
                <w:b/>
                <w:bCs/>
                <w:color w:val="000000"/>
                <w:sz w:val="16"/>
                <w:szCs w:val="16"/>
              </w:rPr>
              <w:t>. 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28" w:type="dxa"/>
            </w:tcMar>
            <w:vAlign w:val="center"/>
            <w:hideMark/>
          </w:tcPr>
          <w:p w:rsidR="00B30B91" w:rsidRPr="00F77B5D" w:rsidRDefault="005240EB" w:rsidP="0047505B">
            <w:pPr>
              <w:jc w:val="center"/>
              <w:rPr>
                <w:rFonts w:ascii="Arial Narrow" w:hAnsi="Arial Narrow"/>
                <w:b/>
                <w:bCs/>
                <w:color w:val="000000"/>
                <w:sz w:val="16"/>
                <w:szCs w:val="16"/>
              </w:rPr>
            </w:pPr>
            <w:r>
              <w:rPr>
                <w:rFonts w:ascii="Arial Narrow" w:hAnsi="Arial Narrow" w:cs="Arial"/>
                <w:b/>
                <w:bCs/>
                <w:color w:val="000000"/>
                <w:sz w:val="16"/>
                <w:szCs w:val="16"/>
              </w:rPr>
              <w:t>Μά</w:t>
            </w:r>
            <w:r w:rsidR="00B30B91">
              <w:rPr>
                <w:rFonts w:ascii="Arial Narrow" w:hAnsi="Arial Narrow" w:cs="Arial"/>
                <w:b/>
                <w:bCs/>
                <w:color w:val="000000"/>
                <w:sz w:val="16"/>
                <w:szCs w:val="16"/>
              </w:rPr>
              <w:t>ρ</w:t>
            </w:r>
            <w:r w:rsidR="00B30B91" w:rsidRPr="00F77B5D">
              <w:rPr>
                <w:rFonts w:ascii="Arial Narrow" w:hAnsi="Arial Narrow" w:cs="Arial"/>
                <w:b/>
                <w:bCs/>
                <w:color w:val="000000"/>
                <w:sz w:val="16"/>
                <w:szCs w:val="16"/>
              </w:rPr>
              <w:t>. 201</w:t>
            </w:r>
            <w:r w:rsidR="00B30B91">
              <w:rPr>
                <w:rFonts w:ascii="Arial Narrow" w:hAnsi="Arial Narrow" w:cs="Arial"/>
                <w:b/>
                <w:bCs/>
                <w:color w:val="000000"/>
                <w:sz w:val="16"/>
                <w:szCs w:val="16"/>
              </w:rPr>
              <w:t>8</w:t>
            </w:r>
          </w:p>
        </w:tc>
        <w:tc>
          <w:tcPr>
            <w:tcW w:w="830" w:type="dxa"/>
            <w:tcBorders>
              <w:top w:val="single" w:sz="4" w:space="0" w:color="auto"/>
              <w:left w:val="single" w:sz="4" w:space="0" w:color="auto"/>
              <w:bottom w:val="single" w:sz="4" w:space="0" w:color="auto"/>
              <w:right w:val="single" w:sz="4" w:space="0" w:color="auto"/>
            </w:tcBorders>
            <w:tcMar>
              <w:right w:w="28" w:type="dxa"/>
            </w:tcMar>
            <w:vAlign w:val="center"/>
          </w:tcPr>
          <w:p w:rsidR="00B30B91" w:rsidRPr="00F77B5D" w:rsidRDefault="005240EB" w:rsidP="0047505B">
            <w:pPr>
              <w:jc w:val="center"/>
              <w:rPr>
                <w:rFonts w:ascii="Arial Narrow" w:hAnsi="Arial Narrow" w:cs="Arial"/>
                <w:b/>
                <w:bCs/>
                <w:color w:val="000000"/>
                <w:sz w:val="16"/>
                <w:szCs w:val="16"/>
              </w:rPr>
            </w:pPr>
            <w:r>
              <w:rPr>
                <w:rFonts w:ascii="Arial Narrow" w:hAnsi="Arial Narrow" w:cs="Arial"/>
                <w:b/>
                <w:bCs/>
                <w:color w:val="000000"/>
                <w:sz w:val="16"/>
                <w:szCs w:val="16"/>
              </w:rPr>
              <w:t>Ιού</w:t>
            </w:r>
            <w:r w:rsidR="00B30B91">
              <w:rPr>
                <w:rFonts w:ascii="Arial Narrow" w:hAnsi="Arial Narrow" w:cs="Arial"/>
                <w:b/>
                <w:bCs/>
                <w:color w:val="000000"/>
                <w:sz w:val="16"/>
                <w:szCs w:val="16"/>
              </w:rPr>
              <w:t>ν. 2018</w:t>
            </w:r>
          </w:p>
        </w:tc>
        <w:tc>
          <w:tcPr>
            <w:tcW w:w="798" w:type="dxa"/>
            <w:tcBorders>
              <w:top w:val="single" w:sz="4" w:space="0" w:color="auto"/>
              <w:left w:val="single" w:sz="4" w:space="0" w:color="auto"/>
              <w:bottom w:val="single" w:sz="4" w:space="0" w:color="auto"/>
            </w:tcBorders>
            <w:shd w:val="clear" w:color="auto" w:fill="auto"/>
            <w:noWrap/>
            <w:tcMar>
              <w:right w:w="28" w:type="dxa"/>
            </w:tcMar>
            <w:vAlign w:val="center"/>
            <w:hideMark/>
          </w:tcPr>
          <w:p w:rsidR="00B30B91" w:rsidRPr="00F77B5D" w:rsidRDefault="00B30B91" w:rsidP="0047505B">
            <w:pPr>
              <w:jc w:val="center"/>
              <w:rPr>
                <w:rFonts w:ascii="Arial Narrow" w:hAnsi="Arial Narrow"/>
                <w:b/>
                <w:bCs/>
                <w:color w:val="000000"/>
                <w:sz w:val="16"/>
                <w:szCs w:val="16"/>
              </w:rPr>
            </w:pPr>
            <w:r w:rsidRPr="00B84239">
              <w:rPr>
                <w:rFonts w:ascii="Arial Narrow" w:hAnsi="Arial Narrow" w:cs="Arial"/>
                <w:b/>
                <w:bCs/>
                <w:color w:val="000000"/>
                <w:sz w:val="16"/>
                <w:szCs w:val="16"/>
              </w:rPr>
              <w:t>Σεπ</w:t>
            </w:r>
            <w:r w:rsidR="005240EB">
              <w:rPr>
                <w:rFonts w:ascii="Arial Narrow" w:hAnsi="Arial Narrow" w:cs="Arial"/>
                <w:b/>
                <w:bCs/>
                <w:color w:val="000000"/>
                <w:sz w:val="16"/>
                <w:szCs w:val="16"/>
              </w:rPr>
              <w:t>τ</w:t>
            </w:r>
            <w:r w:rsidRPr="00B84239">
              <w:rPr>
                <w:rFonts w:ascii="Arial Narrow" w:hAnsi="Arial Narrow" w:cs="Arial"/>
                <w:b/>
                <w:bCs/>
                <w:color w:val="000000"/>
                <w:sz w:val="16"/>
                <w:szCs w:val="16"/>
              </w:rPr>
              <w:t>. 2018</w:t>
            </w:r>
          </w:p>
        </w:tc>
      </w:tr>
      <w:tr w:rsidR="00B30B91" w:rsidRPr="00F77B5D" w:rsidTr="0047505B">
        <w:trPr>
          <w:trHeight w:val="227"/>
          <w:jc w:val="center"/>
        </w:trPr>
        <w:tc>
          <w:tcPr>
            <w:tcW w:w="3075" w:type="dxa"/>
            <w:tcBorders>
              <w:top w:val="single" w:sz="4" w:space="0" w:color="auto"/>
            </w:tcBorders>
            <w:shd w:val="clear" w:color="auto" w:fill="auto"/>
            <w:noWrap/>
            <w:vAlign w:val="center"/>
            <w:hideMark/>
          </w:tcPr>
          <w:p w:rsidR="00B30B91" w:rsidRPr="00F77B5D" w:rsidRDefault="00B30B91" w:rsidP="00B30B91">
            <w:pPr>
              <w:rPr>
                <w:rFonts w:ascii="Arial Narrow" w:hAnsi="Arial Narrow"/>
                <w:color w:val="000000"/>
                <w:sz w:val="16"/>
                <w:szCs w:val="16"/>
              </w:rPr>
            </w:pPr>
            <w:r w:rsidRPr="00F77B5D">
              <w:rPr>
                <w:rFonts w:ascii="Arial Narrow" w:hAnsi="Arial Narrow"/>
                <w:color w:val="000000"/>
                <w:sz w:val="16"/>
                <w:szCs w:val="16"/>
              </w:rPr>
              <w:t>Κρ</w:t>
            </w:r>
            <w:r>
              <w:rPr>
                <w:rFonts w:ascii="Arial Narrow" w:hAnsi="Arial Narrow"/>
                <w:color w:val="000000"/>
                <w:sz w:val="16"/>
                <w:szCs w:val="16"/>
              </w:rPr>
              <w:t xml:space="preserve">άτος </w:t>
            </w:r>
          </w:p>
        </w:tc>
        <w:tc>
          <w:tcPr>
            <w:tcW w:w="911" w:type="dxa"/>
            <w:tcBorders>
              <w:top w:val="single" w:sz="4" w:space="0" w:color="auto"/>
            </w:tcBorders>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656</w:t>
            </w:r>
          </w:p>
        </w:tc>
        <w:tc>
          <w:tcPr>
            <w:tcW w:w="880" w:type="dxa"/>
            <w:tcBorders>
              <w:top w:val="single" w:sz="4" w:space="0" w:color="auto"/>
            </w:tcBorders>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163</w:t>
            </w:r>
          </w:p>
        </w:tc>
        <w:tc>
          <w:tcPr>
            <w:tcW w:w="850" w:type="dxa"/>
            <w:tcBorders>
              <w:top w:val="single" w:sz="4" w:space="0" w:color="auto"/>
            </w:tcBorders>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233</w:t>
            </w:r>
          </w:p>
        </w:tc>
        <w:tc>
          <w:tcPr>
            <w:tcW w:w="769" w:type="dxa"/>
            <w:tcBorders>
              <w:top w:val="single" w:sz="4" w:space="0" w:color="auto"/>
            </w:tcBorders>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147</w:t>
            </w:r>
          </w:p>
        </w:tc>
        <w:tc>
          <w:tcPr>
            <w:tcW w:w="851" w:type="dxa"/>
            <w:tcBorders>
              <w:top w:val="single" w:sz="4" w:space="0" w:color="auto"/>
            </w:tcBorders>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186</w:t>
            </w:r>
          </w:p>
        </w:tc>
        <w:tc>
          <w:tcPr>
            <w:tcW w:w="830" w:type="dxa"/>
            <w:tcBorders>
              <w:top w:val="single" w:sz="4" w:space="0" w:color="auto"/>
            </w:tcBorders>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130</w:t>
            </w:r>
          </w:p>
        </w:tc>
        <w:tc>
          <w:tcPr>
            <w:tcW w:w="798" w:type="dxa"/>
            <w:tcBorders>
              <w:top w:val="single" w:sz="4" w:space="0" w:color="auto"/>
            </w:tcBorders>
            <w:shd w:val="clear" w:color="auto" w:fill="auto"/>
            <w:noWrap/>
            <w:tcMar>
              <w:right w:w="28" w:type="dxa"/>
            </w:tcMar>
            <w:vAlign w:val="center"/>
            <w:hideMark/>
          </w:tcPr>
          <w:p w:rsidR="00B30B91" w:rsidRPr="00F77B5D" w:rsidRDefault="00B84239" w:rsidP="0047505B">
            <w:pPr>
              <w:ind w:right="227"/>
              <w:jc w:val="right"/>
              <w:rPr>
                <w:rFonts w:ascii="Arial Narrow" w:hAnsi="Arial Narrow"/>
                <w:color w:val="000000"/>
                <w:sz w:val="16"/>
                <w:szCs w:val="16"/>
              </w:rPr>
            </w:pPr>
            <w:r>
              <w:rPr>
                <w:rFonts w:ascii="Arial Narrow" w:hAnsi="Arial Narrow"/>
                <w:color w:val="000000"/>
                <w:sz w:val="16"/>
                <w:szCs w:val="16"/>
              </w:rPr>
              <w:t>106</w:t>
            </w:r>
          </w:p>
        </w:tc>
      </w:tr>
      <w:tr w:rsidR="00B30B91" w:rsidRPr="00F77B5D" w:rsidTr="0047505B">
        <w:trPr>
          <w:trHeight w:val="227"/>
          <w:jc w:val="center"/>
        </w:trPr>
        <w:tc>
          <w:tcPr>
            <w:tcW w:w="3075" w:type="dxa"/>
            <w:shd w:val="clear" w:color="auto" w:fill="auto"/>
            <w:noWrap/>
            <w:vAlign w:val="center"/>
            <w:hideMark/>
          </w:tcPr>
          <w:p w:rsidR="00B30B91" w:rsidRPr="00F77B5D" w:rsidRDefault="00B30B91" w:rsidP="00B30B91">
            <w:pPr>
              <w:rPr>
                <w:rFonts w:ascii="Arial Narrow" w:hAnsi="Arial Narrow"/>
                <w:color w:val="000000"/>
                <w:sz w:val="16"/>
                <w:szCs w:val="16"/>
              </w:rPr>
            </w:pPr>
            <w:r w:rsidRPr="00131315">
              <w:rPr>
                <w:rFonts w:ascii="Arial Narrow" w:hAnsi="Arial Narrow"/>
                <w:color w:val="000000"/>
                <w:sz w:val="16"/>
                <w:szCs w:val="16"/>
              </w:rPr>
              <w:t>Οργανισμοί Τοπικής Αυτοδιοίκησης</w:t>
            </w:r>
            <w:r w:rsidR="005240EB">
              <w:rPr>
                <w:rFonts w:ascii="Arial Narrow" w:hAnsi="Arial Narrow"/>
                <w:color w:val="000000"/>
                <w:sz w:val="16"/>
                <w:szCs w:val="16"/>
              </w:rPr>
              <w:t xml:space="preserve"> (ΟΤΑ)</w:t>
            </w:r>
          </w:p>
        </w:tc>
        <w:tc>
          <w:tcPr>
            <w:tcW w:w="91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374</w:t>
            </w:r>
          </w:p>
        </w:tc>
        <w:tc>
          <w:tcPr>
            <w:tcW w:w="88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327</w:t>
            </w:r>
          </w:p>
        </w:tc>
        <w:tc>
          <w:tcPr>
            <w:tcW w:w="850"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370</w:t>
            </w:r>
          </w:p>
        </w:tc>
        <w:tc>
          <w:tcPr>
            <w:tcW w:w="769"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240</w:t>
            </w:r>
          </w:p>
        </w:tc>
        <w:tc>
          <w:tcPr>
            <w:tcW w:w="85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32</w:t>
            </w:r>
            <w:r w:rsidR="00482903">
              <w:rPr>
                <w:rFonts w:ascii="Arial Narrow" w:hAnsi="Arial Narrow"/>
                <w:color w:val="000000"/>
                <w:sz w:val="16"/>
                <w:szCs w:val="16"/>
              </w:rPr>
              <w:t>7</w:t>
            </w:r>
          </w:p>
        </w:tc>
        <w:tc>
          <w:tcPr>
            <w:tcW w:w="83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27</w:t>
            </w:r>
            <w:r w:rsidR="00B84239">
              <w:rPr>
                <w:rFonts w:ascii="Arial Narrow" w:hAnsi="Arial Narrow"/>
                <w:color w:val="000000"/>
                <w:sz w:val="16"/>
                <w:szCs w:val="16"/>
              </w:rPr>
              <w:t>8</w:t>
            </w:r>
          </w:p>
        </w:tc>
        <w:tc>
          <w:tcPr>
            <w:tcW w:w="798" w:type="dxa"/>
            <w:shd w:val="clear" w:color="auto" w:fill="auto"/>
            <w:noWrap/>
            <w:tcMar>
              <w:right w:w="28" w:type="dxa"/>
            </w:tcMar>
            <w:vAlign w:val="center"/>
            <w:hideMark/>
          </w:tcPr>
          <w:p w:rsidR="00B30B91" w:rsidRPr="00F77B5D" w:rsidRDefault="00B84239" w:rsidP="0047505B">
            <w:pPr>
              <w:ind w:right="227"/>
              <w:jc w:val="right"/>
              <w:rPr>
                <w:rFonts w:ascii="Arial Narrow" w:hAnsi="Arial Narrow"/>
                <w:color w:val="000000"/>
                <w:sz w:val="16"/>
                <w:szCs w:val="16"/>
              </w:rPr>
            </w:pPr>
            <w:r>
              <w:rPr>
                <w:rFonts w:ascii="Arial Narrow" w:hAnsi="Arial Narrow"/>
                <w:color w:val="000000"/>
                <w:sz w:val="16"/>
                <w:szCs w:val="16"/>
              </w:rPr>
              <w:t>264</w:t>
            </w:r>
          </w:p>
        </w:tc>
      </w:tr>
      <w:tr w:rsidR="00B30B91" w:rsidRPr="00F77B5D" w:rsidTr="0047505B">
        <w:trPr>
          <w:trHeight w:val="227"/>
          <w:jc w:val="center"/>
        </w:trPr>
        <w:tc>
          <w:tcPr>
            <w:tcW w:w="3075" w:type="dxa"/>
            <w:shd w:val="clear" w:color="auto" w:fill="auto"/>
            <w:noWrap/>
            <w:vAlign w:val="center"/>
            <w:hideMark/>
          </w:tcPr>
          <w:p w:rsidR="00B30B91" w:rsidRPr="00F77B5D" w:rsidRDefault="00B30B91" w:rsidP="00B30B91">
            <w:pPr>
              <w:rPr>
                <w:rFonts w:ascii="Arial Narrow" w:hAnsi="Arial Narrow"/>
                <w:color w:val="000000"/>
                <w:sz w:val="16"/>
                <w:szCs w:val="16"/>
              </w:rPr>
            </w:pPr>
            <w:r w:rsidRPr="00F77B5D">
              <w:rPr>
                <w:rFonts w:ascii="Arial Narrow" w:hAnsi="Arial Narrow"/>
                <w:color w:val="000000"/>
                <w:sz w:val="16"/>
                <w:szCs w:val="16"/>
              </w:rPr>
              <w:t>Οργανισμοί Κοινωνικής Ασφάλισης (ΟΚΑ)</w:t>
            </w:r>
          </w:p>
        </w:tc>
        <w:tc>
          <w:tcPr>
            <w:tcW w:w="91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3.144</w:t>
            </w:r>
          </w:p>
        </w:tc>
        <w:tc>
          <w:tcPr>
            <w:tcW w:w="88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2.346</w:t>
            </w:r>
          </w:p>
        </w:tc>
        <w:tc>
          <w:tcPr>
            <w:tcW w:w="850"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2.348</w:t>
            </w:r>
          </w:p>
        </w:tc>
        <w:tc>
          <w:tcPr>
            <w:tcW w:w="769"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1.531</w:t>
            </w:r>
          </w:p>
        </w:tc>
        <w:tc>
          <w:tcPr>
            <w:tcW w:w="85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1.314</w:t>
            </w:r>
          </w:p>
        </w:tc>
        <w:tc>
          <w:tcPr>
            <w:tcW w:w="83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918</w:t>
            </w:r>
          </w:p>
        </w:tc>
        <w:tc>
          <w:tcPr>
            <w:tcW w:w="798" w:type="dxa"/>
            <w:shd w:val="clear" w:color="auto" w:fill="auto"/>
            <w:noWrap/>
            <w:tcMar>
              <w:right w:w="28" w:type="dxa"/>
            </w:tcMar>
            <w:vAlign w:val="center"/>
            <w:hideMark/>
          </w:tcPr>
          <w:p w:rsidR="00B30B91" w:rsidRPr="00F77B5D" w:rsidRDefault="00B84239" w:rsidP="0047505B">
            <w:pPr>
              <w:ind w:right="227"/>
              <w:jc w:val="right"/>
              <w:rPr>
                <w:rFonts w:ascii="Arial Narrow" w:hAnsi="Arial Narrow"/>
                <w:color w:val="000000"/>
                <w:sz w:val="16"/>
                <w:szCs w:val="16"/>
              </w:rPr>
            </w:pPr>
            <w:r>
              <w:rPr>
                <w:rFonts w:ascii="Arial Narrow" w:hAnsi="Arial Narrow"/>
                <w:color w:val="000000"/>
                <w:sz w:val="16"/>
                <w:szCs w:val="16"/>
              </w:rPr>
              <w:t>833</w:t>
            </w:r>
          </w:p>
        </w:tc>
      </w:tr>
      <w:tr w:rsidR="00B30B91" w:rsidRPr="00934E68" w:rsidTr="0047505B">
        <w:trPr>
          <w:trHeight w:val="227"/>
          <w:jc w:val="center"/>
        </w:trPr>
        <w:tc>
          <w:tcPr>
            <w:tcW w:w="3075" w:type="dxa"/>
            <w:shd w:val="clear" w:color="auto" w:fill="auto"/>
            <w:noWrap/>
            <w:vAlign w:val="center"/>
            <w:hideMark/>
          </w:tcPr>
          <w:p w:rsidR="00B30B91" w:rsidRPr="00934E68" w:rsidRDefault="005201F3" w:rsidP="00B30B91">
            <w:pPr>
              <w:rPr>
                <w:rFonts w:ascii="Arial Narrow" w:hAnsi="Arial Narrow"/>
                <w:i/>
                <w:iCs/>
                <w:color w:val="000000"/>
                <w:sz w:val="16"/>
                <w:szCs w:val="16"/>
              </w:rPr>
            </w:pPr>
            <w:r>
              <w:rPr>
                <w:rFonts w:ascii="Arial Narrow" w:hAnsi="Arial Narrow"/>
                <w:i/>
                <w:iCs/>
                <w:color w:val="000000"/>
                <w:sz w:val="16"/>
                <w:szCs w:val="16"/>
              </w:rPr>
              <w:t xml:space="preserve">    </w:t>
            </w:r>
            <w:r w:rsidR="00B30B91" w:rsidRPr="00934E68">
              <w:rPr>
                <w:rFonts w:ascii="Arial Narrow" w:hAnsi="Arial Narrow"/>
                <w:i/>
                <w:iCs/>
                <w:color w:val="000000"/>
                <w:sz w:val="16"/>
                <w:szCs w:val="16"/>
              </w:rPr>
              <w:t>εκ των οποίων ΕΟΠΥΥ</w:t>
            </w:r>
          </w:p>
        </w:tc>
        <w:tc>
          <w:tcPr>
            <w:tcW w:w="911" w:type="dxa"/>
            <w:shd w:val="clear" w:color="auto" w:fill="auto"/>
            <w:noWrap/>
            <w:tcMar>
              <w:right w:w="28" w:type="dxa"/>
            </w:tcMar>
            <w:vAlign w:val="center"/>
            <w:hideMark/>
          </w:tcPr>
          <w:p w:rsidR="00B30B91" w:rsidRPr="00934E68" w:rsidRDefault="00B30B91" w:rsidP="0047505B">
            <w:pPr>
              <w:ind w:right="227"/>
              <w:jc w:val="right"/>
              <w:rPr>
                <w:rFonts w:ascii="Arial Narrow" w:hAnsi="Arial Narrow"/>
                <w:i/>
                <w:iCs/>
                <w:color w:val="000000"/>
                <w:sz w:val="16"/>
                <w:szCs w:val="16"/>
              </w:rPr>
            </w:pPr>
            <w:r w:rsidRPr="00934E68">
              <w:rPr>
                <w:rFonts w:ascii="Arial Narrow" w:hAnsi="Arial Narrow"/>
                <w:i/>
                <w:iCs/>
                <w:color w:val="000000"/>
                <w:sz w:val="16"/>
                <w:szCs w:val="16"/>
              </w:rPr>
              <w:t>1.831</w:t>
            </w:r>
          </w:p>
        </w:tc>
        <w:tc>
          <w:tcPr>
            <w:tcW w:w="880" w:type="dxa"/>
            <w:tcMar>
              <w:right w:w="28" w:type="dxa"/>
            </w:tcMar>
            <w:vAlign w:val="center"/>
          </w:tcPr>
          <w:p w:rsidR="00B30B91" w:rsidRPr="00934E68" w:rsidRDefault="00B30B91" w:rsidP="0047505B">
            <w:pPr>
              <w:ind w:right="227"/>
              <w:jc w:val="right"/>
              <w:rPr>
                <w:rFonts w:ascii="Arial Narrow" w:hAnsi="Arial Narrow"/>
                <w:i/>
                <w:iCs/>
                <w:color w:val="000000"/>
                <w:sz w:val="16"/>
                <w:szCs w:val="16"/>
              </w:rPr>
            </w:pPr>
            <w:r w:rsidRPr="00934E68">
              <w:rPr>
                <w:rFonts w:ascii="Arial Narrow" w:hAnsi="Arial Narrow"/>
                <w:i/>
                <w:iCs/>
                <w:color w:val="000000"/>
                <w:sz w:val="16"/>
                <w:szCs w:val="16"/>
              </w:rPr>
              <w:t>1.279</w:t>
            </w:r>
          </w:p>
        </w:tc>
        <w:tc>
          <w:tcPr>
            <w:tcW w:w="850" w:type="dxa"/>
            <w:shd w:val="clear" w:color="auto" w:fill="auto"/>
            <w:noWrap/>
            <w:tcMar>
              <w:right w:w="28" w:type="dxa"/>
            </w:tcMar>
            <w:vAlign w:val="center"/>
            <w:hideMark/>
          </w:tcPr>
          <w:p w:rsidR="00B30B91" w:rsidRPr="00934E68" w:rsidRDefault="00B30B91" w:rsidP="0047505B">
            <w:pPr>
              <w:ind w:right="227"/>
              <w:jc w:val="right"/>
              <w:rPr>
                <w:rFonts w:ascii="Arial Narrow" w:hAnsi="Arial Narrow"/>
                <w:i/>
                <w:iCs/>
                <w:color w:val="000000"/>
                <w:sz w:val="16"/>
                <w:szCs w:val="16"/>
              </w:rPr>
            </w:pPr>
            <w:r w:rsidRPr="00934E68">
              <w:rPr>
                <w:rFonts w:ascii="Arial Narrow" w:hAnsi="Arial Narrow"/>
                <w:i/>
                <w:iCs/>
                <w:color w:val="000000"/>
                <w:sz w:val="16"/>
                <w:szCs w:val="16"/>
              </w:rPr>
              <w:t>1.357</w:t>
            </w:r>
          </w:p>
        </w:tc>
        <w:tc>
          <w:tcPr>
            <w:tcW w:w="769" w:type="dxa"/>
            <w:tcMar>
              <w:right w:w="28" w:type="dxa"/>
            </w:tcMar>
            <w:vAlign w:val="center"/>
          </w:tcPr>
          <w:p w:rsidR="00B30B91" w:rsidRPr="00934E68" w:rsidRDefault="00B30B91" w:rsidP="0047505B">
            <w:pPr>
              <w:ind w:right="227"/>
              <w:jc w:val="right"/>
              <w:rPr>
                <w:rFonts w:ascii="Arial Narrow" w:hAnsi="Arial Narrow"/>
                <w:i/>
                <w:iCs/>
                <w:color w:val="000000"/>
                <w:sz w:val="16"/>
                <w:szCs w:val="16"/>
              </w:rPr>
            </w:pPr>
            <w:r w:rsidRPr="00934E68">
              <w:rPr>
                <w:rFonts w:ascii="Arial Narrow" w:hAnsi="Arial Narrow"/>
                <w:i/>
                <w:iCs/>
                <w:color w:val="000000"/>
                <w:sz w:val="16"/>
                <w:szCs w:val="16"/>
              </w:rPr>
              <w:t>532</w:t>
            </w:r>
          </w:p>
        </w:tc>
        <w:tc>
          <w:tcPr>
            <w:tcW w:w="851" w:type="dxa"/>
            <w:shd w:val="clear" w:color="auto" w:fill="auto"/>
            <w:noWrap/>
            <w:tcMar>
              <w:right w:w="28" w:type="dxa"/>
            </w:tcMar>
            <w:vAlign w:val="center"/>
            <w:hideMark/>
          </w:tcPr>
          <w:p w:rsidR="00B30B91" w:rsidRPr="00934E68" w:rsidRDefault="00B30B91" w:rsidP="0047505B">
            <w:pPr>
              <w:ind w:right="227"/>
              <w:jc w:val="right"/>
              <w:rPr>
                <w:rFonts w:ascii="Arial Narrow" w:hAnsi="Arial Narrow"/>
                <w:i/>
                <w:iCs/>
                <w:color w:val="000000"/>
                <w:sz w:val="16"/>
                <w:szCs w:val="16"/>
              </w:rPr>
            </w:pPr>
            <w:r w:rsidRPr="00934E68">
              <w:rPr>
                <w:rFonts w:ascii="Arial Narrow" w:hAnsi="Arial Narrow"/>
                <w:i/>
                <w:iCs/>
                <w:color w:val="000000"/>
                <w:sz w:val="16"/>
                <w:szCs w:val="16"/>
              </w:rPr>
              <w:t>485</w:t>
            </w:r>
          </w:p>
        </w:tc>
        <w:tc>
          <w:tcPr>
            <w:tcW w:w="830" w:type="dxa"/>
            <w:tcMar>
              <w:right w:w="28" w:type="dxa"/>
            </w:tcMar>
            <w:vAlign w:val="center"/>
          </w:tcPr>
          <w:p w:rsidR="00B30B91" w:rsidRPr="00934E68" w:rsidRDefault="00B30B91" w:rsidP="0047505B">
            <w:pPr>
              <w:ind w:right="227"/>
              <w:jc w:val="right"/>
              <w:rPr>
                <w:rFonts w:ascii="Arial Narrow" w:hAnsi="Arial Narrow"/>
                <w:i/>
                <w:iCs/>
                <w:color w:val="000000"/>
                <w:sz w:val="16"/>
                <w:szCs w:val="16"/>
              </w:rPr>
            </w:pPr>
            <w:r w:rsidRPr="00934E68">
              <w:rPr>
                <w:rFonts w:ascii="Arial Narrow" w:hAnsi="Arial Narrow"/>
                <w:i/>
                <w:iCs/>
                <w:color w:val="000000"/>
                <w:sz w:val="16"/>
                <w:szCs w:val="16"/>
              </w:rPr>
              <w:t>281</w:t>
            </w:r>
          </w:p>
        </w:tc>
        <w:tc>
          <w:tcPr>
            <w:tcW w:w="798" w:type="dxa"/>
            <w:shd w:val="clear" w:color="auto" w:fill="auto"/>
            <w:noWrap/>
            <w:tcMar>
              <w:right w:w="28" w:type="dxa"/>
            </w:tcMar>
            <w:vAlign w:val="center"/>
            <w:hideMark/>
          </w:tcPr>
          <w:p w:rsidR="00B30B91" w:rsidRPr="00934E68" w:rsidRDefault="00B84239" w:rsidP="0047505B">
            <w:pPr>
              <w:ind w:right="227"/>
              <w:jc w:val="right"/>
              <w:rPr>
                <w:rFonts w:ascii="Arial Narrow" w:hAnsi="Arial Narrow"/>
                <w:i/>
                <w:color w:val="000000"/>
                <w:sz w:val="16"/>
                <w:szCs w:val="16"/>
              </w:rPr>
            </w:pPr>
            <w:r w:rsidRPr="00934E68">
              <w:rPr>
                <w:rFonts w:ascii="Arial Narrow" w:hAnsi="Arial Narrow"/>
                <w:i/>
                <w:color w:val="000000"/>
                <w:sz w:val="16"/>
                <w:szCs w:val="16"/>
              </w:rPr>
              <w:t>252</w:t>
            </w:r>
          </w:p>
        </w:tc>
      </w:tr>
      <w:tr w:rsidR="00B30B91" w:rsidRPr="00F77B5D" w:rsidTr="0047505B">
        <w:trPr>
          <w:trHeight w:val="227"/>
          <w:jc w:val="center"/>
        </w:trPr>
        <w:tc>
          <w:tcPr>
            <w:tcW w:w="3075" w:type="dxa"/>
            <w:shd w:val="clear" w:color="auto" w:fill="auto"/>
            <w:noWrap/>
            <w:vAlign w:val="center"/>
            <w:hideMark/>
          </w:tcPr>
          <w:p w:rsidR="00B30B91" w:rsidRPr="00F77B5D" w:rsidRDefault="00B30B91" w:rsidP="00B30B91">
            <w:pPr>
              <w:ind w:right="-57"/>
              <w:rPr>
                <w:rFonts w:ascii="Arial Narrow" w:hAnsi="Arial Narrow"/>
                <w:color w:val="000000"/>
                <w:sz w:val="16"/>
                <w:szCs w:val="16"/>
              </w:rPr>
            </w:pPr>
            <w:r w:rsidRPr="00F77B5D">
              <w:rPr>
                <w:rFonts w:ascii="Arial Narrow" w:hAnsi="Arial Narrow"/>
                <w:color w:val="000000"/>
                <w:sz w:val="16"/>
                <w:szCs w:val="16"/>
              </w:rPr>
              <w:t>Νοσοκομεία</w:t>
            </w:r>
          </w:p>
        </w:tc>
        <w:tc>
          <w:tcPr>
            <w:tcW w:w="91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1.291</w:t>
            </w:r>
          </w:p>
        </w:tc>
        <w:tc>
          <w:tcPr>
            <w:tcW w:w="88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450</w:t>
            </w:r>
          </w:p>
        </w:tc>
        <w:tc>
          <w:tcPr>
            <w:tcW w:w="850"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554</w:t>
            </w:r>
          </w:p>
        </w:tc>
        <w:tc>
          <w:tcPr>
            <w:tcW w:w="769"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299</w:t>
            </w:r>
          </w:p>
        </w:tc>
        <w:tc>
          <w:tcPr>
            <w:tcW w:w="85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543</w:t>
            </w:r>
          </w:p>
        </w:tc>
        <w:tc>
          <w:tcPr>
            <w:tcW w:w="83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359</w:t>
            </w:r>
          </w:p>
        </w:tc>
        <w:tc>
          <w:tcPr>
            <w:tcW w:w="798" w:type="dxa"/>
            <w:shd w:val="clear" w:color="auto" w:fill="auto"/>
            <w:noWrap/>
            <w:tcMar>
              <w:right w:w="28" w:type="dxa"/>
            </w:tcMar>
            <w:vAlign w:val="center"/>
            <w:hideMark/>
          </w:tcPr>
          <w:p w:rsidR="00B30B91" w:rsidRPr="00F77B5D" w:rsidRDefault="00B84239" w:rsidP="0047505B">
            <w:pPr>
              <w:ind w:right="227"/>
              <w:jc w:val="right"/>
              <w:rPr>
                <w:rFonts w:ascii="Arial Narrow" w:hAnsi="Arial Narrow"/>
                <w:color w:val="000000"/>
                <w:sz w:val="16"/>
                <w:szCs w:val="16"/>
              </w:rPr>
            </w:pPr>
            <w:r>
              <w:rPr>
                <w:rFonts w:ascii="Arial Narrow" w:hAnsi="Arial Narrow"/>
                <w:color w:val="000000"/>
                <w:sz w:val="16"/>
                <w:szCs w:val="16"/>
              </w:rPr>
              <w:t>409</w:t>
            </w:r>
          </w:p>
        </w:tc>
      </w:tr>
      <w:tr w:rsidR="00B30B91" w:rsidRPr="00F77B5D" w:rsidTr="0047505B">
        <w:trPr>
          <w:trHeight w:val="227"/>
          <w:jc w:val="center"/>
        </w:trPr>
        <w:tc>
          <w:tcPr>
            <w:tcW w:w="3075" w:type="dxa"/>
            <w:shd w:val="clear" w:color="auto" w:fill="auto"/>
            <w:noWrap/>
            <w:vAlign w:val="center"/>
            <w:hideMark/>
          </w:tcPr>
          <w:p w:rsidR="00B30B91" w:rsidRPr="00F77B5D" w:rsidRDefault="00B30B91" w:rsidP="00B30B91">
            <w:pPr>
              <w:rPr>
                <w:rFonts w:ascii="Arial Narrow" w:hAnsi="Arial Narrow"/>
                <w:color w:val="000000"/>
                <w:sz w:val="16"/>
                <w:szCs w:val="16"/>
              </w:rPr>
            </w:pPr>
            <w:r w:rsidRPr="00F77B5D">
              <w:rPr>
                <w:rFonts w:ascii="Arial Narrow" w:hAnsi="Arial Narrow"/>
                <w:color w:val="000000"/>
                <w:sz w:val="16"/>
                <w:szCs w:val="16"/>
              </w:rPr>
              <w:t>Νομικά Πρόσωπα</w:t>
            </w:r>
          </w:p>
        </w:tc>
        <w:tc>
          <w:tcPr>
            <w:tcW w:w="91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634</w:t>
            </w:r>
          </w:p>
        </w:tc>
        <w:tc>
          <w:tcPr>
            <w:tcW w:w="88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419</w:t>
            </w:r>
          </w:p>
        </w:tc>
        <w:tc>
          <w:tcPr>
            <w:tcW w:w="850"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499</w:t>
            </w:r>
          </w:p>
        </w:tc>
        <w:tc>
          <w:tcPr>
            <w:tcW w:w="769" w:type="dxa"/>
            <w:tcMar>
              <w:right w:w="28" w:type="dxa"/>
            </w:tcMar>
            <w:vAlign w:val="center"/>
          </w:tcPr>
          <w:p w:rsidR="00B30B91" w:rsidRDefault="00482903" w:rsidP="0047505B">
            <w:pPr>
              <w:ind w:right="227"/>
              <w:jc w:val="right"/>
              <w:rPr>
                <w:rFonts w:ascii="Arial Narrow" w:hAnsi="Arial Narrow"/>
                <w:color w:val="000000"/>
                <w:sz w:val="16"/>
                <w:szCs w:val="16"/>
              </w:rPr>
            </w:pPr>
            <w:r>
              <w:rPr>
                <w:rFonts w:ascii="Arial Narrow" w:hAnsi="Arial Narrow"/>
                <w:color w:val="000000"/>
                <w:sz w:val="16"/>
                <w:szCs w:val="16"/>
              </w:rPr>
              <w:t>340</w:t>
            </w:r>
          </w:p>
        </w:tc>
        <w:tc>
          <w:tcPr>
            <w:tcW w:w="85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3</w:t>
            </w:r>
            <w:r w:rsidR="00482903">
              <w:rPr>
                <w:rFonts w:ascii="Arial Narrow" w:hAnsi="Arial Narrow"/>
                <w:color w:val="000000"/>
                <w:sz w:val="16"/>
                <w:szCs w:val="16"/>
              </w:rPr>
              <w:t>79</w:t>
            </w:r>
          </w:p>
        </w:tc>
        <w:tc>
          <w:tcPr>
            <w:tcW w:w="83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3</w:t>
            </w:r>
            <w:r w:rsidR="00B84239">
              <w:rPr>
                <w:rFonts w:ascii="Arial Narrow" w:hAnsi="Arial Narrow"/>
                <w:color w:val="000000"/>
                <w:sz w:val="16"/>
                <w:szCs w:val="16"/>
              </w:rPr>
              <w:t>23</w:t>
            </w:r>
          </w:p>
        </w:tc>
        <w:tc>
          <w:tcPr>
            <w:tcW w:w="798" w:type="dxa"/>
            <w:shd w:val="clear" w:color="auto" w:fill="auto"/>
            <w:noWrap/>
            <w:tcMar>
              <w:right w:w="28" w:type="dxa"/>
            </w:tcMar>
            <w:vAlign w:val="center"/>
            <w:hideMark/>
          </w:tcPr>
          <w:p w:rsidR="00B30B91" w:rsidRPr="00F77B5D" w:rsidRDefault="00B84239" w:rsidP="0047505B">
            <w:pPr>
              <w:ind w:right="227"/>
              <w:jc w:val="right"/>
              <w:rPr>
                <w:rFonts w:ascii="Arial Narrow" w:hAnsi="Arial Narrow"/>
                <w:color w:val="000000"/>
                <w:sz w:val="16"/>
                <w:szCs w:val="16"/>
              </w:rPr>
            </w:pPr>
            <w:r>
              <w:rPr>
                <w:rFonts w:ascii="Arial Narrow" w:hAnsi="Arial Narrow"/>
                <w:color w:val="000000"/>
                <w:sz w:val="16"/>
                <w:szCs w:val="16"/>
              </w:rPr>
              <w:t>301</w:t>
            </w:r>
          </w:p>
        </w:tc>
      </w:tr>
      <w:tr w:rsidR="00B30B91" w:rsidRPr="00F77B5D" w:rsidTr="00D01004">
        <w:trPr>
          <w:trHeight w:val="227"/>
          <w:jc w:val="center"/>
        </w:trPr>
        <w:tc>
          <w:tcPr>
            <w:tcW w:w="3075" w:type="dxa"/>
            <w:shd w:val="clear" w:color="auto" w:fill="D9D9D9" w:themeFill="background1" w:themeFillShade="D9"/>
            <w:noWrap/>
            <w:vAlign w:val="center"/>
            <w:hideMark/>
          </w:tcPr>
          <w:p w:rsidR="00B30B91" w:rsidRPr="00F77B5D" w:rsidRDefault="00B30B91" w:rsidP="00B30B91">
            <w:pPr>
              <w:rPr>
                <w:rFonts w:ascii="Arial Narrow" w:hAnsi="Arial Narrow"/>
                <w:b/>
                <w:bCs/>
                <w:color w:val="000000"/>
                <w:sz w:val="16"/>
                <w:szCs w:val="16"/>
              </w:rPr>
            </w:pPr>
            <w:r w:rsidRPr="00F77B5D">
              <w:rPr>
                <w:rFonts w:ascii="Arial Narrow" w:hAnsi="Arial Narrow" w:cs="Arial"/>
                <w:b/>
                <w:bCs/>
                <w:color w:val="000000"/>
                <w:sz w:val="16"/>
                <w:szCs w:val="16"/>
              </w:rPr>
              <w:t>Γενική Κυβέρνηση</w:t>
            </w:r>
          </w:p>
        </w:tc>
        <w:tc>
          <w:tcPr>
            <w:tcW w:w="911" w:type="dxa"/>
            <w:shd w:val="clear" w:color="auto" w:fill="D9D9D9" w:themeFill="background1" w:themeFillShade="D9"/>
            <w:tcMar>
              <w:right w:w="28" w:type="dxa"/>
            </w:tcMar>
            <w:vAlign w:val="center"/>
            <w:hideMark/>
          </w:tcPr>
          <w:p w:rsidR="00B30B91" w:rsidRDefault="00B30B91" w:rsidP="0047505B">
            <w:pPr>
              <w:ind w:right="227"/>
              <w:jc w:val="right"/>
              <w:rPr>
                <w:rFonts w:ascii="Arial Narrow" w:hAnsi="Arial Narrow"/>
                <w:b/>
                <w:bCs/>
                <w:color w:val="000000"/>
                <w:sz w:val="16"/>
                <w:szCs w:val="16"/>
              </w:rPr>
            </w:pPr>
            <w:r>
              <w:rPr>
                <w:rFonts w:ascii="Arial Narrow" w:hAnsi="Arial Narrow"/>
                <w:b/>
                <w:bCs/>
                <w:color w:val="000000"/>
                <w:sz w:val="16"/>
                <w:szCs w:val="16"/>
              </w:rPr>
              <w:t>6.100</w:t>
            </w:r>
          </w:p>
        </w:tc>
        <w:tc>
          <w:tcPr>
            <w:tcW w:w="880" w:type="dxa"/>
            <w:shd w:val="clear" w:color="auto" w:fill="D9D9D9" w:themeFill="background1" w:themeFillShade="D9"/>
            <w:tcMar>
              <w:right w:w="28" w:type="dxa"/>
            </w:tcMar>
            <w:vAlign w:val="center"/>
          </w:tcPr>
          <w:p w:rsidR="00B30B91" w:rsidRDefault="00B30B91" w:rsidP="0047505B">
            <w:pPr>
              <w:ind w:right="227"/>
              <w:jc w:val="right"/>
              <w:rPr>
                <w:rFonts w:ascii="Arial Narrow" w:hAnsi="Arial Narrow"/>
                <w:b/>
                <w:bCs/>
                <w:color w:val="000000"/>
                <w:sz w:val="16"/>
                <w:szCs w:val="16"/>
              </w:rPr>
            </w:pPr>
            <w:r>
              <w:rPr>
                <w:rFonts w:ascii="Arial Narrow" w:hAnsi="Arial Narrow"/>
                <w:b/>
                <w:bCs/>
                <w:color w:val="000000"/>
                <w:sz w:val="16"/>
                <w:szCs w:val="16"/>
              </w:rPr>
              <w:t>3.704</w:t>
            </w:r>
          </w:p>
        </w:tc>
        <w:tc>
          <w:tcPr>
            <w:tcW w:w="850" w:type="dxa"/>
            <w:shd w:val="clear" w:color="auto" w:fill="D9D9D9" w:themeFill="background1" w:themeFillShade="D9"/>
            <w:noWrap/>
            <w:tcMar>
              <w:right w:w="28" w:type="dxa"/>
            </w:tcMar>
            <w:vAlign w:val="center"/>
            <w:hideMark/>
          </w:tcPr>
          <w:p w:rsidR="00B30B91" w:rsidRDefault="00B30B91" w:rsidP="0047505B">
            <w:pPr>
              <w:ind w:right="227"/>
              <w:jc w:val="right"/>
              <w:rPr>
                <w:rFonts w:ascii="Arial Narrow" w:hAnsi="Arial Narrow"/>
                <w:b/>
                <w:bCs/>
                <w:color w:val="000000"/>
                <w:sz w:val="16"/>
                <w:szCs w:val="16"/>
              </w:rPr>
            </w:pPr>
            <w:r>
              <w:rPr>
                <w:rFonts w:ascii="Arial Narrow" w:hAnsi="Arial Narrow"/>
                <w:b/>
                <w:bCs/>
                <w:color w:val="000000"/>
                <w:sz w:val="16"/>
                <w:szCs w:val="16"/>
              </w:rPr>
              <w:t>4.005</w:t>
            </w:r>
          </w:p>
        </w:tc>
        <w:tc>
          <w:tcPr>
            <w:tcW w:w="769" w:type="dxa"/>
            <w:shd w:val="clear" w:color="auto" w:fill="D9D9D9" w:themeFill="background1" w:themeFillShade="D9"/>
            <w:tcMar>
              <w:right w:w="28" w:type="dxa"/>
            </w:tcMar>
            <w:vAlign w:val="center"/>
          </w:tcPr>
          <w:p w:rsidR="00B30B91" w:rsidRDefault="00B30B91" w:rsidP="0047505B">
            <w:pPr>
              <w:ind w:right="227"/>
              <w:jc w:val="right"/>
              <w:rPr>
                <w:rFonts w:ascii="Arial Narrow" w:hAnsi="Arial Narrow"/>
                <w:b/>
                <w:bCs/>
                <w:color w:val="000000"/>
                <w:sz w:val="16"/>
                <w:szCs w:val="16"/>
              </w:rPr>
            </w:pPr>
            <w:r>
              <w:rPr>
                <w:rFonts w:ascii="Arial Narrow" w:hAnsi="Arial Narrow"/>
                <w:b/>
                <w:bCs/>
                <w:color w:val="000000"/>
                <w:sz w:val="16"/>
                <w:szCs w:val="16"/>
              </w:rPr>
              <w:t>2.</w:t>
            </w:r>
            <w:r w:rsidR="00482903">
              <w:rPr>
                <w:rFonts w:ascii="Arial Narrow" w:hAnsi="Arial Narrow"/>
                <w:b/>
                <w:bCs/>
                <w:color w:val="000000"/>
                <w:sz w:val="16"/>
                <w:szCs w:val="16"/>
              </w:rPr>
              <w:t>556</w:t>
            </w:r>
          </w:p>
        </w:tc>
        <w:tc>
          <w:tcPr>
            <w:tcW w:w="851" w:type="dxa"/>
            <w:shd w:val="clear" w:color="auto" w:fill="D9D9D9" w:themeFill="background1" w:themeFillShade="D9"/>
            <w:noWrap/>
            <w:tcMar>
              <w:right w:w="28" w:type="dxa"/>
            </w:tcMar>
            <w:vAlign w:val="center"/>
            <w:hideMark/>
          </w:tcPr>
          <w:p w:rsidR="00B30B91" w:rsidRDefault="00B30B91" w:rsidP="0047505B">
            <w:pPr>
              <w:ind w:right="227"/>
              <w:jc w:val="right"/>
              <w:rPr>
                <w:rFonts w:ascii="Arial Narrow" w:hAnsi="Arial Narrow"/>
                <w:b/>
                <w:bCs/>
                <w:color w:val="000000"/>
                <w:sz w:val="16"/>
                <w:szCs w:val="16"/>
              </w:rPr>
            </w:pPr>
            <w:r>
              <w:rPr>
                <w:rFonts w:ascii="Arial Narrow" w:hAnsi="Arial Narrow"/>
                <w:b/>
                <w:bCs/>
                <w:color w:val="000000"/>
                <w:sz w:val="16"/>
                <w:szCs w:val="16"/>
              </w:rPr>
              <w:t>2.7</w:t>
            </w:r>
            <w:r w:rsidR="00482903">
              <w:rPr>
                <w:rFonts w:ascii="Arial Narrow" w:hAnsi="Arial Narrow"/>
                <w:b/>
                <w:bCs/>
                <w:color w:val="000000"/>
                <w:sz w:val="16"/>
                <w:szCs w:val="16"/>
              </w:rPr>
              <w:t>49</w:t>
            </w:r>
          </w:p>
        </w:tc>
        <w:tc>
          <w:tcPr>
            <w:tcW w:w="830" w:type="dxa"/>
            <w:shd w:val="clear" w:color="auto" w:fill="D9D9D9" w:themeFill="background1" w:themeFillShade="D9"/>
            <w:tcMar>
              <w:right w:w="28" w:type="dxa"/>
            </w:tcMar>
            <w:vAlign w:val="center"/>
          </w:tcPr>
          <w:p w:rsidR="00B30B91" w:rsidRDefault="00B30B91" w:rsidP="0047505B">
            <w:pPr>
              <w:ind w:right="227"/>
              <w:jc w:val="right"/>
              <w:rPr>
                <w:rFonts w:ascii="Arial Narrow" w:hAnsi="Arial Narrow"/>
                <w:b/>
                <w:bCs/>
                <w:color w:val="000000"/>
                <w:sz w:val="16"/>
                <w:szCs w:val="16"/>
              </w:rPr>
            </w:pPr>
            <w:r>
              <w:rPr>
                <w:rFonts w:ascii="Arial Narrow" w:hAnsi="Arial Narrow"/>
                <w:b/>
                <w:bCs/>
                <w:color w:val="000000"/>
                <w:sz w:val="16"/>
                <w:szCs w:val="16"/>
              </w:rPr>
              <w:t>2.0</w:t>
            </w:r>
            <w:r w:rsidR="00B84239">
              <w:rPr>
                <w:rFonts w:ascii="Arial Narrow" w:hAnsi="Arial Narrow"/>
                <w:b/>
                <w:bCs/>
                <w:color w:val="000000"/>
                <w:sz w:val="16"/>
                <w:szCs w:val="16"/>
              </w:rPr>
              <w:t>08</w:t>
            </w:r>
          </w:p>
        </w:tc>
        <w:tc>
          <w:tcPr>
            <w:tcW w:w="798" w:type="dxa"/>
            <w:shd w:val="clear" w:color="auto" w:fill="D9D9D9" w:themeFill="background1" w:themeFillShade="D9"/>
            <w:noWrap/>
            <w:tcMar>
              <w:right w:w="28" w:type="dxa"/>
            </w:tcMar>
            <w:vAlign w:val="center"/>
            <w:hideMark/>
          </w:tcPr>
          <w:p w:rsidR="00B30B91" w:rsidRPr="00F77B5D" w:rsidRDefault="00B84239" w:rsidP="0047505B">
            <w:pPr>
              <w:ind w:right="227"/>
              <w:jc w:val="right"/>
              <w:rPr>
                <w:rFonts w:ascii="Arial Narrow" w:hAnsi="Arial Narrow"/>
                <w:b/>
                <w:bCs/>
                <w:color w:val="000000"/>
                <w:sz w:val="16"/>
                <w:szCs w:val="16"/>
              </w:rPr>
            </w:pPr>
            <w:r>
              <w:rPr>
                <w:rFonts w:ascii="Arial Narrow" w:hAnsi="Arial Narrow"/>
                <w:b/>
                <w:bCs/>
                <w:color w:val="000000"/>
                <w:sz w:val="16"/>
                <w:szCs w:val="16"/>
              </w:rPr>
              <w:t>1.913</w:t>
            </w:r>
          </w:p>
        </w:tc>
      </w:tr>
      <w:tr w:rsidR="00B30B91" w:rsidRPr="00F77B5D" w:rsidTr="0047505B">
        <w:trPr>
          <w:trHeight w:val="227"/>
          <w:jc w:val="center"/>
        </w:trPr>
        <w:tc>
          <w:tcPr>
            <w:tcW w:w="3075" w:type="dxa"/>
            <w:shd w:val="clear" w:color="auto" w:fill="auto"/>
            <w:noWrap/>
            <w:vAlign w:val="center"/>
            <w:hideMark/>
          </w:tcPr>
          <w:p w:rsidR="00B30B91" w:rsidRPr="00F77B5D" w:rsidRDefault="00B30B91" w:rsidP="00B30B91">
            <w:pPr>
              <w:rPr>
                <w:rFonts w:ascii="Arial Narrow" w:hAnsi="Arial Narrow"/>
                <w:color w:val="000000"/>
                <w:sz w:val="16"/>
                <w:szCs w:val="16"/>
              </w:rPr>
            </w:pPr>
            <w:r w:rsidRPr="00F77B5D">
              <w:rPr>
                <w:rFonts w:ascii="Arial Narrow" w:hAnsi="Arial Narrow"/>
                <w:color w:val="000000"/>
                <w:sz w:val="16"/>
                <w:szCs w:val="16"/>
              </w:rPr>
              <w:t>Εκκρεμείς επιστροφές φόρων</w:t>
            </w:r>
          </w:p>
        </w:tc>
        <w:tc>
          <w:tcPr>
            <w:tcW w:w="91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1.306</w:t>
            </w:r>
          </w:p>
        </w:tc>
        <w:tc>
          <w:tcPr>
            <w:tcW w:w="88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1.226</w:t>
            </w:r>
          </w:p>
        </w:tc>
        <w:tc>
          <w:tcPr>
            <w:tcW w:w="850"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1.252</w:t>
            </w:r>
          </w:p>
        </w:tc>
        <w:tc>
          <w:tcPr>
            <w:tcW w:w="769"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765</w:t>
            </w:r>
          </w:p>
        </w:tc>
        <w:tc>
          <w:tcPr>
            <w:tcW w:w="851" w:type="dxa"/>
            <w:shd w:val="clear" w:color="auto" w:fill="auto"/>
            <w:noWrap/>
            <w:tcMar>
              <w:right w:w="28" w:type="dxa"/>
            </w:tcMar>
            <w:vAlign w:val="center"/>
            <w:hideMark/>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675</w:t>
            </w:r>
          </w:p>
        </w:tc>
        <w:tc>
          <w:tcPr>
            <w:tcW w:w="830" w:type="dxa"/>
            <w:tcMar>
              <w:right w:w="28" w:type="dxa"/>
            </w:tcMar>
            <w:vAlign w:val="center"/>
          </w:tcPr>
          <w:p w:rsidR="00B30B91" w:rsidRDefault="00B30B91" w:rsidP="0047505B">
            <w:pPr>
              <w:ind w:right="227"/>
              <w:jc w:val="right"/>
              <w:rPr>
                <w:rFonts w:ascii="Arial Narrow" w:hAnsi="Arial Narrow"/>
                <w:color w:val="000000"/>
                <w:sz w:val="16"/>
                <w:szCs w:val="16"/>
              </w:rPr>
            </w:pPr>
            <w:r>
              <w:rPr>
                <w:rFonts w:ascii="Arial Narrow" w:hAnsi="Arial Narrow"/>
                <w:color w:val="000000"/>
                <w:sz w:val="16"/>
                <w:szCs w:val="16"/>
              </w:rPr>
              <w:t>706</w:t>
            </w:r>
          </w:p>
        </w:tc>
        <w:tc>
          <w:tcPr>
            <w:tcW w:w="798" w:type="dxa"/>
            <w:shd w:val="clear" w:color="auto" w:fill="auto"/>
            <w:noWrap/>
            <w:tcMar>
              <w:right w:w="28" w:type="dxa"/>
            </w:tcMar>
            <w:vAlign w:val="center"/>
            <w:hideMark/>
          </w:tcPr>
          <w:p w:rsidR="00B30B91" w:rsidRPr="00F77B5D" w:rsidRDefault="00B84239" w:rsidP="0047505B">
            <w:pPr>
              <w:ind w:right="227"/>
              <w:jc w:val="right"/>
              <w:rPr>
                <w:rFonts w:ascii="Arial Narrow" w:hAnsi="Arial Narrow"/>
                <w:color w:val="000000"/>
                <w:sz w:val="16"/>
                <w:szCs w:val="16"/>
              </w:rPr>
            </w:pPr>
            <w:r>
              <w:rPr>
                <w:rFonts w:ascii="Arial Narrow" w:hAnsi="Arial Narrow"/>
                <w:color w:val="000000"/>
                <w:sz w:val="16"/>
                <w:szCs w:val="16"/>
              </w:rPr>
              <w:t>699</w:t>
            </w:r>
          </w:p>
        </w:tc>
      </w:tr>
      <w:tr w:rsidR="00B30B91" w:rsidRPr="00F77B5D" w:rsidTr="00D01004">
        <w:trPr>
          <w:trHeight w:val="227"/>
          <w:jc w:val="center"/>
        </w:trPr>
        <w:tc>
          <w:tcPr>
            <w:tcW w:w="3075" w:type="dxa"/>
            <w:shd w:val="clear" w:color="auto" w:fill="D9D9D9" w:themeFill="background1" w:themeFillShade="D9"/>
            <w:noWrap/>
            <w:vAlign w:val="center"/>
            <w:hideMark/>
          </w:tcPr>
          <w:p w:rsidR="00B30B91" w:rsidRPr="00F77B5D" w:rsidRDefault="00B30B91" w:rsidP="000B6618">
            <w:pPr>
              <w:rPr>
                <w:rFonts w:ascii="Arial Narrow" w:hAnsi="Arial Narrow"/>
                <w:b/>
                <w:bCs/>
                <w:color w:val="000000"/>
                <w:sz w:val="16"/>
                <w:szCs w:val="16"/>
              </w:rPr>
            </w:pPr>
            <w:r w:rsidRPr="00F77B5D">
              <w:rPr>
                <w:rFonts w:ascii="Arial Narrow" w:hAnsi="Arial Narrow" w:cs="Arial"/>
                <w:b/>
                <w:bCs/>
                <w:color w:val="000000"/>
                <w:sz w:val="16"/>
                <w:szCs w:val="16"/>
              </w:rPr>
              <w:t>Σύνολο</w:t>
            </w:r>
          </w:p>
        </w:tc>
        <w:tc>
          <w:tcPr>
            <w:tcW w:w="911" w:type="dxa"/>
            <w:shd w:val="clear" w:color="auto" w:fill="D9D9D9" w:themeFill="background1" w:themeFillShade="D9"/>
            <w:tcMar>
              <w:right w:w="28" w:type="dxa"/>
            </w:tcMar>
            <w:vAlign w:val="center"/>
            <w:hideMark/>
          </w:tcPr>
          <w:p w:rsidR="00B30B91" w:rsidRDefault="00B30B91" w:rsidP="000B6618">
            <w:pPr>
              <w:ind w:right="227"/>
              <w:jc w:val="right"/>
              <w:rPr>
                <w:rFonts w:ascii="Arial Narrow" w:hAnsi="Arial Narrow"/>
                <w:b/>
                <w:bCs/>
                <w:color w:val="000000"/>
                <w:sz w:val="16"/>
                <w:szCs w:val="16"/>
              </w:rPr>
            </w:pPr>
            <w:r>
              <w:rPr>
                <w:rFonts w:ascii="Arial Narrow" w:hAnsi="Arial Narrow"/>
                <w:b/>
                <w:bCs/>
                <w:color w:val="000000"/>
                <w:sz w:val="16"/>
                <w:szCs w:val="16"/>
              </w:rPr>
              <w:t>7.405</w:t>
            </w:r>
          </w:p>
        </w:tc>
        <w:tc>
          <w:tcPr>
            <w:tcW w:w="880" w:type="dxa"/>
            <w:shd w:val="clear" w:color="auto" w:fill="D9D9D9" w:themeFill="background1" w:themeFillShade="D9"/>
            <w:tcMar>
              <w:right w:w="28" w:type="dxa"/>
            </w:tcMar>
            <w:vAlign w:val="center"/>
          </w:tcPr>
          <w:p w:rsidR="00B30B91" w:rsidRDefault="00B30B91" w:rsidP="000B6618">
            <w:pPr>
              <w:ind w:right="227"/>
              <w:jc w:val="right"/>
              <w:rPr>
                <w:rFonts w:ascii="Arial Narrow" w:hAnsi="Arial Narrow"/>
                <w:b/>
                <w:bCs/>
                <w:color w:val="000000"/>
                <w:sz w:val="16"/>
                <w:szCs w:val="16"/>
              </w:rPr>
            </w:pPr>
            <w:r>
              <w:rPr>
                <w:rFonts w:ascii="Arial Narrow" w:hAnsi="Arial Narrow"/>
                <w:b/>
                <w:bCs/>
                <w:color w:val="000000"/>
                <w:sz w:val="16"/>
                <w:szCs w:val="16"/>
              </w:rPr>
              <w:t>4.930</w:t>
            </w:r>
          </w:p>
        </w:tc>
        <w:tc>
          <w:tcPr>
            <w:tcW w:w="850" w:type="dxa"/>
            <w:shd w:val="clear" w:color="auto" w:fill="D9D9D9" w:themeFill="background1" w:themeFillShade="D9"/>
            <w:noWrap/>
            <w:tcMar>
              <w:right w:w="28" w:type="dxa"/>
            </w:tcMar>
            <w:vAlign w:val="center"/>
            <w:hideMark/>
          </w:tcPr>
          <w:p w:rsidR="00B30B91" w:rsidRDefault="00B30B91" w:rsidP="000B6618">
            <w:pPr>
              <w:ind w:right="227"/>
              <w:jc w:val="right"/>
              <w:rPr>
                <w:rFonts w:ascii="Arial Narrow" w:hAnsi="Arial Narrow"/>
                <w:b/>
                <w:bCs/>
                <w:color w:val="000000"/>
                <w:sz w:val="16"/>
                <w:szCs w:val="16"/>
              </w:rPr>
            </w:pPr>
            <w:r>
              <w:rPr>
                <w:rFonts w:ascii="Arial Narrow" w:hAnsi="Arial Narrow"/>
                <w:b/>
                <w:bCs/>
                <w:color w:val="000000"/>
                <w:sz w:val="16"/>
                <w:szCs w:val="16"/>
              </w:rPr>
              <w:t>5.257</w:t>
            </w:r>
          </w:p>
        </w:tc>
        <w:tc>
          <w:tcPr>
            <w:tcW w:w="769" w:type="dxa"/>
            <w:shd w:val="clear" w:color="auto" w:fill="D9D9D9" w:themeFill="background1" w:themeFillShade="D9"/>
            <w:tcMar>
              <w:right w:w="28" w:type="dxa"/>
            </w:tcMar>
            <w:vAlign w:val="center"/>
          </w:tcPr>
          <w:p w:rsidR="00B30B91" w:rsidRDefault="00B30B91" w:rsidP="000B6618">
            <w:pPr>
              <w:ind w:right="227"/>
              <w:jc w:val="right"/>
              <w:rPr>
                <w:rFonts w:ascii="Arial Narrow" w:hAnsi="Arial Narrow"/>
                <w:b/>
                <w:bCs/>
                <w:color w:val="000000"/>
                <w:sz w:val="16"/>
                <w:szCs w:val="16"/>
              </w:rPr>
            </w:pPr>
            <w:r>
              <w:rPr>
                <w:rFonts w:ascii="Arial Narrow" w:hAnsi="Arial Narrow"/>
                <w:b/>
                <w:bCs/>
                <w:color w:val="000000"/>
                <w:sz w:val="16"/>
                <w:szCs w:val="16"/>
              </w:rPr>
              <w:t>3.3</w:t>
            </w:r>
            <w:r w:rsidR="00482903">
              <w:rPr>
                <w:rFonts w:ascii="Arial Narrow" w:hAnsi="Arial Narrow"/>
                <w:b/>
                <w:bCs/>
                <w:color w:val="000000"/>
                <w:sz w:val="16"/>
                <w:szCs w:val="16"/>
              </w:rPr>
              <w:t>22</w:t>
            </w:r>
          </w:p>
        </w:tc>
        <w:tc>
          <w:tcPr>
            <w:tcW w:w="851" w:type="dxa"/>
            <w:shd w:val="clear" w:color="auto" w:fill="D9D9D9" w:themeFill="background1" w:themeFillShade="D9"/>
            <w:noWrap/>
            <w:tcMar>
              <w:right w:w="28" w:type="dxa"/>
            </w:tcMar>
            <w:vAlign w:val="center"/>
            <w:hideMark/>
          </w:tcPr>
          <w:p w:rsidR="00B30B91" w:rsidRDefault="00B30B91" w:rsidP="000B6618">
            <w:pPr>
              <w:ind w:right="227"/>
              <w:jc w:val="right"/>
              <w:rPr>
                <w:rFonts w:ascii="Arial Narrow" w:hAnsi="Arial Narrow"/>
                <w:b/>
                <w:bCs/>
                <w:color w:val="000000"/>
                <w:sz w:val="16"/>
                <w:szCs w:val="16"/>
              </w:rPr>
            </w:pPr>
            <w:r>
              <w:rPr>
                <w:rFonts w:ascii="Arial Narrow" w:hAnsi="Arial Narrow"/>
                <w:b/>
                <w:bCs/>
                <w:color w:val="000000"/>
                <w:sz w:val="16"/>
                <w:szCs w:val="16"/>
              </w:rPr>
              <w:t>3.4</w:t>
            </w:r>
            <w:r w:rsidR="00482903">
              <w:rPr>
                <w:rFonts w:ascii="Arial Narrow" w:hAnsi="Arial Narrow"/>
                <w:b/>
                <w:bCs/>
                <w:color w:val="000000"/>
                <w:sz w:val="16"/>
                <w:szCs w:val="16"/>
              </w:rPr>
              <w:t>24</w:t>
            </w:r>
          </w:p>
        </w:tc>
        <w:tc>
          <w:tcPr>
            <w:tcW w:w="830" w:type="dxa"/>
            <w:shd w:val="clear" w:color="auto" w:fill="D9D9D9" w:themeFill="background1" w:themeFillShade="D9"/>
            <w:tcMar>
              <w:right w:w="28" w:type="dxa"/>
            </w:tcMar>
            <w:vAlign w:val="center"/>
          </w:tcPr>
          <w:p w:rsidR="00B30B91" w:rsidRDefault="00B30B91" w:rsidP="000B6618">
            <w:pPr>
              <w:ind w:right="227"/>
              <w:jc w:val="right"/>
              <w:rPr>
                <w:rFonts w:ascii="Arial Narrow" w:hAnsi="Arial Narrow"/>
                <w:b/>
                <w:bCs/>
                <w:color w:val="000000"/>
                <w:sz w:val="16"/>
                <w:szCs w:val="16"/>
              </w:rPr>
            </w:pPr>
            <w:r>
              <w:rPr>
                <w:rFonts w:ascii="Arial Narrow" w:hAnsi="Arial Narrow"/>
                <w:b/>
                <w:bCs/>
                <w:color w:val="000000"/>
                <w:sz w:val="16"/>
                <w:szCs w:val="16"/>
              </w:rPr>
              <w:t>2.7</w:t>
            </w:r>
            <w:r w:rsidR="00B84239">
              <w:rPr>
                <w:rFonts w:ascii="Arial Narrow" w:hAnsi="Arial Narrow"/>
                <w:b/>
                <w:bCs/>
                <w:color w:val="000000"/>
                <w:sz w:val="16"/>
                <w:szCs w:val="16"/>
              </w:rPr>
              <w:t>14</w:t>
            </w:r>
          </w:p>
        </w:tc>
        <w:tc>
          <w:tcPr>
            <w:tcW w:w="798" w:type="dxa"/>
            <w:shd w:val="clear" w:color="auto" w:fill="D9D9D9" w:themeFill="background1" w:themeFillShade="D9"/>
            <w:noWrap/>
            <w:tcMar>
              <w:right w:w="28" w:type="dxa"/>
            </w:tcMar>
            <w:vAlign w:val="center"/>
            <w:hideMark/>
          </w:tcPr>
          <w:p w:rsidR="00B30B91" w:rsidRPr="00F77B5D" w:rsidRDefault="00B84239" w:rsidP="000B6618">
            <w:pPr>
              <w:ind w:right="227"/>
              <w:jc w:val="right"/>
              <w:rPr>
                <w:rFonts w:ascii="Arial Narrow" w:hAnsi="Arial Narrow"/>
                <w:b/>
                <w:bCs/>
                <w:color w:val="000000"/>
                <w:sz w:val="16"/>
                <w:szCs w:val="16"/>
              </w:rPr>
            </w:pPr>
            <w:r>
              <w:rPr>
                <w:rFonts w:ascii="Arial Narrow" w:hAnsi="Arial Narrow"/>
                <w:b/>
                <w:bCs/>
                <w:color w:val="000000"/>
                <w:sz w:val="16"/>
                <w:szCs w:val="16"/>
              </w:rPr>
              <w:t>2.612</w:t>
            </w:r>
          </w:p>
        </w:tc>
      </w:tr>
    </w:tbl>
    <w:p w:rsidR="00B30B91" w:rsidRPr="00B30B91" w:rsidRDefault="00B30B91" w:rsidP="008E0CDE">
      <w:pPr>
        <w:jc w:val="both"/>
        <w:rPr>
          <w:bCs/>
          <w:sz w:val="22"/>
        </w:rPr>
      </w:pPr>
    </w:p>
    <w:p w:rsidR="006908C9" w:rsidRPr="00095DF1" w:rsidRDefault="006908C9" w:rsidP="006908C9">
      <w:pPr>
        <w:ind w:right="-1"/>
        <w:jc w:val="both"/>
        <w:rPr>
          <w:bCs/>
          <w:sz w:val="22"/>
          <w:szCs w:val="22"/>
        </w:rPr>
      </w:pPr>
      <w:r w:rsidRPr="00095DF1">
        <w:rPr>
          <w:bCs/>
          <w:sz w:val="22"/>
          <w:szCs w:val="22"/>
        </w:rPr>
        <w:t xml:space="preserve">Από το σύνολο των εκκρεμών υποχρεώσεων των φορέων, ως ληξιπρόθεσμες ορίζονται εκείνες οι οποίες δεν έχουν εξοφληθεί μετά την παρέλευση 90 ημερών από την ημερομηνία υποχρέωσης εξόφλησής τους. </w:t>
      </w:r>
      <w:r w:rsidRPr="00095DF1">
        <w:rPr>
          <w:rFonts w:cs="Arial"/>
          <w:bCs/>
          <w:color w:val="000000"/>
          <w:sz w:val="22"/>
          <w:szCs w:val="22"/>
        </w:rPr>
        <w:t xml:space="preserve">Οι ληξιπρόθεσμες υποχρεώσεις του ΕΟΠΥΥ </w:t>
      </w:r>
      <w:r w:rsidR="00B84239">
        <w:rPr>
          <w:rFonts w:cs="Arial"/>
          <w:bCs/>
          <w:color w:val="000000"/>
          <w:sz w:val="22"/>
          <w:szCs w:val="22"/>
        </w:rPr>
        <w:t xml:space="preserve">και των </w:t>
      </w:r>
      <w:r w:rsidRPr="00095DF1">
        <w:rPr>
          <w:rFonts w:cs="Arial"/>
          <w:bCs/>
          <w:color w:val="000000"/>
          <w:sz w:val="22"/>
          <w:szCs w:val="22"/>
        </w:rPr>
        <w:t xml:space="preserve">νοσοκομείων συμπεριλαμβάνουν ποσά από rebate </w:t>
      </w:r>
      <w:r w:rsidR="00B84239">
        <w:rPr>
          <w:rFonts w:cs="Arial"/>
          <w:bCs/>
          <w:color w:val="000000"/>
          <w:sz w:val="22"/>
          <w:szCs w:val="22"/>
        </w:rPr>
        <w:t xml:space="preserve">και </w:t>
      </w:r>
      <w:r w:rsidR="00B84239">
        <w:rPr>
          <w:rFonts w:cs="Arial"/>
          <w:bCs/>
          <w:color w:val="000000"/>
          <w:sz w:val="22"/>
          <w:szCs w:val="22"/>
          <w:lang w:val="en-GB"/>
        </w:rPr>
        <w:t>clawback</w:t>
      </w:r>
      <w:r w:rsidR="00B84239" w:rsidRPr="00B84239">
        <w:rPr>
          <w:rFonts w:cs="Arial"/>
          <w:bCs/>
          <w:color w:val="000000"/>
          <w:sz w:val="22"/>
          <w:szCs w:val="22"/>
        </w:rPr>
        <w:t xml:space="preserve"> </w:t>
      </w:r>
      <w:r w:rsidRPr="00095DF1">
        <w:rPr>
          <w:rFonts w:cs="Arial"/>
          <w:bCs/>
          <w:color w:val="000000"/>
          <w:sz w:val="22"/>
          <w:szCs w:val="22"/>
        </w:rPr>
        <w:t xml:space="preserve">που δεν έχουν συμψηφιστεί ακόμα. </w:t>
      </w:r>
      <w:r w:rsidRPr="00095DF1">
        <w:rPr>
          <w:bCs/>
          <w:sz w:val="22"/>
          <w:szCs w:val="22"/>
        </w:rPr>
        <w:t>Τα στοιχεία για τις εκκρεμείς επιστροφές φόρων αναφέρονται σε εκκρεμείς επιστροφές φόρων για τις οποίες έχει εκδοθεί το σχετικό</w:t>
      </w:r>
      <w:r>
        <w:rPr>
          <w:bCs/>
          <w:sz w:val="22"/>
          <w:szCs w:val="22"/>
        </w:rPr>
        <w:t xml:space="preserve"> </w:t>
      </w:r>
      <w:r w:rsidRPr="004E57F2">
        <w:rPr>
          <w:bCs/>
          <w:sz w:val="22"/>
          <w:szCs w:val="22"/>
        </w:rPr>
        <w:t>Ατομικό Φύλλο Έκπτωσης</w:t>
      </w:r>
      <w:r w:rsidRPr="00095DF1">
        <w:rPr>
          <w:bCs/>
          <w:sz w:val="22"/>
          <w:szCs w:val="22"/>
        </w:rPr>
        <w:t xml:space="preserve"> </w:t>
      </w:r>
      <w:r>
        <w:rPr>
          <w:bCs/>
          <w:sz w:val="22"/>
          <w:szCs w:val="22"/>
        </w:rPr>
        <w:t>(</w:t>
      </w:r>
      <w:r w:rsidRPr="00095DF1">
        <w:rPr>
          <w:bCs/>
          <w:sz w:val="22"/>
          <w:szCs w:val="22"/>
        </w:rPr>
        <w:t>ΑΦΕΚ</w:t>
      </w:r>
      <w:r>
        <w:rPr>
          <w:bCs/>
          <w:sz w:val="22"/>
          <w:szCs w:val="22"/>
        </w:rPr>
        <w:t>)</w:t>
      </w:r>
      <w:r w:rsidRPr="00095DF1">
        <w:rPr>
          <w:bCs/>
          <w:sz w:val="22"/>
          <w:szCs w:val="22"/>
        </w:rPr>
        <w:t xml:space="preserve"> μέχρι και το τέλος του μήνα αναφοράς. </w:t>
      </w:r>
    </w:p>
    <w:p w:rsidR="006908C9" w:rsidRPr="00095DF1" w:rsidRDefault="006908C9" w:rsidP="006908C9">
      <w:pPr>
        <w:jc w:val="both"/>
        <w:rPr>
          <w:bCs/>
          <w:sz w:val="22"/>
          <w:szCs w:val="22"/>
        </w:rPr>
      </w:pPr>
    </w:p>
    <w:p w:rsidR="006908C9" w:rsidRPr="00095DF1" w:rsidRDefault="006908C9" w:rsidP="006908C9">
      <w:pPr>
        <w:jc w:val="both"/>
        <w:rPr>
          <w:bCs/>
          <w:sz w:val="22"/>
          <w:szCs w:val="22"/>
        </w:rPr>
      </w:pPr>
      <w:r w:rsidRPr="00095DF1">
        <w:rPr>
          <w:bCs/>
          <w:sz w:val="22"/>
          <w:szCs w:val="22"/>
        </w:rPr>
        <w:t xml:space="preserve">Η εξόφληση των ληξιπρόθεσμων υποχρεώσεων της Γενικής Κυβέρνησης αποτελεί βασική προτεραιότητα για το Υπουργείο Οικονομικών, δεδομένου ότι συμβάλλει στην ενίσχυση της αξιοπιστίας των φορέων, στην εξυγίανση των προϋπολογισμών τους, αλλά και στην τόνωση της ρευστότητας της οικονομίας. </w:t>
      </w:r>
    </w:p>
    <w:p w:rsidR="006908C9" w:rsidRPr="00095DF1" w:rsidRDefault="006908C9" w:rsidP="006908C9">
      <w:pPr>
        <w:jc w:val="both"/>
        <w:rPr>
          <w:bCs/>
          <w:sz w:val="22"/>
          <w:szCs w:val="22"/>
        </w:rPr>
      </w:pPr>
    </w:p>
    <w:p w:rsidR="006908C9" w:rsidRPr="00095DF1" w:rsidRDefault="006908C9" w:rsidP="006908C9">
      <w:pPr>
        <w:jc w:val="both"/>
        <w:rPr>
          <w:bCs/>
          <w:sz w:val="22"/>
          <w:szCs w:val="22"/>
        </w:rPr>
      </w:pPr>
      <w:r w:rsidRPr="00095DF1">
        <w:rPr>
          <w:bCs/>
          <w:sz w:val="22"/>
          <w:szCs w:val="22"/>
        </w:rPr>
        <w:t xml:space="preserve">Στο πλαίσιο της Σύμβασης Χρηματοδοτικής Διευκόλυνσης από τον Ευρωπαϊκό Μηχανισμό Σταθερότητας (ΕΜΣ) προβλέφθηκε η αποπληρωμή των ληξιπρόθεσμων υποχρεώσεων της Γενικής Κυβέρνησης προς τρίτους, συμπεριλαμβανομένων και των εκκρεμών επιστροφών φόρων, καθώς και </w:t>
      </w:r>
      <w:r w:rsidR="00B84239">
        <w:rPr>
          <w:bCs/>
          <w:sz w:val="22"/>
          <w:szCs w:val="22"/>
        </w:rPr>
        <w:t xml:space="preserve">των </w:t>
      </w:r>
      <w:r w:rsidRPr="00095DF1">
        <w:rPr>
          <w:bCs/>
          <w:sz w:val="22"/>
          <w:szCs w:val="22"/>
        </w:rPr>
        <w:t>εκκρεμών αιτήσεων συνταξιοδότησης, με παράλληλη ειδική χρηματοδότηση από τον ΕΜΣ.</w:t>
      </w:r>
    </w:p>
    <w:p w:rsidR="006908C9" w:rsidRPr="00095DF1" w:rsidRDefault="006908C9" w:rsidP="006908C9">
      <w:pPr>
        <w:jc w:val="both"/>
        <w:rPr>
          <w:bCs/>
          <w:sz w:val="22"/>
          <w:szCs w:val="22"/>
        </w:rPr>
      </w:pPr>
    </w:p>
    <w:p w:rsidR="006908C9" w:rsidRPr="00095DF1" w:rsidRDefault="006908C9" w:rsidP="006908C9">
      <w:pPr>
        <w:jc w:val="both"/>
        <w:rPr>
          <w:bCs/>
          <w:sz w:val="22"/>
          <w:szCs w:val="22"/>
        </w:rPr>
      </w:pPr>
      <w:r w:rsidRPr="00095DF1">
        <w:rPr>
          <w:bCs/>
          <w:sz w:val="22"/>
          <w:szCs w:val="22"/>
        </w:rPr>
        <w:t>Για το</w:t>
      </w:r>
      <w:r>
        <w:rPr>
          <w:bCs/>
          <w:sz w:val="22"/>
          <w:szCs w:val="22"/>
        </w:rPr>
        <w:t>ν</w:t>
      </w:r>
      <w:r w:rsidRPr="00095DF1">
        <w:rPr>
          <w:bCs/>
          <w:sz w:val="22"/>
          <w:szCs w:val="22"/>
        </w:rPr>
        <w:t xml:space="preserve"> σκοπό αυτό</w:t>
      </w:r>
      <w:r w:rsidR="00B84239">
        <w:rPr>
          <w:bCs/>
          <w:sz w:val="22"/>
          <w:szCs w:val="22"/>
        </w:rPr>
        <w:t>,</w:t>
      </w:r>
      <w:r w:rsidRPr="00095DF1">
        <w:rPr>
          <w:bCs/>
          <w:sz w:val="22"/>
          <w:szCs w:val="22"/>
        </w:rPr>
        <w:t xml:space="preserve"> από τον Ιούνιο του 2016</w:t>
      </w:r>
      <w:r w:rsidR="00B84239">
        <w:rPr>
          <w:bCs/>
          <w:sz w:val="22"/>
          <w:szCs w:val="22"/>
        </w:rPr>
        <w:t>,</w:t>
      </w:r>
      <w:r w:rsidRPr="00095DF1">
        <w:rPr>
          <w:bCs/>
          <w:sz w:val="22"/>
          <w:szCs w:val="22"/>
        </w:rPr>
        <w:t xml:space="preserve"> υλοποιείται πρόγραμμα εκκαθάρισης ληξιπρόθεσμων υποχρεώσεων των φορέων της Γενικής Κυβέρνησης προς τρίτους, με έκτακτη χρηματοδότησή τους, ενώ παράλληλα παρέχεται η απαραίτητη ρευστότητα για την αποπληρωμή εκκρεμών επιστροφών φόρου. Από το 2017, το πρόγραμμα καλύπτει και την εκκαθάριση εκκρεμών, άνω των 90 ημερών, αιτήσεων συνταξιοδότησης. Η σχετική χρηματοδότηση από τον ΕΜΣ</w:t>
      </w:r>
      <w:r w:rsidR="00B84239">
        <w:rPr>
          <w:bCs/>
          <w:sz w:val="22"/>
          <w:szCs w:val="22"/>
        </w:rPr>
        <w:t>,</w:t>
      </w:r>
      <w:r w:rsidRPr="00095DF1">
        <w:rPr>
          <w:bCs/>
          <w:sz w:val="22"/>
          <w:szCs w:val="22"/>
        </w:rPr>
        <w:t xml:space="preserve"> </w:t>
      </w:r>
      <w:r w:rsidR="00B84239" w:rsidRPr="00095DF1">
        <w:rPr>
          <w:bCs/>
          <w:sz w:val="22"/>
          <w:szCs w:val="22"/>
        </w:rPr>
        <w:t>από τον Ιούνιο του 2016</w:t>
      </w:r>
      <w:r w:rsidR="00B84239">
        <w:rPr>
          <w:bCs/>
          <w:sz w:val="22"/>
          <w:szCs w:val="22"/>
        </w:rPr>
        <w:t xml:space="preserve">, </w:t>
      </w:r>
      <w:r w:rsidRPr="00095DF1">
        <w:rPr>
          <w:bCs/>
          <w:sz w:val="22"/>
          <w:szCs w:val="22"/>
        </w:rPr>
        <w:t xml:space="preserve">ανήλθε </w:t>
      </w:r>
      <w:r w:rsidR="00C60DBC">
        <w:rPr>
          <w:bCs/>
          <w:sz w:val="22"/>
          <w:szCs w:val="22"/>
        </w:rPr>
        <w:t xml:space="preserve">συνολικά </w:t>
      </w:r>
      <w:r w:rsidRPr="00095DF1">
        <w:rPr>
          <w:bCs/>
          <w:sz w:val="22"/>
          <w:szCs w:val="22"/>
        </w:rPr>
        <w:t xml:space="preserve">σε 6.600 εκατ. ευρώ. </w:t>
      </w:r>
    </w:p>
    <w:p w:rsidR="006908C9" w:rsidRPr="00095DF1" w:rsidRDefault="006908C9" w:rsidP="006908C9">
      <w:pPr>
        <w:jc w:val="both"/>
        <w:rPr>
          <w:bCs/>
          <w:sz w:val="22"/>
          <w:szCs w:val="22"/>
        </w:rPr>
      </w:pPr>
    </w:p>
    <w:p w:rsidR="00B84239" w:rsidRPr="00095DF1" w:rsidRDefault="00B84239" w:rsidP="00B84239">
      <w:pPr>
        <w:jc w:val="both"/>
        <w:rPr>
          <w:bCs/>
          <w:sz w:val="22"/>
          <w:szCs w:val="22"/>
        </w:rPr>
      </w:pPr>
      <w:r w:rsidRPr="00095DF1">
        <w:rPr>
          <w:bCs/>
          <w:sz w:val="22"/>
          <w:szCs w:val="22"/>
        </w:rPr>
        <w:t xml:space="preserve">Οι χρηματοδοτήσεις των φορέων της Γενικής Κυβέρνησης για εξόφληση ληξιπρόθεσμων υποχρεώσεων εμφανίζονται στον Κρατικό Προϋπολογισμό ως δαπάνη. Στους προϋπολογισμούς των φορέων </w:t>
      </w:r>
      <w:r w:rsidR="001D75D4">
        <w:rPr>
          <w:bCs/>
          <w:sz w:val="22"/>
          <w:szCs w:val="22"/>
        </w:rPr>
        <w:t xml:space="preserve">οι χρηματοδοτήσεις </w:t>
      </w:r>
      <w:r w:rsidRPr="00095DF1">
        <w:rPr>
          <w:bCs/>
          <w:sz w:val="22"/>
          <w:szCs w:val="22"/>
        </w:rPr>
        <w:t xml:space="preserve">εμφανίζονται ως ισόποση αύξηση των εσόδων τους και </w:t>
      </w:r>
      <w:r w:rsidR="001D75D4">
        <w:rPr>
          <w:bCs/>
          <w:sz w:val="22"/>
          <w:szCs w:val="22"/>
        </w:rPr>
        <w:t>οι</w:t>
      </w:r>
      <w:r>
        <w:rPr>
          <w:bCs/>
          <w:sz w:val="22"/>
          <w:szCs w:val="22"/>
        </w:rPr>
        <w:t xml:space="preserve"> πληρωμές</w:t>
      </w:r>
      <w:r w:rsidRPr="00095DF1">
        <w:rPr>
          <w:bCs/>
          <w:sz w:val="22"/>
          <w:szCs w:val="22"/>
        </w:rPr>
        <w:t xml:space="preserve"> για εξόφληση ληξιπρόθεσμων υποχρεώσεών </w:t>
      </w:r>
      <w:r w:rsidR="001D75D4">
        <w:rPr>
          <w:bCs/>
          <w:sz w:val="22"/>
          <w:szCs w:val="22"/>
        </w:rPr>
        <w:t>τους εμφανίζονται ως δαπάνη</w:t>
      </w:r>
      <w:r w:rsidRPr="00095DF1">
        <w:rPr>
          <w:bCs/>
          <w:sz w:val="22"/>
          <w:szCs w:val="22"/>
        </w:rPr>
        <w:t>. Σε δημοσιονομική βάση επέρχεται αντίστοιχη μείωση των ληξιπρόθεσμων υπο</w:t>
      </w:r>
      <w:r w:rsidR="001D75D4">
        <w:rPr>
          <w:bCs/>
          <w:sz w:val="22"/>
          <w:szCs w:val="22"/>
        </w:rPr>
        <w:t>χρεώσεώ</w:t>
      </w:r>
      <w:r w:rsidRPr="00095DF1">
        <w:rPr>
          <w:bCs/>
          <w:sz w:val="22"/>
          <w:szCs w:val="22"/>
        </w:rPr>
        <w:t>ν</w:t>
      </w:r>
      <w:r w:rsidR="001D75D4">
        <w:rPr>
          <w:bCs/>
          <w:sz w:val="22"/>
          <w:szCs w:val="22"/>
        </w:rPr>
        <w:t xml:space="preserve"> τους</w:t>
      </w:r>
      <w:r w:rsidRPr="00095DF1">
        <w:rPr>
          <w:bCs/>
          <w:sz w:val="22"/>
          <w:szCs w:val="22"/>
        </w:rPr>
        <w:t xml:space="preserve"> προς </w:t>
      </w:r>
      <w:r w:rsidRPr="007A0CC7">
        <w:rPr>
          <w:bCs/>
          <w:sz w:val="22"/>
        </w:rPr>
        <w:t>τρίτους</w:t>
      </w:r>
      <w:r w:rsidRPr="00095DF1">
        <w:rPr>
          <w:bCs/>
          <w:sz w:val="22"/>
          <w:szCs w:val="22"/>
        </w:rPr>
        <w:t>, καθιστώντας τη συνολική διαδικασία δημοσιονομικά ουδέτερη σε επίπεδο Γενικής Κυβέρνησης.</w:t>
      </w:r>
    </w:p>
    <w:p w:rsidR="00B84239" w:rsidRPr="00095DF1" w:rsidRDefault="00B84239" w:rsidP="00B84239">
      <w:pPr>
        <w:jc w:val="both"/>
        <w:rPr>
          <w:bCs/>
          <w:sz w:val="22"/>
          <w:szCs w:val="22"/>
        </w:rPr>
      </w:pPr>
    </w:p>
    <w:p w:rsidR="00B84239" w:rsidRDefault="00B84239" w:rsidP="00B84239">
      <w:pPr>
        <w:contextualSpacing/>
        <w:jc w:val="both"/>
        <w:rPr>
          <w:bCs/>
          <w:sz w:val="22"/>
          <w:szCs w:val="22"/>
        </w:rPr>
      </w:pPr>
      <w:r w:rsidRPr="00095DF1">
        <w:rPr>
          <w:bCs/>
          <w:sz w:val="22"/>
          <w:szCs w:val="22"/>
        </w:rPr>
        <w:t>Συνολικά,</w:t>
      </w:r>
      <w:r w:rsidR="005201F3">
        <w:rPr>
          <w:bCs/>
          <w:sz w:val="22"/>
          <w:szCs w:val="22"/>
        </w:rPr>
        <w:t xml:space="preserve"> στο πλαίσιο του προγράμματος,</w:t>
      </w:r>
      <w:r w:rsidRPr="00095DF1">
        <w:rPr>
          <w:bCs/>
          <w:sz w:val="22"/>
          <w:szCs w:val="22"/>
        </w:rPr>
        <w:t xml:space="preserve"> έχουν μεταφερθεί πιστώσεις στους προϋπολογισμούς των Υπουργείων και των φορέων της Γενικής Κυβέρνησης ύψους </w:t>
      </w:r>
      <w:r w:rsidRPr="00267217">
        <w:rPr>
          <w:bCs/>
          <w:sz w:val="22"/>
          <w:szCs w:val="22"/>
        </w:rPr>
        <w:t>4.634</w:t>
      </w:r>
      <w:r w:rsidRPr="00095DF1">
        <w:rPr>
          <w:bCs/>
          <w:sz w:val="22"/>
          <w:szCs w:val="22"/>
        </w:rPr>
        <w:t xml:space="preserve"> εκατ. ευρώ. Επιπλέον, έχουν διατεθεί </w:t>
      </w:r>
      <w:r w:rsidRPr="00267217">
        <w:rPr>
          <w:bCs/>
          <w:sz w:val="22"/>
          <w:szCs w:val="22"/>
        </w:rPr>
        <w:t>1.217</w:t>
      </w:r>
      <w:r w:rsidRPr="00095DF1">
        <w:rPr>
          <w:bCs/>
          <w:sz w:val="22"/>
          <w:szCs w:val="22"/>
        </w:rPr>
        <w:t xml:space="preserve"> εκατ. ευρώ για την αποπληρωμή εκκρεμών επιστροφών φόρων </w:t>
      </w:r>
      <w:r w:rsidRPr="00267217">
        <w:rPr>
          <w:bCs/>
          <w:sz w:val="22"/>
          <w:szCs w:val="22"/>
        </w:rPr>
        <w:t>και 1.162</w:t>
      </w:r>
      <w:r w:rsidRPr="00095DF1">
        <w:rPr>
          <w:bCs/>
          <w:sz w:val="22"/>
          <w:szCs w:val="22"/>
        </w:rPr>
        <w:t xml:space="preserve"> εκατ. ευρώ για την εκκαθάριση και εξόφληση εκκρεμών αιτήσεων συνταξιοδότησης. Από τα ποσά αυτά, ως και το</w:t>
      </w:r>
      <w:r w:rsidR="007F78FA">
        <w:rPr>
          <w:bCs/>
          <w:sz w:val="22"/>
          <w:szCs w:val="22"/>
        </w:rPr>
        <w:t>ν</w:t>
      </w:r>
      <w:r w:rsidRPr="00095DF1">
        <w:rPr>
          <w:bCs/>
          <w:sz w:val="22"/>
          <w:szCs w:val="22"/>
        </w:rPr>
        <w:t xml:space="preserve"> Σεπτέμβριο του 2018, έχουν εξοφληθεί ληξιπρόθεσμες υποχρεώσεις προς τρίτους ύψους </w:t>
      </w:r>
      <w:r w:rsidRPr="004D5010">
        <w:rPr>
          <w:bCs/>
          <w:sz w:val="22"/>
          <w:szCs w:val="22"/>
        </w:rPr>
        <w:t>4.099</w:t>
      </w:r>
      <w:r w:rsidRPr="00095DF1">
        <w:rPr>
          <w:bCs/>
          <w:sz w:val="22"/>
          <w:szCs w:val="22"/>
        </w:rPr>
        <w:t xml:space="preserve"> εκατ. ευρώ, εκκρεμείς επιστροφές φόρων καθαρού </w:t>
      </w:r>
      <w:r w:rsidRPr="00267217">
        <w:rPr>
          <w:bCs/>
          <w:sz w:val="22"/>
          <w:szCs w:val="22"/>
        </w:rPr>
        <w:t xml:space="preserve">ποσού </w:t>
      </w:r>
      <w:r w:rsidRPr="004D5010">
        <w:rPr>
          <w:bCs/>
          <w:sz w:val="22"/>
          <w:szCs w:val="22"/>
        </w:rPr>
        <w:t>911</w:t>
      </w:r>
      <w:r w:rsidRPr="00267217">
        <w:rPr>
          <w:bCs/>
          <w:sz w:val="22"/>
          <w:szCs w:val="22"/>
        </w:rPr>
        <w:t xml:space="preserve"> εκατ. ευρώ και εκκρεμείς αιτήσεις συνταξιοδότησης </w:t>
      </w:r>
      <w:r w:rsidRPr="004D5010">
        <w:rPr>
          <w:bCs/>
          <w:sz w:val="22"/>
          <w:szCs w:val="22"/>
        </w:rPr>
        <w:t>ύψους 1.054 εκατ</w:t>
      </w:r>
      <w:r w:rsidRPr="00267217">
        <w:rPr>
          <w:bCs/>
          <w:sz w:val="22"/>
          <w:szCs w:val="22"/>
        </w:rPr>
        <w:t>. ευρώ.</w:t>
      </w:r>
      <w:r w:rsidRPr="00095DF1">
        <w:rPr>
          <w:bCs/>
          <w:sz w:val="22"/>
          <w:szCs w:val="22"/>
        </w:rPr>
        <w:t xml:space="preserve"> </w:t>
      </w:r>
    </w:p>
    <w:p w:rsidR="00B84239" w:rsidRPr="00095DF1" w:rsidRDefault="00B84239" w:rsidP="00B84239">
      <w:pPr>
        <w:contextualSpacing/>
        <w:jc w:val="both"/>
        <w:rPr>
          <w:bCs/>
          <w:sz w:val="22"/>
          <w:szCs w:val="22"/>
        </w:rPr>
      </w:pPr>
    </w:p>
    <w:p w:rsidR="00B84239" w:rsidRDefault="00B84239" w:rsidP="00B84239">
      <w:pPr>
        <w:contextualSpacing/>
        <w:jc w:val="both"/>
        <w:rPr>
          <w:bCs/>
          <w:sz w:val="22"/>
          <w:szCs w:val="22"/>
        </w:rPr>
      </w:pPr>
      <w:r w:rsidRPr="00095DF1">
        <w:rPr>
          <w:bCs/>
          <w:sz w:val="22"/>
          <w:szCs w:val="22"/>
        </w:rPr>
        <w:t xml:space="preserve">Οι ενισχύσεις </w:t>
      </w:r>
      <w:r w:rsidRPr="004D5010">
        <w:rPr>
          <w:bCs/>
          <w:sz w:val="22"/>
          <w:szCs w:val="22"/>
        </w:rPr>
        <w:t>πιστώσεων - επιχορηγήσεις</w:t>
      </w:r>
      <w:r w:rsidRPr="00095DF1">
        <w:rPr>
          <w:bCs/>
          <w:sz w:val="22"/>
          <w:szCs w:val="22"/>
        </w:rPr>
        <w:t xml:space="preserve"> και η διατεθείσα χρηματοδότηση για επιστροφές φόρων, καθώς και οι πληρωμές που πραγματοποιήθηκαν αποτυπώνονται στον πίνακα </w:t>
      </w:r>
      <w:r w:rsidRPr="001528EA">
        <w:rPr>
          <w:bCs/>
          <w:sz w:val="22"/>
          <w:szCs w:val="22"/>
        </w:rPr>
        <w:t>3</w:t>
      </w:r>
      <w:r w:rsidR="001528EA" w:rsidRPr="001528EA">
        <w:rPr>
          <w:bCs/>
          <w:sz w:val="22"/>
          <w:szCs w:val="22"/>
        </w:rPr>
        <w:t>.30</w:t>
      </w:r>
      <w:r w:rsidRPr="00095DF1">
        <w:rPr>
          <w:bCs/>
          <w:sz w:val="22"/>
          <w:szCs w:val="22"/>
        </w:rPr>
        <w:t>, ανά έτος και ανά υποτομέα της Γενικής Κυβέρνησης.</w:t>
      </w:r>
    </w:p>
    <w:p w:rsidR="000B6618" w:rsidRPr="00B30B91" w:rsidRDefault="000B6618">
      <w:pPr>
        <w:rPr>
          <w:bCs/>
          <w:sz w:val="22"/>
        </w:rPr>
      </w:pPr>
    </w:p>
    <w:p w:rsidR="00FB275C" w:rsidRPr="00B30B91" w:rsidRDefault="00FB275C" w:rsidP="008E0CDE">
      <w:pPr>
        <w:jc w:val="both"/>
        <w:rPr>
          <w:bCs/>
          <w:sz w:val="22"/>
        </w:rPr>
      </w:pPr>
    </w:p>
    <w:tbl>
      <w:tblPr>
        <w:tblW w:w="9165" w:type="dxa"/>
        <w:tblInd w:w="93" w:type="dxa"/>
        <w:tblBorders>
          <w:top w:val="single" w:sz="6" w:space="0" w:color="auto"/>
          <w:left w:val="single" w:sz="6" w:space="0" w:color="auto"/>
          <w:bottom w:val="single" w:sz="6" w:space="0" w:color="auto"/>
          <w:right w:val="single" w:sz="6" w:space="0" w:color="auto"/>
        </w:tblBorders>
        <w:tblCellMar>
          <w:left w:w="28" w:type="dxa"/>
          <w:right w:w="28" w:type="dxa"/>
        </w:tblCellMar>
        <w:tblLook w:val="04A0"/>
      </w:tblPr>
      <w:tblGrid>
        <w:gridCol w:w="2345"/>
        <w:gridCol w:w="851"/>
        <w:gridCol w:w="850"/>
        <w:gridCol w:w="851"/>
        <w:gridCol w:w="850"/>
        <w:gridCol w:w="851"/>
        <w:gridCol w:w="850"/>
        <w:gridCol w:w="850"/>
        <w:gridCol w:w="867"/>
      </w:tblGrid>
      <w:tr w:rsidR="00D650B7" w:rsidRPr="00131315" w:rsidTr="006C49BC">
        <w:trPr>
          <w:trHeight w:val="925"/>
        </w:trPr>
        <w:tc>
          <w:tcPr>
            <w:tcW w:w="9165" w:type="dxa"/>
            <w:gridSpan w:val="9"/>
            <w:shd w:val="clear" w:color="000000" w:fill="404040"/>
            <w:noWrap/>
            <w:vAlign w:val="bottom"/>
            <w:hideMark/>
          </w:tcPr>
          <w:p w:rsidR="00D650B7" w:rsidRPr="00B90651" w:rsidRDefault="00D650B7" w:rsidP="001769DA">
            <w:pPr>
              <w:jc w:val="center"/>
              <w:rPr>
                <w:rFonts w:ascii="Arial Narrow" w:hAnsi="Arial Narrow"/>
                <w:b/>
                <w:bCs/>
                <w:color w:val="FFFFFF"/>
              </w:rPr>
            </w:pPr>
            <w:r w:rsidRPr="00131315">
              <w:rPr>
                <w:rFonts w:ascii="Arial Narrow" w:hAnsi="Arial Narrow"/>
                <w:b/>
                <w:bCs/>
                <w:color w:val="FFFFFF"/>
              </w:rPr>
              <w:t>Πίνακας 3</w:t>
            </w:r>
            <w:r w:rsidR="001528EA">
              <w:rPr>
                <w:rFonts w:ascii="Arial Narrow" w:hAnsi="Arial Narrow"/>
                <w:b/>
                <w:bCs/>
                <w:color w:val="FFFFFF"/>
              </w:rPr>
              <w:t>.30</w:t>
            </w:r>
            <w:r w:rsidR="00446090">
              <w:rPr>
                <w:rFonts w:ascii="Arial Narrow" w:hAnsi="Arial Narrow"/>
                <w:b/>
                <w:bCs/>
                <w:color w:val="FFFFFF"/>
              </w:rPr>
              <w:t xml:space="preserve"> </w:t>
            </w:r>
            <w:r w:rsidRPr="00131315">
              <w:rPr>
                <w:rFonts w:ascii="Arial Narrow" w:hAnsi="Arial Narrow"/>
                <w:b/>
                <w:bCs/>
                <w:color w:val="FFFFFF"/>
              </w:rPr>
              <w:t xml:space="preserve"> Πρόγραμμα εξόφλησης ληξιπρόθεσμων </w:t>
            </w:r>
            <w:r w:rsidR="001D75D4">
              <w:rPr>
                <w:rFonts w:ascii="Arial Narrow" w:hAnsi="Arial Narrow"/>
                <w:b/>
                <w:bCs/>
                <w:color w:val="FFFFFF"/>
              </w:rPr>
              <w:t>υποχρεώσεων</w:t>
            </w:r>
          </w:p>
          <w:p w:rsidR="00D650B7" w:rsidRPr="00B90651" w:rsidRDefault="00D650B7" w:rsidP="001769DA">
            <w:pPr>
              <w:jc w:val="center"/>
              <w:rPr>
                <w:rFonts w:ascii="Arial Narrow" w:hAnsi="Arial Narrow"/>
                <w:color w:val="FFFFFF"/>
              </w:rPr>
            </w:pPr>
            <w:r w:rsidRPr="00131315">
              <w:rPr>
                <w:rFonts w:ascii="Arial Narrow" w:hAnsi="Arial Narrow"/>
                <w:b/>
                <w:bCs/>
                <w:color w:val="FFFFFF"/>
              </w:rPr>
              <w:t>Ιούλιος 2016 έως Σεπτέμβριος 201</w:t>
            </w:r>
            <w:r w:rsidR="006908C9">
              <w:rPr>
                <w:rFonts w:ascii="Arial Narrow" w:hAnsi="Arial Narrow"/>
                <w:b/>
                <w:bCs/>
                <w:color w:val="FFFFFF"/>
              </w:rPr>
              <w:t>8</w:t>
            </w:r>
            <w:r w:rsidRPr="00131315">
              <w:rPr>
                <w:rFonts w:ascii="Arial Narrow" w:hAnsi="Arial Narrow"/>
                <w:color w:val="FFFFFF"/>
              </w:rPr>
              <w:t xml:space="preserve"> </w:t>
            </w:r>
          </w:p>
          <w:p w:rsidR="00D650B7" w:rsidRPr="00910B7B" w:rsidRDefault="00D650B7" w:rsidP="001769DA">
            <w:pPr>
              <w:jc w:val="center"/>
              <w:rPr>
                <w:rFonts w:ascii="Arial Narrow" w:hAnsi="Arial Narrow"/>
                <w:b/>
                <w:bCs/>
                <w:color w:val="FFFFFF"/>
              </w:rPr>
            </w:pPr>
            <w:r w:rsidRPr="00910B7B">
              <w:rPr>
                <w:rFonts w:ascii="Arial Narrow" w:hAnsi="Arial Narrow"/>
                <w:b/>
                <w:color w:val="FFFFFF"/>
              </w:rPr>
              <w:t>(σε εκατ. ευρώ)</w:t>
            </w:r>
          </w:p>
        </w:tc>
      </w:tr>
      <w:tr w:rsidR="00D650B7" w:rsidRPr="00910B7B" w:rsidTr="006C49BC">
        <w:trPr>
          <w:trHeight w:val="170"/>
        </w:trPr>
        <w:tc>
          <w:tcPr>
            <w:tcW w:w="9165" w:type="dxa"/>
            <w:gridSpan w:val="9"/>
            <w:tcBorders>
              <w:bottom w:val="single" w:sz="6" w:space="0" w:color="auto"/>
            </w:tcBorders>
            <w:shd w:val="clear" w:color="auto" w:fill="auto"/>
            <w:noWrap/>
            <w:vAlign w:val="bottom"/>
            <w:hideMark/>
          </w:tcPr>
          <w:p w:rsidR="00D650B7" w:rsidRPr="00910B7B" w:rsidRDefault="00D650B7" w:rsidP="001769DA">
            <w:pPr>
              <w:jc w:val="center"/>
              <w:rPr>
                <w:rFonts w:ascii="Arial Narrow" w:hAnsi="Arial Narrow"/>
                <w:b/>
                <w:bCs/>
                <w:color w:val="FFFFFF"/>
                <w:sz w:val="16"/>
              </w:rPr>
            </w:pPr>
          </w:p>
        </w:tc>
      </w:tr>
      <w:tr w:rsidR="006C49BC" w:rsidRPr="00131315" w:rsidTr="006C49BC">
        <w:trPr>
          <w:trHeight w:val="20"/>
        </w:trPr>
        <w:tc>
          <w:tcPr>
            <w:tcW w:w="2345" w:type="dxa"/>
            <w:tcBorders>
              <w:top w:val="single" w:sz="6" w:space="0" w:color="auto"/>
              <w:bottom w:val="single" w:sz="6" w:space="0" w:color="auto"/>
              <w:right w:val="single" w:sz="6" w:space="0" w:color="auto"/>
            </w:tcBorders>
            <w:shd w:val="clear" w:color="000000" w:fill="FFFFFF"/>
            <w:noWrap/>
            <w:vAlign w:val="bottom"/>
            <w:hideMark/>
          </w:tcPr>
          <w:p w:rsidR="006C49BC" w:rsidRPr="00131315" w:rsidRDefault="006C49BC" w:rsidP="001769DA">
            <w:pPr>
              <w:rPr>
                <w:color w:val="000000"/>
                <w:sz w:val="20"/>
                <w:szCs w:val="20"/>
              </w:rPr>
            </w:pPr>
            <w:r w:rsidRPr="00131315">
              <w:rPr>
                <w:color w:val="000000"/>
                <w:sz w:val="20"/>
                <w:szCs w:val="20"/>
              </w:rPr>
              <w:t> </w:t>
            </w:r>
          </w:p>
        </w:tc>
        <w:tc>
          <w:tcPr>
            <w:tcW w:w="3402" w:type="dxa"/>
            <w:gridSpan w:val="4"/>
            <w:tcBorders>
              <w:top w:val="single" w:sz="6" w:space="0" w:color="auto"/>
              <w:left w:val="single" w:sz="6" w:space="0" w:color="auto"/>
              <w:bottom w:val="single" w:sz="6" w:space="0" w:color="auto"/>
              <w:right w:val="single" w:sz="6" w:space="0" w:color="auto"/>
            </w:tcBorders>
            <w:shd w:val="clear" w:color="000000" w:fill="FFFFFF"/>
            <w:vAlign w:val="bottom"/>
          </w:tcPr>
          <w:p w:rsidR="006C49BC" w:rsidRPr="00131315" w:rsidRDefault="006C49BC" w:rsidP="001769DA">
            <w:pPr>
              <w:jc w:val="center"/>
              <w:rPr>
                <w:rFonts w:ascii="Arial Narrow" w:hAnsi="Arial Narrow"/>
                <w:b/>
                <w:bCs/>
                <w:color w:val="000000"/>
                <w:sz w:val="16"/>
                <w:szCs w:val="16"/>
              </w:rPr>
            </w:pPr>
            <w:r w:rsidRPr="00131315">
              <w:rPr>
                <w:rFonts w:ascii="Arial Narrow" w:hAnsi="Arial Narrow"/>
                <w:b/>
                <w:bCs/>
                <w:color w:val="000000"/>
                <w:sz w:val="16"/>
                <w:szCs w:val="16"/>
              </w:rPr>
              <w:t>Ενισχύσεις πιστώσεων - Επιχορηγήσεις</w:t>
            </w:r>
          </w:p>
        </w:tc>
        <w:tc>
          <w:tcPr>
            <w:tcW w:w="3418" w:type="dxa"/>
            <w:gridSpan w:val="4"/>
            <w:tcBorders>
              <w:top w:val="single" w:sz="6" w:space="0" w:color="auto"/>
              <w:left w:val="single" w:sz="6" w:space="0" w:color="auto"/>
              <w:bottom w:val="single" w:sz="6" w:space="0" w:color="auto"/>
            </w:tcBorders>
            <w:shd w:val="clear" w:color="000000" w:fill="FFFFFF"/>
            <w:vAlign w:val="bottom"/>
            <w:hideMark/>
          </w:tcPr>
          <w:p w:rsidR="006C49BC" w:rsidRPr="006C49BC" w:rsidRDefault="006C49BC" w:rsidP="001769DA">
            <w:pPr>
              <w:jc w:val="center"/>
              <w:rPr>
                <w:rFonts w:ascii="Arial Narrow" w:hAnsi="Arial Narrow"/>
                <w:b/>
                <w:bCs/>
                <w:color w:val="000000"/>
                <w:sz w:val="16"/>
                <w:szCs w:val="16"/>
                <w:highlight w:val="yellow"/>
              </w:rPr>
            </w:pPr>
            <w:r w:rsidRPr="00B84239">
              <w:rPr>
                <w:rFonts w:ascii="Arial Narrow" w:hAnsi="Arial Narrow"/>
                <w:b/>
                <w:bCs/>
                <w:color w:val="000000"/>
                <w:sz w:val="16"/>
                <w:szCs w:val="16"/>
              </w:rPr>
              <w:t>Πληρωμές</w:t>
            </w:r>
          </w:p>
        </w:tc>
      </w:tr>
      <w:tr w:rsidR="006C49BC" w:rsidRPr="00131315" w:rsidTr="005201F3">
        <w:trPr>
          <w:trHeight w:val="20"/>
        </w:trPr>
        <w:tc>
          <w:tcPr>
            <w:tcW w:w="2345" w:type="dxa"/>
            <w:tcBorders>
              <w:top w:val="single" w:sz="6" w:space="0" w:color="auto"/>
              <w:bottom w:val="single" w:sz="6" w:space="0" w:color="auto"/>
              <w:right w:val="single" w:sz="6" w:space="0" w:color="auto"/>
            </w:tcBorders>
            <w:shd w:val="clear" w:color="000000" w:fill="FFFFFF"/>
            <w:noWrap/>
            <w:vAlign w:val="bottom"/>
            <w:hideMark/>
          </w:tcPr>
          <w:p w:rsidR="006C49BC" w:rsidRPr="00131315" w:rsidRDefault="006C49BC" w:rsidP="001769DA">
            <w:pPr>
              <w:rPr>
                <w:color w:val="000000"/>
                <w:sz w:val="20"/>
                <w:szCs w:val="20"/>
              </w:rPr>
            </w:pPr>
            <w:r w:rsidRPr="00131315">
              <w:rPr>
                <w:color w:val="000000"/>
                <w:sz w:val="20"/>
                <w:szCs w:val="20"/>
              </w:rPr>
              <w:t> </w:t>
            </w:r>
          </w:p>
        </w:tc>
        <w:tc>
          <w:tcPr>
            <w:tcW w:w="851" w:type="dxa"/>
            <w:tcBorders>
              <w:top w:val="single" w:sz="6" w:space="0" w:color="auto"/>
              <w:left w:val="single" w:sz="6" w:space="0" w:color="auto"/>
              <w:bottom w:val="single" w:sz="6" w:space="0" w:color="auto"/>
              <w:right w:val="single" w:sz="6" w:space="0" w:color="auto"/>
            </w:tcBorders>
            <w:shd w:val="clear" w:color="000000" w:fill="FFFFFF"/>
            <w:vAlign w:val="bottom"/>
          </w:tcPr>
          <w:p w:rsidR="006C49BC" w:rsidRDefault="001D75D4" w:rsidP="009B023E">
            <w:pPr>
              <w:jc w:val="center"/>
              <w:rPr>
                <w:rFonts w:ascii="Arial Narrow" w:hAnsi="Arial Narrow"/>
                <w:b/>
                <w:bCs/>
                <w:color w:val="000000"/>
                <w:sz w:val="16"/>
                <w:szCs w:val="16"/>
              </w:rPr>
            </w:pPr>
            <w:r>
              <w:rPr>
                <w:rFonts w:ascii="Arial Narrow" w:hAnsi="Arial Narrow"/>
                <w:b/>
                <w:bCs/>
                <w:color w:val="000000"/>
                <w:sz w:val="16"/>
                <w:szCs w:val="16"/>
              </w:rPr>
              <w:t>Ιού</w:t>
            </w:r>
            <w:r w:rsidR="006C49BC">
              <w:rPr>
                <w:rFonts w:ascii="Arial Narrow" w:hAnsi="Arial Narrow"/>
                <w:b/>
                <w:bCs/>
                <w:color w:val="000000"/>
                <w:sz w:val="16"/>
                <w:szCs w:val="16"/>
              </w:rPr>
              <w:t>λ.-Δεκ.</w:t>
            </w:r>
          </w:p>
          <w:p w:rsidR="006C49BC" w:rsidRPr="00131315" w:rsidRDefault="006C49BC" w:rsidP="006908C9">
            <w:pPr>
              <w:jc w:val="center"/>
              <w:rPr>
                <w:color w:val="000000"/>
                <w:sz w:val="20"/>
                <w:szCs w:val="20"/>
              </w:rPr>
            </w:pPr>
            <w:r>
              <w:rPr>
                <w:rFonts w:ascii="Arial Narrow" w:hAnsi="Arial Narrow"/>
                <w:b/>
                <w:bCs/>
                <w:color w:val="000000"/>
                <w:sz w:val="16"/>
                <w:szCs w:val="16"/>
              </w:rPr>
              <w:t>2016</w:t>
            </w:r>
          </w:p>
        </w:tc>
        <w:tc>
          <w:tcPr>
            <w:tcW w:w="850" w:type="dxa"/>
            <w:tcBorders>
              <w:top w:val="single" w:sz="6" w:space="0" w:color="auto"/>
              <w:left w:val="single" w:sz="6" w:space="0" w:color="auto"/>
              <w:bottom w:val="single" w:sz="6" w:space="0" w:color="auto"/>
              <w:right w:val="single" w:sz="6" w:space="0" w:color="auto"/>
            </w:tcBorders>
            <w:shd w:val="clear" w:color="000000" w:fill="FFFFFF"/>
            <w:vAlign w:val="bottom"/>
            <w:hideMark/>
          </w:tcPr>
          <w:p w:rsidR="006C49BC" w:rsidRDefault="006C49BC" w:rsidP="00D650B7">
            <w:pPr>
              <w:jc w:val="center"/>
              <w:rPr>
                <w:rFonts w:ascii="Arial Narrow" w:hAnsi="Arial Narrow"/>
                <w:b/>
                <w:bCs/>
                <w:color w:val="000000"/>
                <w:sz w:val="16"/>
                <w:szCs w:val="16"/>
              </w:rPr>
            </w:pPr>
            <w:r>
              <w:rPr>
                <w:rFonts w:ascii="Arial Narrow" w:hAnsi="Arial Narrow"/>
                <w:b/>
                <w:bCs/>
                <w:color w:val="000000"/>
                <w:sz w:val="16"/>
                <w:szCs w:val="16"/>
              </w:rPr>
              <w:t>Ιαν.-Δεκ.</w:t>
            </w:r>
          </w:p>
          <w:p w:rsidR="006C49BC" w:rsidRPr="00131315" w:rsidRDefault="006C49BC" w:rsidP="00D650B7">
            <w:pPr>
              <w:jc w:val="center"/>
              <w:rPr>
                <w:rFonts w:ascii="Arial Narrow" w:hAnsi="Arial Narrow"/>
                <w:b/>
                <w:bCs/>
                <w:color w:val="000000"/>
                <w:sz w:val="16"/>
                <w:szCs w:val="16"/>
              </w:rPr>
            </w:pPr>
            <w:r>
              <w:rPr>
                <w:rFonts w:ascii="Arial Narrow" w:hAnsi="Arial Narrow"/>
                <w:b/>
                <w:bCs/>
                <w:color w:val="000000"/>
                <w:sz w:val="16"/>
                <w:szCs w:val="16"/>
              </w:rPr>
              <w:t>2017</w:t>
            </w:r>
          </w:p>
        </w:tc>
        <w:tc>
          <w:tcPr>
            <w:tcW w:w="851" w:type="dxa"/>
            <w:tcBorders>
              <w:top w:val="single" w:sz="6" w:space="0" w:color="auto"/>
              <w:left w:val="single" w:sz="6" w:space="0" w:color="auto"/>
              <w:bottom w:val="single" w:sz="6" w:space="0" w:color="auto"/>
              <w:right w:val="single" w:sz="6" w:space="0" w:color="auto"/>
            </w:tcBorders>
            <w:shd w:val="clear" w:color="000000" w:fill="FFFFFF"/>
            <w:vAlign w:val="bottom"/>
            <w:hideMark/>
          </w:tcPr>
          <w:p w:rsidR="006C49BC" w:rsidRDefault="006C49BC" w:rsidP="00910B7B">
            <w:pPr>
              <w:jc w:val="center"/>
              <w:rPr>
                <w:rFonts w:ascii="Arial Narrow" w:hAnsi="Arial Narrow"/>
                <w:b/>
                <w:bCs/>
                <w:color w:val="000000"/>
                <w:sz w:val="16"/>
                <w:szCs w:val="16"/>
              </w:rPr>
            </w:pPr>
            <w:r>
              <w:rPr>
                <w:rFonts w:ascii="Arial Narrow" w:hAnsi="Arial Narrow"/>
                <w:b/>
                <w:bCs/>
                <w:color w:val="000000"/>
                <w:sz w:val="16"/>
                <w:szCs w:val="16"/>
              </w:rPr>
              <w:t>Ιαν.-Σεπτ.</w:t>
            </w:r>
          </w:p>
          <w:p w:rsidR="006C49BC" w:rsidRPr="00131315" w:rsidRDefault="006C49BC" w:rsidP="00910B7B">
            <w:pPr>
              <w:jc w:val="center"/>
              <w:rPr>
                <w:rFonts w:ascii="Arial Narrow" w:hAnsi="Arial Narrow"/>
                <w:b/>
                <w:bCs/>
                <w:color w:val="000000"/>
                <w:sz w:val="16"/>
                <w:szCs w:val="16"/>
              </w:rPr>
            </w:pPr>
            <w:r>
              <w:rPr>
                <w:rFonts w:ascii="Arial Narrow" w:hAnsi="Arial Narrow"/>
                <w:b/>
                <w:bCs/>
                <w:color w:val="000000"/>
                <w:sz w:val="16"/>
                <w:szCs w:val="16"/>
              </w:rPr>
              <w:t>2018</w:t>
            </w:r>
          </w:p>
        </w:tc>
        <w:tc>
          <w:tcPr>
            <w:tcW w:w="850"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6C49BC" w:rsidRPr="00131315" w:rsidRDefault="006C49BC" w:rsidP="005201F3">
            <w:pPr>
              <w:jc w:val="center"/>
              <w:rPr>
                <w:rFonts w:ascii="Arial Narrow" w:hAnsi="Arial Narrow"/>
                <w:b/>
                <w:bCs/>
                <w:color w:val="000000"/>
                <w:sz w:val="16"/>
                <w:szCs w:val="16"/>
              </w:rPr>
            </w:pPr>
            <w:r w:rsidRPr="00131315">
              <w:rPr>
                <w:rFonts w:ascii="Arial Narrow" w:hAnsi="Arial Narrow"/>
                <w:b/>
                <w:bCs/>
                <w:color w:val="000000"/>
                <w:sz w:val="16"/>
                <w:szCs w:val="16"/>
              </w:rPr>
              <w:t>Σύνολο</w:t>
            </w:r>
          </w:p>
        </w:tc>
        <w:tc>
          <w:tcPr>
            <w:tcW w:w="851" w:type="dxa"/>
            <w:tcBorders>
              <w:top w:val="single" w:sz="6" w:space="0" w:color="auto"/>
              <w:left w:val="single" w:sz="6" w:space="0" w:color="auto"/>
              <w:bottom w:val="single" w:sz="6" w:space="0" w:color="auto"/>
              <w:right w:val="single" w:sz="6" w:space="0" w:color="auto"/>
            </w:tcBorders>
            <w:shd w:val="clear" w:color="000000" w:fill="FFFFFF"/>
            <w:vAlign w:val="bottom"/>
            <w:hideMark/>
          </w:tcPr>
          <w:p w:rsidR="006C49BC" w:rsidRDefault="001D75D4" w:rsidP="009B023E">
            <w:pPr>
              <w:jc w:val="center"/>
              <w:rPr>
                <w:rFonts w:ascii="Arial Narrow" w:hAnsi="Arial Narrow"/>
                <w:b/>
                <w:bCs/>
                <w:color w:val="000000"/>
                <w:sz w:val="16"/>
                <w:szCs w:val="16"/>
              </w:rPr>
            </w:pPr>
            <w:r>
              <w:rPr>
                <w:rFonts w:ascii="Arial Narrow" w:hAnsi="Arial Narrow"/>
                <w:b/>
                <w:bCs/>
                <w:color w:val="000000"/>
                <w:sz w:val="16"/>
                <w:szCs w:val="16"/>
              </w:rPr>
              <w:t>Ιού</w:t>
            </w:r>
            <w:r w:rsidR="006C49BC">
              <w:rPr>
                <w:rFonts w:ascii="Arial Narrow" w:hAnsi="Arial Narrow"/>
                <w:b/>
                <w:bCs/>
                <w:color w:val="000000"/>
                <w:sz w:val="16"/>
                <w:szCs w:val="16"/>
              </w:rPr>
              <w:t>λ.-Δεκ.</w:t>
            </w:r>
          </w:p>
          <w:p w:rsidR="006C49BC" w:rsidRPr="00131315" w:rsidRDefault="006C49BC" w:rsidP="0068124D">
            <w:pPr>
              <w:jc w:val="center"/>
              <w:rPr>
                <w:color w:val="000000"/>
                <w:sz w:val="20"/>
                <w:szCs w:val="20"/>
              </w:rPr>
            </w:pPr>
            <w:r>
              <w:rPr>
                <w:rFonts w:ascii="Arial Narrow" w:hAnsi="Arial Narrow"/>
                <w:b/>
                <w:bCs/>
                <w:color w:val="000000"/>
                <w:sz w:val="16"/>
                <w:szCs w:val="16"/>
              </w:rPr>
              <w:t>2016</w:t>
            </w:r>
          </w:p>
        </w:tc>
        <w:tc>
          <w:tcPr>
            <w:tcW w:w="850" w:type="dxa"/>
            <w:tcBorders>
              <w:top w:val="single" w:sz="6" w:space="0" w:color="auto"/>
              <w:left w:val="single" w:sz="6" w:space="0" w:color="auto"/>
              <w:bottom w:val="single" w:sz="6" w:space="0" w:color="auto"/>
              <w:right w:val="single" w:sz="6" w:space="0" w:color="auto"/>
            </w:tcBorders>
            <w:shd w:val="clear" w:color="000000" w:fill="FFFFFF"/>
            <w:vAlign w:val="bottom"/>
          </w:tcPr>
          <w:p w:rsidR="006C49BC" w:rsidRDefault="006C49BC" w:rsidP="0068124D">
            <w:pPr>
              <w:jc w:val="center"/>
              <w:rPr>
                <w:rFonts w:ascii="Arial Narrow" w:hAnsi="Arial Narrow"/>
                <w:b/>
                <w:bCs/>
                <w:color w:val="000000"/>
                <w:sz w:val="16"/>
                <w:szCs w:val="16"/>
              </w:rPr>
            </w:pPr>
            <w:r>
              <w:rPr>
                <w:rFonts w:ascii="Arial Narrow" w:hAnsi="Arial Narrow"/>
                <w:b/>
                <w:bCs/>
                <w:color w:val="000000"/>
                <w:sz w:val="16"/>
                <w:szCs w:val="16"/>
              </w:rPr>
              <w:t>Ιαν.-Δεκ.</w:t>
            </w:r>
          </w:p>
          <w:p w:rsidR="006C49BC" w:rsidRPr="00131315" w:rsidRDefault="006C49BC" w:rsidP="0068124D">
            <w:pPr>
              <w:jc w:val="center"/>
              <w:rPr>
                <w:rFonts w:ascii="Arial Narrow" w:hAnsi="Arial Narrow"/>
                <w:b/>
                <w:bCs/>
                <w:color w:val="000000"/>
                <w:sz w:val="16"/>
                <w:szCs w:val="16"/>
              </w:rPr>
            </w:pPr>
            <w:r>
              <w:rPr>
                <w:rFonts w:ascii="Arial Narrow" w:hAnsi="Arial Narrow"/>
                <w:b/>
                <w:bCs/>
                <w:color w:val="000000"/>
                <w:sz w:val="16"/>
                <w:szCs w:val="16"/>
              </w:rPr>
              <w:t>2017</w:t>
            </w:r>
          </w:p>
        </w:tc>
        <w:tc>
          <w:tcPr>
            <w:tcW w:w="850" w:type="dxa"/>
            <w:tcBorders>
              <w:top w:val="single" w:sz="6" w:space="0" w:color="auto"/>
              <w:left w:val="single" w:sz="6" w:space="0" w:color="auto"/>
              <w:bottom w:val="single" w:sz="6" w:space="0" w:color="auto"/>
              <w:right w:val="single" w:sz="6" w:space="0" w:color="auto"/>
            </w:tcBorders>
            <w:shd w:val="clear" w:color="000000" w:fill="FFFFFF"/>
            <w:vAlign w:val="bottom"/>
            <w:hideMark/>
          </w:tcPr>
          <w:p w:rsidR="006C49BC" w:rsidRPr="00B84239" w:rsidRDefault="006C49BC" w:rsidP="0068124D">
            <w:pPr>
              <w:jc w:val="center"/>
              <w:rPr>
                <w:rFonts w:ascii="Arial Narrow" w:hAnsi="Arial Narrow"/>
                <w:b/>
                <w:bCs/>
                <w:color w:val="000000"/>
                <w:sz w:val="16"/>
                <w:szCs w:val="16"/>
              </w:rPr>
            </w:pPr>
            <w:r w:rsidRPr="00B84239">
              <w:rPr>
                <w:rFonts w:ascii="Arial Narrow" w:hAnsi="Arial Narrow"/>
                <w:b/>
                <w:bCs/>
                <w:color w:val="000000"/>
                <w:sz w:val="16"/>
                <w:szCs w:val="16"/>
              </w:rPr>
              <w:t>Ιαν.-Σεπτ.</w:t>
            </w:r>
          </w:p>
          <w:p w:rsidR="006C49BC" w:rsidRPr="00B84239" w:rsidRDefault="006C49BC" w:rsidP="0068124D">
            <w:pPr>
              <w:jc w:val="center"/>
              <w:rPr>
                <w:rFonts w:ascii="Arial Narrow" w:hAnsi="Arial Narrow"/>
                <w:b/>
                <w:bCs/>
                <w:color w:val="000000"/>
                <w:sz w:val="16"/>
                <w:szCs w:val="16"/>
              </w:rPr>
            </w:pPr>
            <w:r w:rsidRPr="00B84239">
              <w:rPr>
                <w:rFonts w:ascii="Arial Narrow" w:hAnsi="Arial Narrow"/>
                <w:b/>
                <w:bCs/>
                <w:color w:val="000000"/>
                <w:sz w:val="16"/>
                <w:szCs w:val="16"/>
              </w:rPr>
              <w:t>2018</w:t>
            </w:r>
          </w:p>
        </w:tc>
        <w:tc>
          <w:tcPr>
            <w:tcW w:w="867" w:type="dxa"/>
            <w:tcBorders>
              <w:top w:val="single" w:sz="6" w:space="0" w:color="auto"/>
              <w:left w:val="single" w:sz="6" w:space="0" w:color="auto"/>
              <w:bottom w:val="single" w:sz="6" w:space="0" w:color="auto"/>
            </w:tcBorders>
            <w:shd w:val="clear" w:color="000000" w:fill="FFFFFF"/>
            <w:vAlign w:val="center"/>
            <w:hideMark/>
          </w:tcPr>
          <w:p w:rsidR="006C49BC" w:rsidRPr="00B84239" w:rsidRDefault="006C49BC" w:rsidP="005201F3">
            <w:pPr>
              <w:jc w:val="center"/>
              <w:rPr>
                <w:rFonts w:ascii="Arial Narrow" w:hAnsi="Arial Narrow"/>
                <w:b/>
                <w:bCs/>
                <w:color w:val="000000"/>
                <w:sz w:val="16"/>
                <w:szCs w:val="16"/>
              </w:rPr>
            </w:pPr>
            <w:r w:rsidRPr="00B84239">
              <w:rPr>
                <w:rFonts w:ascii="Arial Narrow" w:hAnsi="Arial Narrow"/>
                <w:b/>
                <w:bCs/>
                <w:color w:val="000000"/>
                <w:sz w:val="16"/>
                <w:szCs w:val="16"/>
              </w:rPr>
              <w:t>Σύνολο</w:t>
            </w:r>
          </w:p>
        </w:tc>
      </w:tr>
      <w:tr w:rsidR="000B6618" w:rsidRPr="00131315" w:rsidTr="0068124D">
        <w:trPr>
          <w:trHeight w:val="20"/>
        </w:trPr>
        <w:tc>
          <w:tcPr>
            <w:tcW w:w="2345" w:type="dxa"/>
            <w:tcBorders>
              <w:top w:val="single" w:sz="6" w:space="0" w:color="auto"/>
              <w:bottom w:val="nil"/>
              <w:right w:val="nil"/>
            </w:tcBorders>
            <w:shd w:val="clear" w:color="000000" w:fill="FFFFFF"/>
            <w:noWrap/>
            <w:vAlign w:val="bottom"/>
            <w:hideMark/>
          </w:tcPr>
          <w:p w:rsidR="000B6618" w:rsidRPr="00131315" w:rsidRDefault="000B6618" w:rsidP="001769DA">
            <w:pPr>
              <w:rPr>
                <w:rFonts w:ascii="Arial Narrow" w:hAnsi="Arial Narrow"/>
                <w:color w:val="000000"/>
                <w:sz w:val="16"/>
                <w:szCs w:val="16"/>
              </w:rPr>
            </w:pPr>
            <w:r w:rsidRPr="00131315">
              <w:rPr>
                <w:rFonts w:ascii="Arial Narrow" w:hAnsi="Arial Narrow"/>
                <w:color w:val="000000"/>
                <w:sz w:val="16"/>
                <w:szCs w:val="16"/>
              </w:rPr>
              <w:t>Κράτος</w:t>
            </w:r>
            <w:r>
              <w:rPr>
                <w:rFonts w:ascii="Arial Narrow" w:hAnsi="Arial Narrow"/>
                <w:color w:val="000000"/>
                <w:sz w:val="16"/>
                <w:szCs w:val="16"/>
              </w:rPr>
              <w:t>*</w:t>
            </w:r>
          </w:p>
        </w:tc>
        <w:tc>
          <w:tcPr>
            <w:tcW w:w="851" w:type="dxa"/>
            <w:tcBorders>
              <w:top w:val="single" w:sz="6" w:space="0" w:color="auto"/>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467 </w:t>
            </w:r>
          </w:p>
        </w:tc>
        <w:tc>
          <w:tcPr>
            <w:tcW w:w="850" w:type="dxa"/>
            <w:tcBorders>
              <w:top w:val="single" w:sz="6" w:space="0" w:color="auto"/>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 </w:t>
            </w:r>
          </w:p>
        </w:tc>
        <w:tc>
          <w:tcPr>
            <w:tcW w:w="851" w:type="dxa"/>
            <w:tcBorders>
              <w:top w:val="single" w:sz="6" w:space="0" w:color="auto"/>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2 </w:t>
            </w:r>
          </w:p>
        </w:tc>
        <w:tc>
          <w:tcPr>
            <w:tcW w:w="850" w:type="dxa"/>
            <w:tcBorders>
              <w:top w:val="single" w:sz="6" w:space="0" w:color="auto"/>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473 </w:t>
            </w:r>
          </w:p>
        </w:tc>
        <w:tc>
          <w:tcPr>
            <w:tcW w:w="851" w:type="dxa"/>
            <w:tcBorders>
              <w:top w:val="single" w:sz="6" w:space="0" w:color="auto"/>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467 </w:t>
            </w:r>
          </w:p>
        </w:tc>
        <w:tc>
          <w:tcPr>
            <w:tcW w:w="850" w:type="dxa"/>
            <w:tcBorders>
              <w:top w:val="single" w:sz="6" w:space="0" w:color="auto"/>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 </w:t>
            </w:r>
          </w:p>
        </w:tc>
        <w:tc>
          <w:tcPr>
            <w:tcW w:w="850" w:type="dxa"/>
            <w:tcBorders>
              <w:top w:val="single" w:sz="6" w:space="0" w:color="auto"/>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 </w:t>
            </w:r>
          </w:p>
        </w:tc>
        <w:tc>
          <w:tcPr>
            <w:tcW w:w="867" w:type="dxa"/>
            <w:tcBorders>
              <w:top w:val="single" w:sz="6" w:space="0" w:color="auto"/>
              <w:left w:val="nil"/>
              <w:bottom w:val="nil"/>
            </w:tcBorders>
            <w:shd w:val="clear" w:color="000000" w:fill="FFFFFF"/>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472 </w:t>
            </w:r>
          </w:p>
        </w:tc>
      </w:tr>
      <w:tr w:rsidR="000B6618" w:rsidRPr="00131315" w:rsidTr="0068124D">
        <w:trPr>
          <w:trHeight w:val="20"/>
        </w:trPr>
        <w:tc>
          <w:tcPr>
            <w:tcW w:w="2345" w:type="dxa"/>
            <w:tcBorders>
              <w:top w:val="nil"/>
              <w:bottom w:val="nil"/>
              <w:right w:val="nil"/>
            </w:tcBorders>
            <w:shd w:val="clear" w:color="000000" w:fill="FFFFFF"/>
            <w:noWrap/>
            <w:vAlign w:val="bottom"/>
            <w:hideMark/>
          </w:tcPr>
          <w:p w:rsidR="000B6618" w:rsidRPr="00131315" w:rsidRDefault="000B6618" w:rsidP="001769DA">
            <w:pPr>
              <w:rPr>
                <w:rFonts w:ascii="Arial Narrow" w:hAnsi="Arial Narrow"/>
                <w:color w:val="000000"/>
                <w:sz w:val="16"/>
                <w:szCs w:val="16"/>
              </w:rPr>
            </w:pPr>
            <w:r w:rsidRPr="00131315">
              <w:rPr>
                <w:rFonts w:ascii="Arial Narrow" w:hAnsi="Arial Narrow"/>
                <w:color w:val="000000"/>
                <w:sz w:val="16"/>
                <w:szCs w:val="16"/>
              </w:rPr>
              <w:t>Οργανισμοί Τοπικής Αυτοδιοίκησης</w:t>
            </w:r>
          </w:p>
        </w:tc>
        <w:tc>
          <w:tcPr>
            <w:tcW w:w="851"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81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115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126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322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56 </w:t>
            </w:r>
          </w:p>
        </w:tc>
        <w:tc>
          <w:tcPr>
            <w:tcW w:w="850"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128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59 </w:t>
            </w:r>
          </w:p>
        </w:tc>
        <w:tc>
          <w:tcPr>
            <w:tcW w:w="867" w:type="dxa"/>
            <w:tcBorders>
              <w:top w:val="nil"/>
              <w:left w:val="nil"/>
              <w:bottom w:val="nil"/>
            </w:tcBorders>
            <w:shd w:val="clear" w:color="000000" w:fill="FFFFFF"/>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244 </w:t>
            </w:r>
          </w:p>
        </w:tc>
      </w:tr>
      <w:tr w:rsidR="000B6618" w:rsidRPr="00131315" w:rsidTr="0068124D">
        <w:trPr>
          <w:trHeight w:val="20"/>
        </w:trPr>
        <w:tc>
          <w:tcPr>
            <w:tcW w:w="2345" w:type="dxa"/>
            <w:tcBorders>
              <w:top w:val="nil"/>
              <w:bottom w:val="nil"/>
              <w:right w:val="nil"/>
            </w:tcBorders>
            <w:shd w:val="clear" w:color="000000" w:fill="FFFFFF"/>
            <w:vAlign w:val="bottom"/>
            <w:hideMark/>
          </w:tcPr>
          <w:p w:rsidR="000B6618" w:rsidRPr="00131315" w:rsidRDefault="000B6618" w:rsidP="001769DA">
            <w:pPr>
              <w:rPr>
                <w:rFonts w:ascii="Arial Narrow" w:hAnsi="Arial Narrow"/>
                <w:color w:val="000000"/>
                <w:sz w:val="16"/>
                <w:szCs w:val="16"/>
              </w:rPr>
            </w:pPr>
            <w:r w:rsidRPr="00131315">
              <w:rPr>
                <w:rFonts w:ascii="Arial Narrow" w:hAnsi="Arial Narrow"/>
                <w:color w:val="000000"/>
                <w:sz w:val="16"/>
                <w:szCs w:val="16"/>
              </w:rPr>
              <w:t xml:space="preserve">Οργανισμοί Κοινωνικής Ασφάλισης </w:t>
            </w:r>
          </w:p>
        </w:tc>
        <w:tc>
          <w:tcPr>
            <w:tcW w:w="851"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1.097 </w:t>
            </w:r>
          </w:p>
        </w:tc>
        <w:tc>
          <w:tcPr>
            <w:tcW w:w="850" w:type="dxa"/>
            <w:tcBorders>
              <w:top w:val="nil"/>
              <w:left w:val="nil"/>
              <w:bottom w:val="nil"/>
              <w:right w:val="nil"/>
            </w:tcBorders>
            <w:shd w:val="clear" w:color="000000" w:fill="FFFFFF"/>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501 </w:t>
            </w:r>
          </w:p>
        </w:tc>
        <w:tc>
          <w:tcPr>
            <w:tcW w:w="851" w:type="dxa"/>
            <w:tcBorders>
              <w:top w:val="nil"/>
              <w:left w:val="nil"/>
              <w:bottom w:val="nil"/>
              <w:right w:val="nil"/>
            </w:tcBorders>
            <w:shd w:val="clear" w:color="000000" w:fill="FFFFFF"/>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483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2.081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922 </w:t>
            </w:r>
          </w:p>
        </w:tc>
        <w:tc>
          <w:tcPr>
            <w:tcW w:w="850"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527 </w:t>
            </w:r>
          </w:p>
        </w:tc>
        <w:tc>
          <w:tcPr>
            <w:tcW w:w="850" w:type="dxa"/>
            <w:tcBorders>
              <w:top w:val="nil"/>
              <w:left w:val="nil"/>
              <w:bottom w:val="nil"/>
              <w:right w:val="nil"/>
            </w:tcBorders>
            <w:shd w:val="clear" w:color="000000" w:fill="FFFFFF"/>
            <w:vAlign w:val="center"/>
            <w:hideMark/>
          </w:tcPr>
          <w:p w:rsidR="000B6618" w:rsidRPr="000B6618" w:rsidRDefault="00B84239" w:rsidP="000B6618">
            <w:pPr>
              <w:ind w:right="227"/>
              <w:contextualSpacing/>
              <w:jc w:val="right"/>
              <w:rPr>
                <w:rFonts w:ascii="Arial Narrow" w:hAnsi="Arial Narrow"/>
                <w:color w:val="000000"/>
                <w:sz w:val="16"/>
                <w:szCs w:val="16"/>
              </w:rPr>
            </w:pPr>
            <w:r>
              <w:rPr>
                <w:rFonts w:ascii="Arial Narrow" w:hAnsi="Arial Narrow"/>
                <w:color w:val="000000"/>
                <w:sz w:val="16"/>
                <w:szCs w:val="16"/>
              </w:rPr>
              <w:t>352</w:t>
            </w:r>
          </w:p>
        </w:tc>
        <w:tc>
          <w:tcPr>
            <w:tcW w:w="867" w:type="dxa"/>
            <w:tcBorders>
              <w:top w:val="nil"/>
              <w:left w:val="nil"/>
              <w:bottom w:val="nil"/>
            </w:tcBorders>
            <w:shd w:val="clear" w:color="000000" w:fill="FFFFFF"/>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1.801 </w:t>
            </w:r>
          </w:p>
        </w:tc>
      </w:tr>
      <w:tr w:rsidR="000B6618" w:rsidRPr="001D75D4" w:rsidTr="0068124D">
        <w:trPr>
          <w:trHeight w:val="20"/>
        </w:trPr>
        <w:tc>
          <w:tcPr>
            <w:tcW w:w="2345" w:type="dxa"/>
            <w:tcBorders>
              <w:top w:val="nil"/>
              <w:bottom w:val="nil"/>
              <w:right w:val="nil"/>
            </w:tcBorders>
            <w:shd w:val="clear" w:color="000000" w:fill="FFFFFF"/>
            <w:noWrap/>
            <w:vAlign w:val="bottom"/>
            <w:hideMark/>
          </w:tcPr>
          <w:p w:rsidR="000B6618" w:rsidRPr="001D75D4" w:rsidRDefault="000B6618" w:rsidP="001769DA">
            <w:pPr>
              <w:rPr>
                <w:rFonts w:ascii="Arial Narrow" w:hAnsi="Arial Narrow"/>
                <w:i/>
                <w:iCs/>
                <w:color w:val="000000"/>
                <w:sz w:val="16"/>
                <w:szCs w:val="16"/>
              </w:rPr>
            </w:pPr>
            <w:r w:rsidRPr="001D75D4">
              <w:rPr>
                <w:rFonts w:ascii="Arial Narrow" w:hAnsi="Arial Narrow"/>
                <w:i/>
                <w:iCs/>
                <w:color w:val="000000"/>
                <w:sz w:val="16"/>
                <w:szCs w:val="16"/>
              </w:rPr>
              <w:t xml:space="preserve">    εκ των οποίων ΕΟΠΥΥ</w:t>
            </w:r>
          </w:p>
        </w:tc>
        <w:tc>
          <w:tcPr>
            <w:tcW w:w="851" w:type="dxa"/>
            <w:tcBorders>
              <w:top w:val="nil"/>
              <w:left w:val="nil"/>
              <w:bottom w:val="nil"/>
              <w:right w:val="nil"/>
            </w:tcBorders>
            <w:shd w:val="clear" w:color="000000" w:fill="FFFFFF"/>
            <w:vAlign w:val="center"/>
          </w:tcPr>
          <w:p w:rsidR="000B6618" w:rsidRPr="001D75D4" w:rsidRDefault="000B6618" w:rsidP="000B6618">
            <w:pPr>
              <w:ind w:right="227"/>
              <w:contextualSpacing/>
              <w:jc w:val="right"/>
              <w:rPr>
                <w:rFonts w:ascii="Arial Narrow" w:hAnsi="Arial Narrow"/>
                <w:i/>
                <w:iCs/>
                <w:color w:val="000000"/>
                <w:sz w:val="16"/>
                <w:szCs w:val="16"/>
              </w:rPr>
            </w:pPr>
            <w:r w:rsidRPr="001D75D4">
              <w:rPr>
                <w:rFonts w:ascii="Arial Narrow" w:hAnsi="Arial Narrow"/>
                <w:i/>
                <w:iCs/>
                <w:color w:val="000000"/>
                <w:sz w:val="16"/>
                <w:szCs w:val="16"/>
              </w:rPr>
              <w:t xml:space="preserve">675 </w:t>
            </w:r>
          </w:p>
        </w:tc>
        <w:tc>
          <w:tcPr>
            <w:tcW w:w="850" w:type="dxa"/>
            <w:tcBorders>
              <w:top w:val="nil"/>
              <w:left w:val="nil"/>
              <w:bottom w:val="nil"/>
              <w:right w:val="nil"/>
            </w:tcBorders>
            <w:shd w:val="clear" w:color="000000" w:fill="FFFFFF"/>
            <w:noWrap/>
            <w:vAlign w:val="center"/>
            <w:hideMark/>
          </w:tcPr>
          <w:p w:rsidR="000B6618" w:rsidRPr="001D75D4" w:rsidRDefault="000B6618" w:rsidP="000B6618">
            <w:pPr>
              <w:ind w:right="227"/>
              <w:contextualSpacing/>
              <w:jc w:val="right"/>
              <w:rPr>
                <w:rFonts w:ascii="Arial Narrow" w:hAnsi="Arial Narrow"/>
                <w:i/>
                <w:color w:val="000000"/>
                <w:sz w:val="16"/>
                <w:szCs w:val="16"/>
              </w:rPr>
            </w:pPr>
            <w:r w:rsidRPr="001D75D4">
              <w:rPr>
                <w:rFonts w:ascii="Arial Narrow" w:hAnsi="Arial Narrow"/>
                <w:i/>
                <w:color w:val="000000"/>
                <w:sz w:val="16"/>
                <w:szCs w:val="16"/>
              </w:rPr>
              <w:t xml:space="preserve">0 </w:t>
            </w:r>
          </w:p>
        </w:tc>
        <w:tc>
          <w:tcPr>
            <w:tcW w:w="851" w:type="dxa"/>
            <w:tcBorders>
              <w:top w:val="nil"/>
              <w:left w:val="nil"/>
              <w:bottom w:val="nil"/>
              <w:right w:val="nil"/>
            </w:tcBorders>
            <w:shd w:val="clear" w:color="000000" w:fill="FFFFFF"/>
            <w:noWrap/>
            <w:vAlign w:val="center"/>
            <w:hideMark/>
          </w:tcPr>
          <w:p w:rsidR="000B6618" w:rsidRPr="001D75D4" w:rsidRDefault="000B6618" w:rsidP="000B6618">
            <w:pPr>
              <w:ind w:right="227"/>
              <w:contextualSpacing/>
              <w:jc w:val="right"/>
              <w:rPr>
                <w:rFonts w:ascii="Arial Narrow" w:hAnsi="Arial Narrow"/>
                <w:i/>
                <w:iCs/>
                <w:sz w:val="16"/>
                <w:szCs w:val="16"/>
              </w:rPr>
            </w:pPr>
            <w:r w:rsidRPr="001D75D4">
              <w:rPr>
                <w:rFonts w:ascii="Arial Narrow" w:hAnsi="Arial Narrow"/>
                <w:i/>
                <w:iCs/>
                <w:sz w:val="16"/>
                <w:szCs w:val="16"/>
              </w:rPr>
              <w:t xml:space="preserve">0 </w:t>
            </w:r>
          </w:p>
        </w:tc>
        <w:tc>
          <w:tcPr>
            <w:tcW w:w="850" w:type="dxa"/>
            <w:tcBorders>
              <w:top w:val="nil"/>
              <w:left w:val="nil"/>
              <w:bottom w:val="nil"/>
              <w:right w:val="nil"/>
            </w:tcBorders>
            <w:shd w:val="clear" w:color="000000" w:fill="FFFFFF"/>
            <w:noWrap/>
            <w:vAlign w:val="center"/>
            <w:hideMark/>
          </w:tcPr>
          <w:p w:rsidR="000B6618" w:rsidRPr="001D75D4" w:rsidRDefault="000B6618" w:rsidP="000B6618">
            <w:pPr>
              <w:ind w:right="227"/>
              <w:contextualSpacing/>
              <w:jc w:val="right"/>
              <w:rPr>
                <w:rFonts w:ascii="Arial Narrow" w:hAnsi="Arial Narrow"/>
                <w:i/>
                <w:color w:val="000000"/>
                <w:sz w:val="16"/>
                <w:szCs w:val="16"/>
              </w:rPr>
            </w:pPr>
            <w:r w:rsidRPr="001D75D4">
              <w:rPr>
                <w:rFonts w:ascii="Arial Narrow" w:hAnsi="Arial Narrow"/>
                <w:i/>
                <w:color w:val="000000"/>
                <w:sz w:val="16"/>
                <w:szCs w:val="16"/>
              </w:rPr>
              <w:t xml:space="preserve">674 </w:t>
            </w:r>
          </w:p>
        </w:tc>
        <w:tc>
          <w:tcPr>
            <w:tcW w:w="851" w:type="dxa"/>
            <w:tcBorders>
              <w:top w:val="nil"/>
              <w:left w:val="nil"/>
              <w:bottom w:val="nil"/>
              <w:right w:val="nil"/>
            </w:tcBorders>
            <w:shd w:val="clear" w:color="000000" w:fill="FFFFFF"/>
            <w:noWrap/>
            <w:vAlign w:val="center"/>
            <w:hideMark/>
          </w:tcPr>
          <w:p w:rsidR="000B6618" w:rsidRPr="001D75D4" w:rsidRDefault="000B6618" w:rsidP="000B6618">
            <w:pPr>
              <w:ind w:right="227"/>
              <w:contextualSpacing/>
              <w:jc w:val="right"/>
              <w:rPr>
                <w:rFonts w:ascii="Arial Narrow" w:hAnsi="Arial Narrow"/>
                <w:i/>
                <w:iCs/>
                <w:color w:val="000000"/>
                <w:sz w:val="16"/>
                <w:szCs w:val="16"/>
              </w:rPr>
            </w:pPr>
            <w:r w:rsidRPr="001D75D4">
              <w:rPr>
                <w:rFonts w:ascii="Arial Narrow" w:hAnsi="Arial Narrow"/>
                <w:i/>
                <w:iCs/>
                <w:color w:val="000000"/>
                <w:sz w:val="16"/>
                <w:szCs w:val="16"/>
              </w:rPr>
              <w:t xml:space="preserve">504 </w:t>
            </w:r>
          </w:p>
        </w:tc>
        <w:tc>
          <w:tcPr>
            <w:tcW w:w="850" w:type="dxa"/>
            <w:tcBorders>
              <w:top w:val="nil"/>
              <w:left w:val="nil"/>
              <w:bottom w:val="nil"/>
              <w:right w:val="nil"/>
            </w:tcBorders>
            <w:shd w:val="clear" w:color="000000" w:fill="FFFFFF"/>
            <w:vAlign w:val="center"/>
          </w:tcPr>
          <w:p w:rsidR="000B6618" w:rsidRPr="001D75D4" w:rsidRDefault="000B6618" w:rsidP="000B6618">
            <w:pPr>
              <w:ind w:right="227"/>
              <w:contextualSpacing/>
              <w:jc w:val="right"/>
              <w:rPr>
                <w:rFonts w:ascii="Arial Narrow" w:hAnsi="Arial Narrow"/>
                <w:i/>
                <w:color w:val="000000"/>
                <w:sz w:val="16"/>
                <w:szCs w:val="16"/>
              </w:rPr>
            </w:pPr>
            <w:r w:rsidRPr="001D75D4">
              <w:rPr>
                <w:rFonts w:ascii="Arial Narrow" w:hAnsi="Arial Narrow"/>
                <w:i/>
                <w:color w:val="000000"/>
                <w:sz w:val="16"/>
                <w:szCs w:val="16"/>
              </w:rPr>
              <w:t xml:space="preserve">94 </w:t>
            </w:r>
          </w:p>
        </w:tc>
        <w:tc>
          <w:tcPr>
            <w:tcW w:w="850" w:type="dxa"/>
            <w:tcBorders>
              <w:top w:val="nil"/>
              <w:left w:val="nil"/>
              <w:bottom w:val="nil"/>
              <w:right w:val="nil"/>
            </w:tcBorders>
            <w:shd w:val="clear" w:color="000000" w:fill="FFFFFF"/>
            <w:noWrap/>
            <w:vAlign w:val="center"/>
            <w:hideMark/>
          </w:tcPr>
          <w:p w:rsidR="000B6618" w:rsidRPr="001D75D4" w:rsidRDefault="000B6618" w:rsidP="000B6618">
            <w:pPr>
              <w:ind w:right="227"/>
              <w:contextualSpacing/>
              <w:jc w:val="right"/>
              <w:rPr>
                <w:rFonts w:ascii="Arial Narrow" w:hAnsi="Arial Narrow"/>
                <w:i/>
                <w:iCs/>
                <w:color w:val="000000"/>
                <w:sz w:val="16"/>
                <w:szCs w:val="16"/>
              </w:rPr>
            </w:pPr>
            <w:r w:rsidRPr="001D75D4">
              <w:rPr>
                <w:rFonts w:ascii="Arial Narrow" w:hAnsi="Arial Narrow"/>
                <w:i/>
                <w:iCs/>
                <w:color w:val="000000"/>
                <w:sz w:val="16"/>
                <w:szCs w:val="16"/>
              </w:rPr>
              <w:t xml:space="preserve">25 </w:t>
            </w:r>
          </w:p>
        </w:tc>
        <w:tc>
          <w:tcPr>
            <w:tcW w:w="867" w:type="dxa"/>
            <w:tcBorders>
              <w:top w:val="nil"/>
              <w:left w:val="nil"/>
              <w:bottom w:val="nil"/>
            </w:tcBorders>
            <w:shd w:val="clear" w:color="000000" w:fill="FFFFFF"/>
            <w:vAlign w:val="center"/>
            <w:hideMark/>
          </w:tcPr>
          <w:p w:rsidR="000B6618" w:rsidRPr="001D75D4" w:rsidRDefault="002361C2" w:rsidP="000B6618">
            <w:pPr>
              <w:ind w:right="227"/>
              <w:contextualSpacing/>
              <w:jc w:val="right"/>
              <w:rPr>
                <w:rFonts w:ascii="Arial Narrow" w:hAnsi="Arial Narrow"/>
                <w:i/>
                <w:color w:val="000000"/>
                <w:sz w:val="16"/>
                <w:szCs w:val="16"/>
              </w:rPr>
            </w:pPr>
            <w:r w:rsidRPr="001D75D4">
              <w:rPr>
                <w:rFonts w:ascii="Arial Narrow" w:hAnsi="Arial Narrow"/>
                <w:i/>
                <w:color w:val="000000"/>
                <w:sz w:val="16"/>
                <w:szCs w:val="16"/>
              </w:rPr>
              <w:t>623</w:t>
            </w:r>
            <w:r w:rsidR="000B6618" w:rsidRPr="001D75D4">
              <w:rPr>
                <w:rFonts w:ascii="Arial Narrow" w:hAnsi="Arial Narrow"/>
                <w:i/>
                <w:color w:val="000000"/>
                <w:sz w:val="16"/>
                <w:szCs w:val="16"/>
              </w:rPr>
              <w:t xml:space="preserve"> </w:t>
            </w:r>
          </w:p>
        </w:tc>
      </w:tr>
      <w:tr w:rsidR="000B6618" w:rsidRPr="00131315" w:rsidTr="0068124D">
        <w:trPr>
          <w:trHeight w:val="20"/>
        </w:trPr>
        <w:tc>
          <w:tcPr>
            <w:tcW w:w="2345" w:type="dxa"/>
            <w:tcBorders>
              <w:top w:val="nil"/>
              <w:bottom w:val="nil"/>
              <w:right w:val="nil"/>
            </w:tcBorders>
            <w:shd w:val="clear" w:color="000000" w:fill="FFFFFF"/>
            <w:noWrap/>
            <w:vAlign w:val="bottom"/>
            <w:hideMark/>
          </w:tcPr>
          <w:p w:rsidR="000B6618" w:rsidRPr="00131315" w:rsidRDefault="000B6618" w:rsidP="001769DA">
            <w:pPr>
              <w:rPr>
                <w:rFonts w:ascii="Arial Narrow" w:hAnsi="Arial Narrow"/>
                <w:color w:val="000000"/>
                <w:sz w:val="16"/>
                <w:szCs w:val="16"/>
              </w:rPr>
            </w:pPr>
            <w:r w:rsidRPr="00131315">
              <w:rPr>
                <w:rFonts w:ascii="Arial Narrow" w:hAnsi="Arial Narrow"/>
                <w:color w:val="000000"/>
                <w:sz w:val="16"/>
                <w:szCs w:val="16"/>
              </w:rPr>
              <w:t>Νοσοκομεία</w:t>
            </w:r>
          </w:p>
        </w:tc>
        <w:tc>
          <w:tcPr>
            <w:tcW w:w="851"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1.148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43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72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1.264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1.035 </w:t>
            </w:r>
          </w:p>
        </w:tc>
        <w:tc>
          <w:tcPr>
            <w:tcW w:w="850"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127 </w:t>
            </w:r>
          </w:p>
        </w:tc>
        <w:tc>
          <w:tcPr>
            <w:tcW w:w="850" w:type="dxa"/>
            <w:tcBorders>
              <w:top w:val="nil"/>
              <w:left w:val="nil"/>
              <w:bottom w:val="nil"/>
              <w:right w:val="nil"/>
            </w:tcBorders>
            <w:shd w:val="clear" w:color="000000" w:fill="FFFFFF"/>
            <w:noWrap/>
            <w:vAlign w:val="center"/>
            <w:hideMark/>
          </w:tcPr>
          <w:p w:rsidR="000B6618" w:rsidRPr="000B6618" w:rsidRDefault="00B84239" w:rsidP="000B6618">
            <w:pPr>
              <w:ind w:right="227"/>
              <w:contextualSpacing/>
              <w:jc w:val="right"/>
              <w:rPr>
                <w:rFonts w:ascii="Arial Narrow" w:hAnsi="Arial Narrow"/>
                <w:color w:val="000000"/>
                <w:sz w:val="16"/>
                <w:szCs w:val="16"/>
              </w:rPr>
            </w:pPr>
            <w:r>
              <w:rPr>
                <w:rFonts w:ascii="Arial Narrow" w:hAnsi="Arial Narrow"/>
                <w:color w:val="000000"/>
                <w:sz w:val="16"/>
                <w:szCs w:val="16"/>
              </w:rPr>
              <w:t>10</w:t>
            </w:r>
            <w:r w:rsidR="000B6618" w:rsidRPr="000B6618">
              <w:rPr>
                <w:rFonts w:ascii="Arial Narrow" w:hAnsi="Arial Narrow"/>
                <w:color w:val="000000"/>
                <w:sz w:val="16"/>
                <w:szCs w:val="16"/>
              </w:rPr>
              <w:t xml:space="preserve"> </w:t>
            </w:r>
          </w:p>
        </w:tc>
        <w:tc>
          <w:tcPr>
            <w:tcW w:w="867" w:type="dxa"/>
            <w:tcBorders>
              <w:top w:val="nil"/>
              <w:left w:val="nil"/>
              <w:bottom w:val="nil"/>
            </w:tcBorders>
            <w:shd w:val="clear" w:color="000000" w:fill="FFFFFF"/>
            <w:vAlign w:val="center"/>
            <w:hideMark/>
          </w:tcPr>
          <w:p w:rsidR="000B6618" w:rsidRPr="000B6618" w:rsidRDefault="002361C2" w:rsidP="000B6618">
            <w:pPr>
              <w:ind w:right="227"/>
              <w:contextualSpacing/>
              <w:jc w:val="right"/>
              <w:rPr>
                <w:rFonts w:ascii="Arial Narrow" w:hAnsi="Arial Narrow"/>
                <w:color w:val="000000"/>
                <w:sz w:val="16"/>
                <w:szCs w:val="16"/>
              </w:rPr>
            </w:pPr>
            <w:r>
              <w:rPr>
                <w:rFonts w:ascii="Arial Narrow" w:hAnsi="Arial Narrow"/>
                <w:color w:val="000000"/>
                <w:sz w:val="16"/>
                <w:szCs w:val="16"/>
              </w:rPr>
              <w:t>1.171</w:t>
            </w:r>
            <w:r w:rsidR="000B6618" w:rsidRPr="000B6618">
              <w:rPr>
                <w:rFonts w:ascii="Arial Narrow" w:hAnsi="Arial Narrow"/>
                <w:color w:val="000000"/>
                <w:sz w:val="16"/>
                <w:szCs w:val="16"/>
              </w:rPr>
              <w:t xml:space="preserve"> </w:t>
            </w:r>
          </w:p>
        </w:tc>
      </w:tr>
      <w:tr w:rsidR="000B6618" w:rsidRPr="00131315" w:rsidTr="0068124D">
        <w:trPr>
          <w:trHeight w:val="20"/>
        </w:trPr>
        <w:tc>
          <w:tcPr>
            <w:tcW w:w="2345" w:type="dxa"/>
            <w:tcBorders>
              <w:top w:val="nil"/>
              <w:bottom w:val="nil"/>
              <w:right w:val="nil"/>
            </w:tcBorders>
            <w:shd w:val="clear" w:color="000000" w:fill="FFFFFF"/>
            <w:noWrap/>
            <w:vAlign w:val="bottom"/>
            <w:hideMark/>
          </w:tcPr>
          <w:p w:rsidR="000B6618" w:rsidRPr="00131315" w:rsidRDefault="000B6618" w:rsidP="001769DA">
            <w:pPr>
              <w:rPr>
                <w:rFonts w:ascii="Arial Narrow" w:hAnsi="Arial Narrow"/>
                <w:color w:val="000000"/>
                <w:sz w:val="16"/>
                <w:szCs w:val="16"/>
              </w:rPr>
            </w:pPr>
            <w:r w:rsidRPr="00131315">
              <w:rPr>
                <w:rFonts w:ascii="Arial Narrow" w:hAnsi="Arial Narrow"/>
                <w:color w:val="000000"/>
                <w:sz w:val="16"/>
                <w:szCs w:val="16"/>
              </w:rPr>
              <w:t>Νομικά Πρόσωπα</w:t>
            </w:r>
          </w:p>
        </w:tc>
        <w:tc>
          <w:tcPr>
            <w:tcW w:w="851"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270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122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103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495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268 </w:t>
            </w:r>
          </w:p>
        </w:tc>
        <w:tc>
          <w:tcPr>
            <w:tcW w:w="850"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117 </w:t>
            </w:r>
          </w:p>
        </w:tc>
        <w:tc>
          <w:tcPr>
            <w:tcW w:w="850" w:type="dxa"/>
            <w:tcBorders>
              <w:top w:val="nil"/>
              <w:left w:val="nil"/>
              <w:bottom w:val="nil"/>
              <w:right w:val="nil"/>
            </w:tcBorders>
            <w:shd w:val="clear" w:color="000000" w:fill="FFFFFF"/>
            <w:noWrap/>
            <w:vAlign w:val="center"/>
            <w:hideMark/>
          </w:tcPr>
          <w:p w:rsidR="000B6618" w:rsidRPr="000B6618" w:rsidRDefault="00B84239" w:rsidP="000B6618">
            <w:pPr>
              <w:ind w:right="227"/>
              <w:contextualSpacing/>
              <w:jc w:val="right"/>
              <w:rPr>
                <w:rFonts w:ascii="Arial Narrow" w:hAnsi="Arial Narrow"/>
                <w:color w:val="000000"/>
                <w:sz w:val="16"/>
                <w:szCs w:val="16"/>
              </w:rPr>
            </w:pPr>
            <w:r>
              <w:rPr>
                <w:rFonts w:ascii="Arial Narrow" w:hAnsi="Arial Narrow"/>
                <w:color w:val="000000"/>
                <w:sz w:val="16"/>
                <w:szCs w:val="16"/>
              </w:rPr>
              <w:t>26</w:t>
            </w:r>
            <w:r w:rsidR="000B6618" w:rsidRPr="000B6618">
              <w:rPr>
                <w:rFonts w:ascii="Arial Narrow" w:hAnsi="Arial Narrow"/>
                <w:color w:val="000000"/>
                <w:sz w:val="16"/>
                <w:szCs w:val="16"/>
              </w:rPr>
              <w:t xml:space="preserve"> </w:t>
            </w:r>
          </w:p>
        </w:tc>
        <w:tc>
          <w:tcPr>
            <w:tcW w:w="867" w:type="dxa"/>
            <w:tcBorders>
              <w:top w:val="nil"/>
              <w:left w:val="nil"/>
              <w:bottom w:val="nil"/>
            </w:tcBorders>
            <w:shd w:val="clear" w:color="000000" w:fill="FFFFFF"/>
            <w:vAlign w:val="center"/>
            <w:hideMark/>
          </w:tcPr>
          <w:p w:rsidR="000B6618" w:rsidRPr="000B6618" w:rsidRDefault="002361C2" w:rsidP="000B6618">
            <w:pPr>
              <w:ind w:right="227"/>
              <w:contextualSpacing/>
              <w:jc w:val="right"/>
              <w:rPr>
                <w:rFonts w:ascii="Arial Narrow" w:hAnsi="Arial Narrow"/>
                <w:color w:val="000000"/>
                <w:sz w:val="16"/>
                <w:szCs w:val="16"/>
              </w:rPr>
            </w:pPr>
            <w:r>
              <w:rPr>
                <w:rFonts w:ascii="Arial Narrow" w:hAnsi="Arial Narrow"/>
                <w:color w:val="000000"/>
                <w:sz w:val="16"/>
                <w:szCs w:val="16"/>
              </w:rPr>
              <w:t>410</w:t>
            </w:r>
            <w:r w:rsidR="000B6618" w:rsidRPr="000B6618">
              <w:rPr>
                <w:rFonts w:ascii="Arial Narrow" w:hAnsi="Arial Narrow"/>
                <w:color w:val="000000"/>
                <w:sz w:val="16"/>
                <w:szCs w:val="16"/>
              </w:rPr>
              <w:t xml:space="preserve"> </w:t>
            </w:r>
          </w:p>
        </w:tc>
      </w:tr>
      <w:tr w:rsidR="000B6618" w:rsidRPr="00131315" w:rsidTr="000B6618">
        <w:trPr>
          <w:trHeight w:val="170"/>
        </w:trPr>
        <w:tc>
          <w:tcPr>
            <w:tcW w:w="2345" w:type="dxa"/>
            <w:tcBorders>
              <w:top w:val="nil"/>
              <w:bottom w:val="nil"/>
              <w:right w:val="nil"/>
            </w:tcBorders>
            <w:shd w:val="clear" w:color="auto" w:fill="D9D9D9" w:themeFill="background1" w:themeFillShade="D9"/>
            <w:noWrap/>
            <w:vAlign w:val="bottom"/>
            <w:hideMark/>
          </w:tcPr>
          <w:p w:rsidR="000B6618" w:rsidRPr="00131315" w:rsidRDefault="001D75D4" w:rsidP="000B6618">
            <w:pPr>
              <w:spacing w:before="40" w:after="40"/>
              <w:rPr>
                <w:rFonts w:ascii="Arial Narrow" w:hAnsi="Arial Narrow"/>
                <w:b/>
                <w:bCs/>
                <w:color w:val="000000"/>
                <w:sz w:val="16"/>
                <w:szCs w:val="16"/>
              </w:rPr>
            </w:pPr>
            <w:r>
              <w:rPr>
                <w:rFonts w:ascii="Arial Narrow" w:hAnsi="Arial Narrow"/>
                <w:b/>
                <w:bCs/>
                <w:color w:val="000000"/>
                <w:sz w:val="16"/>
                <w:szCs w:val="16"/>
              </w:rPr>
              <w:t>Γενική</w:t>
            </w:r>
            <w:r w:rsidR="000B6618" w:rsidRPr="00131315">
              <w:rPr>
                <w:rFonts w:ascii="Arial Narrow" w:hAnsi="Arial Narrow"/>
                <w:b/>
                <w:bCs/>
                <w:color w:val="000000"/>
                <w:sz w:val="16"/>
                <w:szCs w:val="16"/>
              </w:rPr>
              <w:t xml:space="preserve"> Κυβέρνηση</w:t>
            </w:r>
          </w:p>
        </w:tc>
        <w:tc>
          <w:tcPr>
            <w:tcW w:w="851" w:type="dxa"/>
            <w:tcBorders>
              <w:top w:val="nil"/>
              <w:left w:val="nil"/>
              <w:bottom w:val="nil"/>
              <w:right w:val="nil"/>
            </w:tcBorders>
            <w:shd w:val="clear" w:color="auto" w:fill="D9D9D9" w:themeFill="background1" w:themeFillShade="D9"/>
            <w:vAlign w:val="center"/>
          </w:tcPr>
          <w:p w:rsidR="000B6618" w:rsidRPr="000B6618" w:rsidRDefault="000B6618" w:rsidP="000B6618">
            <w:pPr>
              <w:spacing w:before="40" w:after="40"/>
              <w:ind w:right="227"/>
              <w:jc w:val="right"/>
              <w:rPr>
                <w:rFonts w:ascii="Arial Narrow" w:hAnsi="Arial Narrow"/>
                <w:b/>
                <w:bCs/>
                <w:color w:val="000000"/>
                <w:sz w:val="16"/>
                <w:szCs w:val="16"/>
              </w:rPr>
            </w:pPr>
            <w:r w:rsidRPr="000B6618">
              <w:rPr>
                <w:rFonts w:ascii="Arial Narrow" w:hAnsi="Arial Narrow"/>
                <w:b/>
                <w:bCs/>
                <w:color w:val="000000"/>
                <w:sz w:val="16"/>
                <w:szCs w:val="16"/>
              </w:rPr>
              <w:t xml:space="preserve">3.063 </w:t>
            </w:r>
          </w:p>
        </w:tc>
        <w:tc>
          <w:tcPr>
            <w:tcW w:w="850" w:type="dxa"/>
            <w:tcBorders>
              <w:top w:val="nil"/>
              <w:left w:val="nil"/>
              <w:bottom w:val="nil"/>
              <w:right w:val="nil"/>
            </w:tcBorders>
            <w:shd w:val="clear" w:color="auto" w:fill="D9D9D9" w:themeFill="background1" w:themeFillShade="D9"/>
            <w:noWrap/>
            <w:vAlign w:val="center"/>
            <w:hideMark/>
          </w:tcPr>
          <w:p w:rsidR="000B6618" w:rsidRPr="000B6618" w:rsidRDefault="000B6618" w:rsidP="000B6618">
            <w:pPr>
              <w:spacing w:before="40" w:after="40"/>
              <w:ind w:right="227"/>
              <w:jc w:val="right"/>
              <w:rPr>
                <w:rFonts w:ascii="Arial Narrow" w:hAnsi="Arial Narrow"/>
                <w:b/>
                <w:color w:val="000000"/>
                <w:sz w:val="16"/>
                <w:szCs w:val="16"/>
              </w:rPr>
            </w:pPr>
            <w:r w:rsidRPr="000B6618">
              <w:rPr>
                <w:rFonts w:ascii="Arial Narrow" w:hAnsi="Arial Narrow"/>
                <w:b/>
                <w:color w:val="000000"/>
                <w:sz w:val="16"/>
                <w:szCs w:val="16"/>
              </w:rPr>
              <w:t xml:space="preserve">786 </w:t>
            </w:r>
          </w:p>
        </w:tc>
        <w:tc>
          <w:tcPr>
            <w:tcW w:w="851" w:type="dxa"/>
            <w:tcBorders>
              <w:top w:val="nil"/>
              <w:left w:val="nil"/>
              <w:bottom w:val="nil"/>
              <w:right w:val="nil"/>
            </w:tcBorders>
            <w:shd w:val="clear" w:color="auto" w:fill="D9D9D9" w:themeFill="background1" w:themeFillShade="D9"/>
            <w:noWrap/>
            <w:vAlign w:val="center"/>
            <w:hideMark/>
          </w:tcPr>
          <w:p w:rsidR="000B6618" w:rsidRPr="000B6618" w:rsidRDefault="000B6618" w:rsidP="000B6618">
            <w:pPr>
              <w:spacing w:before="40" w:after="40"/>
              <w:ind w:right="227"/>
              <w:jc w:val="right"/>
              <w:rPr>
                <w:rFonts w:ascii="Arial Narrow" w:hAnsi="Arial Narrow"/>
                <w:b/>
                <w:bCs/>
                <w:color w:val="000000"/>
                <w:sz w:val="16"/>
                <w:szCs w:val="16"/>
              </w:rPr>
            </w:pPr>
            <w:r w:rsidRPr="000B6618">
              <w:rPr>
                <w:rFonts w:ascii="Arial Narrow" w:hAnsi="Arial Narrow"/>
                <w:b/>
                <w:bCs/>
                <w:color w:val="000000"/>
                <w:sz w:val="16"/>
                <w:szCs w:val="16"/>
              </w:rPr>
              <w:t xml:space="preserve">785 </w:t>
            </w:r>
          </w:p>
        </w:tc>
        <w:tc>
          <w:tcPr>
            <w:tcW w:w="850" w:type="dxa"/>
            <w:tcBorders>
              <w:top w:val="nil"/>
              <w:left w:val="nil"/>
              <w:bottom w:val="nil"/>
              <w:right w:val="nil"/>
            </w:tcBorders>
            <w:shd w:val="clear" w:color="auto" w:fill="D9D9D9" w:themeFill="background1" w:themeFillShade="D9"/>
            <w:noWrap/>
            <w:vAlign w:val="center"/>
            <w:hideMark/>
          </w:tcPr>
          <w:p w:rsidR="000B6618" w:rsidRPr="000B6618" w:rsidRDefault="000B6618" w:rsidP="000B6618">
            <w:pPr>
              <w:spacing w:before="40" w:after="40"/>
              <w:ind w:right="227"/>
              <w:jc w:val="right"/>
              <w:rPr>
                <w:rFonts w:ascii="Arial Narrow" w:hAnsi="Arial Narrow"/>
                <w:b/>
                <w:color w:val="000000"/>
                <w:sz w:val="16"/>
                <w:szCs w:val="16"/>
              </w:rPr>
            </w:pPr>
            <w:r w:rsidRPr="000B6618">
              <w:rPr>
                <w:rFonts w:ascii="Arial Narrow" w:hAnsi="Arial Narrow"/>
                <w:b/>
                <w:color w:val="000000"/>
                <w:sz w:val="16"/>
                <w:szCs w:val="16"/>
              </w:rPr>
              <w:t xml:space="preserve">4.634 </w:t>
            </w:r>
          </w:p>
        </w:tc>
        <w:tc>
          <w:tcPr>
            <w:tcW w:w="851" w:type="dxa"/>
            <w:tcBorders>
              <w:top w:val="nil"/>
              <w:left w:val="nil"/>
              <w:bottom w:val="nil"/>
              <w:right w:val="nil"/>
            </w:tcBorders>
            <w:shd w:val="clear" w:color="auto" w:fill="D9D9D9" w:themeFill="background1" w:themeFillShade="D9"/>
            <w:noWrap/>
            <w:vAlign w:val="center"/>
            <w:hideMark/>
          </w:tcPr>
          <w:p w:rsidR="000B6618" w:rsidRPr="000B6618" w:rsidRDefault="000B6618" w:rsidP="000B6618">
            <w:pPr>
              <w:spacing w:before="40" w:after="40"/>
              <w:ind w:right="227"/>
              <w:jc w:val="right"/>
              <w:rPr>
                <w:rFonts w:ascii="Arial Narrow" w:hAnsi="Arial Narrow"/>
                <w:b/>
                <w:bCs/>
                <w:color w:val="000000"/>
                <w:sz w:val="16"/>
                <w:szCs w:val="16"/>
              </w:rPr>
            </w:pPr>
            <w:r w:rsidRPr="000B6618">
              <w:rPr>
                <w:rFonts w:ascii="Arial Narrow" w:hAnsi="Arial Narrow"/>
                <w:b/>
                <w:bCs/>
                <w:color w:val="000000"/>
                <w:sz w:val="16"/>
                <w:szCs w:val="16"/>
              </w:rPr>
              <w:t xml:space="preserve">2.748 </w:t>
            </w:r>
          </w:p>
        </w:tc>
        <w:tc>
          <w:tcPr>
            <w:tcW w:w="850" w:type="dxa"/>
            <w:tcBorders>
              <w:top w:val="nil"/>
              <w:left w:val="nil"/>
              <w:bottom w:val="nil"/>
              <w:right w:val="nil"/>
            </w:tcBorders>
            <w:shd w:val="clear" w:color="auto" w:fill="D9D9D9" w:themeFill="background1" w:themeFillShade="D9"/>
            <w:vAlign w:val="center"/>
          </w:tcPr>
          <w:p w:rsidR="000B6618" w:rsidRPr="000B6618" w:rsidRDefault="000B6618" w:rsidP="000B6618">
            <w:pPr>
              <w:spacing w:before="40" w:after="40"/>
              <w:ind w:right="227"/>
              <w:jc w:val="right"/>
              <w:rPr>
                <w:rFonts w:ascii="Arial Narrow" w:hAnsi="Arial Narrow"/>
                <w:b/>
                <w:color w:val="000000"/>
                <w:sz w:val="16"/>
                <w:szCs w:val="16"/>
              </w:rPr>
            </w:pPr>
            <w:r w:rsidRPr="000B6618">
              <w:rPr>
                <w:rFonts w:ascii="Arial Narrow" w:hAnsi="Arial Narrow"/>
                <w:b/>
                <w:color w:val="000000"/>
                <w:sz w:val="16"/>
                <w:szCs w:val="16"/>
              </w:rPr>
              <w:t xml:space="preserve">903 </w:t>
            </w:r>
          </w:p>
        </w:tc>
        <w:tc>
          <w:tcPr>
            <w:tcW w:w="850" w:type="dxa"/>
            <w:tcBorders>
              <w:top w:val="nil"/>
              <w:left w:val="nil"/>
              <w:bottom w:val="nil"/>
              <w:right w:val="nil"/>
            </w:tcBorders>
            <w:shd w:val="clear" w:color="auto" w:fill="D9D9D9" w:themeFill="background1" w:themeFillShade="D9"/>
            <w:noWrap/>
            <w:vAlign w:val="center"/>
            <w:hideMark/>
          </w:tcPr>
          <w:p w:rsidR="000B6618" w:rsidRPr="000B6618" w:rsidRDefault="00B84239" w:rsidP="000B6618">
            <w:pPr>
              <w:spacing w:before="40" w:after="40"/>
              <w:ind w:right="227"/>
              <w:jc w:val="right"/>
              <w:rPr>
                <w:rFonts w:ascii="Arial Narrow" w:hAnsi="Arial Narrow"/>
                <w:b/>
                <w:bCs/>
                <w:color w:val="000000"/>
                <w:sz w:val="16"/>
                <w:szCs w:val="16"/>
              </w:rPr>
            </w:pPr>
            <w:r>
              <w:rPr>
                <w:rFonts w:ascii="Arial Narrow" w:hAnsi="Arial Narrow"/>
                <w:b/>
                <w:bCs/>
                <w:color w:val="000000"/>
                <w:sz w:val="16"/>
                <w:szCs w:val="16"/>
              </w:rPr>
              <w:t>447</w:t>
            </w:r>
            <w:r w:rsidR="000B6618" w:rsidRPr="000B6618">
              <w:rPr>
                <w:rFonts w:ascii="Arial Narrow" w:hAnsi="Arial Narrow"/>
                <w:b/>
                <w:bCs/>
                <w:color w:val="000000"/>
                <w:sz w:val="16"/>
                <w:szCs w:val="16"/>
              </w:rPr>
              <w:t xml:space="preserve"> </w:t>
            </w:r>
          </w:p>
        </w:tc>
        <w:tc>
          <w:tcPr>
            <w:tcW w:w="867" w:type="dxa"/>
            <w:tcBorders>
              <w:top w:val="nil"/>
              <w:left w:val="nil"/>
              <w:bottom w:val="nil"/>
            </w:tcBorders>
            <w:shd w:val="clear" w:color="auto" w:fill="D9D9D9" w:themeFill="background1" w:themeFillShade="D9"/>
            <w:vAlign w:val="center"/>
            <w:hideMark/>
          </w:tcPr>
          <w:p w:rsidR="000B6618" w:rsidRPr="000B6618" w:rsidRDefault="002361C2" w:rsidP="000B6618">
            <w:pPr>
              <w:spacing w:before="40" w:after="40"/>
              <w:ind w:right="227"/>
              <w:jc w:val="right"/>
              <w:rPr>
                <w:rFonts w:ascii="Arial Narrow" w:hAnsi="Arial Narrow"/>
                <w:b/>
                <w:color w:val="000000"/>
                <w:sz w:val="16"/>
                <w:szCs w:val="16"/>
              </w:rPr>
            </w:pPr>
            <w:r>
              <w:rPr>
                <w:rFonts w:ascii="Arial Narrow" w:hAnsi="Arial Narrow"/>
                <w:b/>
                <w:color w:val="000000"/>
                <w:sz w:val="16"/>
                <w:szCs w:val="16"/>
              </w:rPr>
              <w:t>4.099</w:t>
            </w:r>
            <w:r w:rsidR="000B6618" w:rsidRPr="000B6618">
              <w:rPr>
                <w:rFonts w:ascii="Arial Narrow" w:hAnsi="Arial Narrow"/>
                <w:b/>
                <w:color w:val="000000"/>
                <w:sz w:val="16"/>
                <w:szCs w:val="16"/>
              </w:rPr>
              <w:t xml:space="preserve"> </w:t>
            </w:r>
          </w:p>
        </w:tc>
      </w:tr>
      <w:tr w:rsidR="000B6618" w:rsidRPr="00131315" w:rsidTr="0068124D">
        <w:trPr>
          <w:trHeight w:val="20"/>
        </w:trPr>
        <w:tc>
          <w:tcPr>
            <w:tcW w:w="2345" w:type="dxa"/>
            <w:tcBorders>
              <w:top w:val="nil"/>
              <w:bottom w:val="nil"/>
              <w:right w:val="nil"/>
            </w:tcBorders>
            <w:shd w:val="clear" w:color="000000" w:fill="FFFFFF"/>
            <w:noWrap/>
            <w:vAlign w:val="bottom"/>
            <w:hideMark/>
          </w:tcPr>
          <w:p w:rsidR="000B6618" w:rsidRPr="00131315" w:rsidRDefault="001D75D4" w:rsidP="001769DA">
            <w:pPr>
              <w:rPr>
                <w:rFonts w:ascii="Arial Narrow" w:hAnsi="Arial Narrow"/>
                <w:color w:val="000000"/>
                <w:sz w:val="16"/>
                <w:szCs w:val="16"/>
              </w:rPr>
            </w:pPr>
            <w:r>
              <w:rPr>
                <w:rFonts w:ascii="Arial Narrow" w:hAnsi="Arial Narrow"/>
                <w:color w:val="000000"/>
                <w:sz w:val="16"/>
                <w:szCs w:val="16"/>
              </w:rPr>
              <w:t>Εκκρεμείς ε</w:t>
            </w:r>
            <w:r w:rsidR="000B6618" w:rsidRPr="00131315">
              <w:rPr>
                <w:rFonts w:ascii="Arial Narrow" w:hAnsi="Arial Narrow"/>
                <w:color w:val="000000"/>
                <w:sz w:val="16"/>
                <w:szCs w:val="16"/>
              </w:rPr>
              <w:t>πιστροφές φόρων</w:t>
            </w:r>
          </w:p>
        </w:tc>
        <w:tc>
          <w:tcPr>
            <w:tcW w:w="851"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405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172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640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1.217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380 </w:t>
            </w:r>
          </w:p>
        </w:tc>
        <w:tc>
          <w:tcPr>
            <w:tcW w:w="850"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194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337 </w:t>
            </w:r>
          </w:p>
        </w:tc>
        <w:tc>
          <w:tcPr>
            <w:tcW w:w="867" w:type="dxa"/>
            <w:tcBorders>
              <w:top w:val="nil"/>
              <w:left w:val="nil"/>
              <w:bottom w:val="nil"/>
            </w:tcBorders>
            <w:shd w:val="clear" w:color="000000" w:fill="FFFFFF"/>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911 </w:t>
            </w:r>
          </w:p>
        </w:tc>
      </w:tr>
      <w:tr w:rsidR="000B6618" w:rsidRPr="00131315" w:rsidTr="0068124D">
        <w:trPr>
          <w:trHeight w:val="20"/>
        </w:trPr>
        <w:tc>
          <w:tcPr>
            <w:tcW w:w="2345" w:type="dxa"/>
            <w:tcBorders>
              <w:top w:val="nil"/>
              <w:bottom w:val="nil"/>
              <w:right w:val="nil"/>
            </w:tcBorders>
            <w:shd w:val="clear" w:color="000000" w:fill="FFFFFF"/>
            <w:noWrap/>
            <w:vAlign w:val="bottom"/>
            <w:hideMark/>
          </w:tcPr>
          <w:p w:rsidR="000B6618" w:rsidRPr="00131315" w:rsidRDefault="000B6618" w:rsidP="001769DA">
            <w:pPr>
              <w:rPr>
                <w:rFonts w:ascii="Arial Narrow" w:hAnsi="Arial Narrow"/>
                <w:color w:val="000000"/>
                <w:sz w:val="16"/>
                <w:szCs w:val="16"/>
              </w:rPr>
            </w:pPr>
            <w:r w:rsidRPr="00131315">
              <w:rPr>
                <w:rFonts w:ascii="Arial Narrow" w:hAnsi="Arial Narrow"/>
                <w:color w:val="000000"/>
                <w:sz w:val="16"/>
                <w:szCs w:val="16"/>
              </w:rPr>
              <w:t>Εκκρεμείς αιτήσεις συνταξιοδότησης</w:t>
            </w:r>
          </w:p>
        </w:tc>
        <w:tc>
          <w:tcPr>
            <w:tcW w:w="851" w:type="dxa"/>
            <w:tcBorders>
              <w:top w:val="nil"/>
              <w:left w:val="nil"/>
              <w:bottom w:val="nil"/>
              <w:right w:val="nil"/>
            </w:tcBorders>
            <w:shd w:val="clear" w:color="000000" w:fill="FFFFFF"/>
            <w:vAlign w:val="center"/>
          </w:tcPr>
          <w:p w:rsidR="000B6618" w:rsidRPr="000B6618" w:rsidRDefault="007F78FA" w:rsidP="000B6618">
            <w:pPr>
              <w:ind w:right="227"/>
              <w:contextualSpacing/>
              <w:jc w:val="right"/>
              <w:rPr>
                <w:rFonts w:ascii="Arial Narrow" w:hAnsi="Arial Narrow"/>
                <w:color w:val="000000"/>
                <w:sz w:val="16"/>
                <w:szCs w:val="16"/>
              </w:rPr>
            </w:pPr>
            <w:r>
              <w:rPr>
                <w:rFonts w:ascii="Arial Narrow" w:hAnsi="Arial Narrow"/>
                <w:color w:val="000000"/>
                <w:sz w:val="16"/>
                <w:szCs w:val="16"/>
              </w:rPr>
              <w:t>-</w:t>
            </w:r>
            <w:r w:rsidR="000B6618" w:rsidRPr="000B6618">
              <w:rPr>
                <w:rFonts w:ascii="Arial Narrow" w:hAnsi="Arial Narrow"/>
                <w:color w:val="000000"/>
                <w:sz w:val="16"/>
                <w:szCs w:val="16"/>
              </w:rPr>
              <w:t>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645 </w:t>
            </w:r>
          </w:p>
        </w:tc>
        <w:tc>
          <w:tcPr>
            <w:tcW w:w="851"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517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1.162 </w:t>
            </w:r>
          </w:p>
        </w:tc>
        <w:tc>
          <w:tcPr>
            <w:tcW w:w="851" w:type="dxa"/>
            <w:tcBorders>
              <w:top w:val="nil"/>
              <w:left w:val="nil"/>
              <w:bottom w:val="nil"/>
              <w:right w:val="nil"/>
            </w:tcBorders>
            <w:shd w:val="clear" w:color="000000" w:fill="FFFFFF"/>
            <w:noWrap/>
            <w:vAlign w:val="center"/>
            <w:hideMark/>
          </w:tcPr>
          <w:p w:rsidR="000B6618" w:rsidRPr="000B6618" w:rsidRDefault="007F78FA" w:rsidP="000B6618">
            <w:pPr>
              <w:ind w:right="227"/>
              <w:contextualSpacing/>
              <w:jc w:val="right"/>
              <w:rPr>
                <w:rFonts w:ascii="Arial Narrow" w:hAnsi="Arial Narrow"/>
                <w:color w:val="000000"/>
                <w:sz w:val="16"/>
                <w:szCs w:val="16"/>
              </w:rPr>
            </w:pPr>
            <w:r>
              <w:rPr>
                <w:rFonts w:ascii="Arial Narrow" w:hAnsi="Arial Narrow"/>
                <w:color w:val="000000"/>
                <w:sz w:val="16"/>
                <w:szCs w:val="16"/>
              </w:rPr>
              <w:t>-</w:t>
            </w:r>
            <w:r w:rsidR="000B6618" w:rsidRPr="000B6618">
              <w:rPr>
                <w:rFonts w:ascii="Arial Narrow" w:hAnsi="Arial Narrow"/>
                <w:color w:val="000000"/>
                <w:sz w:val="16"/>
                <w:szCs w:val="16"/>
              </w:rPr>
              <w:t> </w:t>
            </w:r>
          </w:p>
        </w:tc>
        <w:tc>
          <w:tcPr>
            <w:tcW w:w="850" w:type="dxa"/>
            <w:tcBorders>
              <w:top w:val="nil"/>
              <w:left w:val="nil"/>
              <w:bottom w:val="nil"/>
              <w:right w:val="nil"/>
            </w:tcBorders>
            <w:shd w:val="clear" w:color="000000" w:fill="FFFFFF"/>
            <w:vAlign w:val="center"/>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511 </w:t>
            </w:r>
          </w:p>
        </w:tc>
        <w:tc>
          <w:tcPr>
            <w:tcW w:w="850" w:type="dxa"/>
            <w:tcBorders>
              <w:top w:val="nil"/>
              <w:left w:val="nil"/>
              <w:bottom w:val="nil"/>
              <w:right w:val="nil"/>
            </w:tcBorders>
            <w:shd w:val="clear" w:color="000000" w:fill="FFFFFF"/>
            <w:noWrap/>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543 </w:t>
            </w:r>
          </w:p>
        </w:tc>
        <w:tc>
          <w:tcPr>
            <w:tcW w:w="867" w:type="dxa"/>
            <w:tcBorders>
              <w:top w:val="nil"/>
              <w:left w:val="nil"/>
              <w:bottom w:val="nil"/>
            </w:tcBorders>
            <w:shd w:val="clear" w:color="000000" w:fill="FFFFFF"/>
            <w:vAlign w:val="center"/>
            <w:hideMark/>
          </w:tcPr>
          <w:p w:rsidR="000B6618" w:rsidRPr="000B6618" w:rsidRDefault="000B6618" w:rsidP="000B6618">
            <w:pPr>
              <w:ind w:right="227"/>
              <w:contextualSpacing/>
              <w:jc w:val="right"/>
              <w:rPr>
                <w:rFonts w:ascii="Arial Narrow" w:hAnsi="Arial Narrow"/>
                <w:color w:val="000000"/>
                <w:sz w:val="16"/>
                <w:szCs w:val="16"/>
              </w:rPr>
            </w:pPr>
            <w:r w:rsidRPr="000B6618">
              <w:rPr>
                <w:rFonts w:ascii="Arial Narrow" w:hAnsi="Arial Narrow"/>
                <w:color w:val="000000"/>
                <w:sz w:val="16"/>
                <w:szCs w:val="16"/>
              </w:rPr>
              <w:t xml:space="preserve">1.054 </w:t>
            </w:r>
          </w:p>
        </w:tc>
      </w:tr>
      <w:tr w:rsidR="000B6618" w:rsidRPr="00131315" w:rsidTr="000B6618">
        <w:trPr>
          <w:trHeight w:val="20"/>
        </w:trPr>
        <w:tc>
          <w:tcPr>
            <w:tcW w:w="2345" w:type="dxa"/>
            <w:tcBorders>
              <w:top w:val="nil"/>
              <w:bottom w:val="single" w:sz="6" w:space="0" w:color="auto"/>
              <w:right w:val="nil"/>
            </w:tcBorders>
            <w:shd w:val="clear" w:color="auto" w:fill="D9D9D9" w:themeFill="background1" w:themeFillShade="D9"/>
            <w:vAlign w:val="bottom"/>
            <w:hideMark/>
          </w:tcPr>
          <w:p w:rsidR="000B6618" w:rsidRPr="00131315" w:rsidRDefault="000B6618" w:rsidP="000B6618">
            <w:pPr>
              <w:spacing w:before="40" w:after="40"/>
              <w:rPr>
                <w:rFonts w:ascii="Arial Narrow" w:hAnsi="Arial Narrow"/>
                <w:b/>
                <w:bCs/>
                <w:color w:val="000000"/>
                <w:sz w:val="16"/>
                <w:szCs w:val="16"/>
              </w:rPr>
            </w:pPr>
            <w:r w:rsidRPr="00131315">
              <w:rPr>
                <w:rFonts w:ascii="Arial Narrow" w:hAnsi="Arial Narrow"/>
                <w:b/>
                <w:bCs/>
                <w:color w:val="000000"/>
                <w:sz w:val="16"/>
                <w:szCs w:val="16"/>
              </w:rPr>
              <w:t>Σύνολο</w:t>
            </w:r>
          </w:p>
        </w:tc>
        <w:tc>
          <w:tcPr>
            <w:tcW w:w="851" w:type="dxa"/>
            <w:tcBorders>
              <w:top w:val="nil"/>
              <w:left w:val="nil"/>
              <w:bottom w:val="single" w:sz="6" w:space="0" w:color="auto"/>
              <w:right w:val="nil"/>
            </w:tcBorders>
            <w:shd w:val="clear" w:color="auto" w:fill="D9D9D9" w:themeFill="background1" w:themeFillShade="D9"/>
            <w:vAlign w:val="center"/>
          </w:tcPr>
          <w:p w:rsidR="000B6618" w:rsidRPr="000B6618" w:rsidRDefault="000B6618" w:rsidP="000B6618">
            <w:pPr>
              <w:spacing w:before="40" w:after="40"/>
              <w:ind w:right="227"/>
              <w:jc w:val="right"/>
              <w:rPr>
                <w:rFonts w:ascii="Arial Narrow" w:hAnsi="Arial Narrow"/>
                <w:b/>
                <w:bCs/>
                <w:color w:val="000000"/>
                <w:sz w:val="16"/>
                <w:szCs w:val="16"/>
              </w:rPr>
            </w:pPr>
            <w:r w:rsidRPr="000B6618">
              <w:rPr>
                <w:rFonts w:ascii="Arial Narrow" w:hAnsi="Arial Narrow"/>
                <w:b/>
                <w:bCs/>
                <w:color w:val="000000"/>
                <w:sz w:val="16"/>
                <w:szCs w:val="16"/>
              </w:rPr>
              <w:t xml:space="preserve">3.468 </w:t>
            </w:r>
          </w:p>
        </w:tc>
        <w:tc>
          <w:tcPr>
            <w:tcW w:w="850" w:type="dxa"/>
            <w:tcBorders>
              <w:top w:val="nil"/>
              <w:left w:val="nil"/>
              <w:bottom w:val="single" w:sz="6" w:space="0" w:color="auto"/>
              <w:right w:val="nil"/>
            </w:tcBorders>
            <w:shd w:val="clear" w:color="auto" w:fill="D9D9D9" w:themeFill="background1" w:themeFillShade="D9"/>
            <w:vAlign w:val="center"/>
            <w:hideMark/>
          </w:tcPr>
          <w:p w:rsidR="000B6618" w:rsidRPr="000B6618" w:rsidRDefault="000B6618" w:rsidP="000B6618">
            <w:pPr>
              <w:spacing w:before="40" w:after="40"/>
              <w:ind w:right="227"/>
              <w:jc w:val="right"/>
              <w:rPr>
                <w:rFonts w:ascii="Arial Narrow" w:hAnsi="Arial Narrow"/>
                <w:b/>
                <w:color w:val="000000"/>
                <w:sz w:val="16"/>
                <w:szCs w:val="16"/>
              </w:rPr>
            </w:pPr>
            <w:r w:rsidRPr="000B6618">
              <w:rPr>
                <w:rFonts w:ascii="Arial Narrow" w:hAnsi="Arial Narrow"/>
                <w:b/>
                <w:color w:val="000000"/>
                <w:sz w:val="16"/>
                <w:szCs w:val="16"/>
              </w:rPr>
              <w:t xml:space="preserve">1.602 </w:t>
            </w:r>
          </w:p>
        </w:tc>
        <w:tc>
          <w:tcPr>
            <w:tcW w:w="851" w:type="dxa"/>
            <w:tcBorders>
              <w:top w:val="nil"/>
              <w:left w:val="nil"/>
              <w:bottom w:val="single" w:sz="6" w:space="0" w:color="auto"/>
              <w:right w:val="nil"/>
            </w:tcBorders>
            <w:shd w:val="clear" w:color="auto" w:fill="D9D9D9" w:themeFill="background1" w:themeFillShade="D9"/>
            <w:vAlign w:val="center"/>
            <w:hideMark/>
          </w:tcPr>
          <w:p w:rsidR="000B6618" w:rsidRPr="000B6618" w:rsidRDefault="000B6618" w:rsidP="000B6618">
            <w:pPr>
              <w:spacing w:before="40" w:after="40"/>
              <w:ind w:right="227"/>
              <w:jc w:val="right"/>
              <w:rPr>
                <w:rFonts w:ascii="Arial Narrow" w:hAnsi="Arial Narrow"/>
                <w:b/>
                <w:bCs/>
                <w:color w:val="000000"/>
                <w:sz w:val="16"/>
                <w:szCs w:val="16"/>
              </w:rPr>
            </w:pPr>
            <w:r w:rsidRPr="000B6618">
              <w:rPr>
                <w:rFonts w:ascii="Arial Narrow" w:hAnsi="Arial Narrow"/>
                <w:b/>
                <w:bCs/>
                <w:color w:val="000000"/>
                <w:sz w:val="16"/>
                <w:szCs w:val="16"/>
              </w:rPr>
              <w:t xml:space="preserve">1.942 </w:t>
            </w:r>
          </w:p>
        </w:tc>
        <w:tc>
          <w:tcPr>
            <w:tcW w:w="850" w:type="dxa"/>
            <w:tcBorders>
              <w:top w:val="nil"/>
              <w:left w:val="nil"/>
              <w:bottom w:val="single" w:sz="6" w:space="0" w:color="auto"/>
              <w:right w:val="nil"/>
            </w:tcBorders>
            <w:shd w:val="clear" w:color="auto" w:fill="D9D9D9" w:themeFill="background1" w:themeFillShade="D9"/>
            <w:noWrap/>
            <w:vAlign w:val="center"/>
            <w:hideMark/>
          </w:tcPr>
          <w:p w:rsidR="000B6618" w:rsidRPr="000B6618" w:rsidRDefault="000B6618" w:rsidP="000B6618">
            <w:pPr>
              <w:spacing w:before="40" w:after="40"/>
              <w:ind w:right="227"/>
              <w:jc w:val="right"/>
              <w:rPr>
                <w:rFonts w:ascii="Arial Narrow" w:hAnsi="Arial Narrow"/>
                <w:b/>
                <w:color w:val="000000"/>
                <w:sz w:val="16"/>
                <w:szCs w:val="16"/>
              </w:rPr>
            </w:pPr>
            <w:r w:rsidRPr="000B6618">
              <w:rPr>
                <w:rFonts w:ascii="Arial Narrow" w:hAnsi="Arial Narrow"/>
                <w:b/>
                <w:color w:val="000000"/>
                <w:sz w:val="16"/>
                <w:szCs w:val="16"/>
              </w:rPr>
              <w:t xml:space="preserve">7.012 </w:t>
            </w:r>
          </w:p>
        </w:tc>
        <w:tc>
          <w:tcPr>
            <w:tcW w:w="851" w:type="dxa"/>
            <w:tcBorders>
              <w:top w:val="nil"/>
              <w:left w:val="nil"/>
              <w:bottom w:val="single" w:sz="6" w:space="0" w:color="auto"/>
              <w:right w:val="nil"/>
            </w:tcBorders>
            <w:shd w:val="clear" w:color="auto" w:fill="D9D9D9" w:themeFill="background1" w:themeFillShade="D9"/>
            <w:noWrap/>
            <w:vAlign w:val="center"/>
            <w:hideMark/>
          </w:tcPr>
          <w:p w:rsidR="000B6618" w:rsidRPr="000B6618" w:rsidRDefault="000B6618" w:rsidP="000B6618">
            <w:pPr>
              <w:spacing w:before="40" w:after="40"/>
              <w:ind w:right="227"/>
              <w:jc w:val="right"/>
              <w:rPr>
                <w:rFonts w:ascii="Arial Narrow" w:hAnsi="Arial Narrow"/>
                <w:b/>
                <w:bCs/>
                <w:color w:val="000000"/>
                <w:sz w:val="16"/>
                <w:szCs w:val="16"/>
              </w:rPr>
            </w:pPr>
            <w:r w:rsidRPr="000B6618">
              <w:rPr>
                <w:rFonts w:ascii="Arial Narrow" w:hAnsi="Arial Narrow"/>
                <w:b/>
                <w:bCs/>
                <w:color w:val="000000"/>
                <w:sz w:val="16"/>
                <w:szCs w:val="16"/>
              </w:rPr>
              <w:t xml:space="preserve">3.129 </w:t>
            </w:r>
          </w:p>
        </w:tc>
        <w:tc>
          <w:tcPr>
            <w:tcW w:w="850" w:type="dxa"/>
            <w:tcBorders>
              <w:top w:val="nil"/>
              <w:left w:val="nil"/>
              <w:bottom w:val="single" w:sz="6" w:space="0" w:color="auto"/>
              <w:right w:val="nil"/>
            </w:tcBorders>
            <w:shd w:val="clear" w:color="auto" w:fill="D9D9D9" w:themeFill="background1" w:themeFillShade="D9"/>
            <w:vAlign w:val="center"/>
          </w:tcPr>
          <w:p w:rsidR="000B6618" w:rsidRPr="000B6618" w:rsidRDefault="000B6618" w:rsidP="000B6618">
            <w:pPr>
              <w:spacing w:before="40" w:after="40"/>
              <w:ind w:right="227"/>
              <w:jc w:val="right"/>
              <w:rPr>
                <w:rFonts w:ascii="Arial Narrow" w:hAnsi="Arial Narrow"/>
                <w:b/>
                <w:color w:val="000000"/>
                <w:sz w:val="16"/>
                <w:szCs w:val="16"/>
              </w:rPr>
            </w:pPr>
            <w:r w:rsidRPr="000B6618">
              <w:rPr>
                <w:rFonts w:ascii="Arial Narrow" w:hAnsi="Arial Narrow"/>
                <w:b/>
                <w:color w:val="000000"/>
                <w:sz w:val="16"/>
                <w:szCs w:val="16"/>
              </w:rPr>
              <w:t xml:space="preserve">1.608 </w:t>
            </w:r>
          </w:p>
        </w:tc>
        <w:tc>
          <w:tcPr>
            <w:tcW w:w="850" w:type="dxa"/>
            <w:tcBorders>
              <w:top w:val="nil"/>
              <w:left w:val="nil"/>
              <w:bottom w:val="single" w:sz="6" w:space="0" w:color="auto"/>
              <w:right w:val="nil"/>
            </w:tcBorders>
            <w:shd w:val="clear" w:color="auto" w:fill="D9D9D9" w:themeFill="background1" w:themeFillShade="D9"/>
            <w:vAlign w:val="center"/>
            <w:hideMark/>
          </w:tcPr>
          <w:p w:rsidR="000B6618" w:rsidRPr="000B6618" w:rsidRDefault="00B84239" w:rsidP="000B6618">
            <w:pPr>
              <w:spacing w:before="40" w:after="40"/>
              <w:ind w:right="227"/>
              <w:jc w:val="right"/>
              <w:rPr>
                <w:rFonts w:ascii="Arial Narrow" w:hAnsi="Arial Narrow"/>
                <w:b/>
                <w:bCs/>
                <w:color w:val="000000"/>
                <w:sz w:val="16"/>
                <w:szCs w:val="16"/>
              </w:rPr>
            </w:pPr>
            <w:r>
              <w:rPr>
                <w:rFonts w:ascii="Arial Narrow" w:hAnsi="Arial Narrow"/>
                <w:b/>
                <w:bCs/>
                <w:color w:val="000000"/>
                <w:sz w:val="16"/>
                <w:szCs w:val="16"/>
              </w:rPr>
              <w:t>1.327</w:t>
            </w:r>
            <w:r w:rsidR="000B6618" w:rsidRPr="000B6618">
              <w:rPr>
                <w:rFonts w:ascii="Arial Narrow" w:hAnsi="Arial Narrow"/>
                <w:b/>
                <w:bCs/>
                <w:color w:val="000000"/>
                <w:sz w:val="16"/>
                <w:szCs w:val="16"/>
              </w:rPr>
              <w:t xml:space="preserve"> </w:t>
            </w:r>
          </w:p>
        </w:tc>
        <w:tc>
          <w:tcPr>
            <w:tcW w:w="867" w:type="dxa"/>
            <w:tcBorders>
              <w:top w:val="nil"/>
              <w:left w:val="nil"/>
              <w:bottom w:val="single" w:sz="6" w:space="0" w:color="auto"/>
            </w:tcBorders>
            <w:shd w:val="clear" w:color="auto" w:fill="D9D9D9" w:themeFill="background1" w:themeFillShade="D9"/>
            <w:vAlign w:val="center"/>
            <w:hideMark/>
          </w:tcPr>
          <w:p w:rsidR="000B6618" w:rsidRPr="000B6618" w:rsidRDefault="002361C2" w:rsidP="000B6618">
            <w:pPr>
              <w:spacing w:before="40" w:after="40"/>
              <w:ind w:right="227"/>
              <w:jc w:val="right"/>
              <w:rPr>
                <w:rFonts w:ascii="Arial Narrow" w:hAnsi="Arial Narrow"/>
                <w:b/>
                <w:color w:val="000000"/>
                <w:sz w:val="16"/>
                <w:szCs w:val="16"/>
              </w:rPr>
            </w:pPr>
            <w:r>
              <w:rPr>
                <w:rFonts w:ascii="Arial Narrow" w:hAnsi="Arial Narrow"/>
                <w:b/>
                <w:color w:val="000000"/>
                <w:sz w:val="16"/>
                <w:szCs w:val="16"/>
              </w:rPr>
              <w:t>6.064</w:t>
            </w:r>
            <w:r w:rsidR="000B6618" w:rsidRPr="000B6618">
              <w:rPr>
                <w:rFonts w:ascii="Arial Narrow" w:hAnsi="Arial Narrow"/>
                <w:b/>
                <w:color w:val="000000"/>
                <w:sz w:val="16"/>
                <w:szCs w:val="16"/>
              </w:rPr>
              <w:t xml:space="preserve"> </w:t>
            </w:r>
          </w:p>
        </w:tc>
      </w:tr>
    </w:tbl>
    <w:p w:rsidR="006908C9" w:rsidRPr="004E57F2" w:rsidRDefault="006908C9" w:rsidP="004A2CE0">
      <w:pPr>
        <w:tabs>
          <w:tab w:val="left" w:pos="284"/>
        </w:tabs>
        <w:ind w:left="284" w:hanging="284"/>
        <w:jc w:val="both"/>
        <w:rPr>
          <w:rFonts w:ascii="Arial Narrow" w:hAnsi="Arial Narrow"/>
          <w:bCs/>
          <w:sz w:val="16"/>
          <w:szCs w:val="16"/>
        </w:rPr>
      </w:pPr>
      <w:r>
        <w:rPr>
          <w:rFonts w:ascii="Arial Narrow" w:hAnsi="Arial Narrow"/>
          <w:bCs/>
          <w:sz w:val="16"/>
          <w:szCs w:val="16"/>
        </w:rPr>
        <w:t xml:space="preserve"> </w:t>
      </w:r>
      <w:r w:rsidRPr="00E84289">
        <w:rPr>
          <w:rFonts w:ascii="Arial Narrow" w:hAnsi="Arial Narrow"/>
          <w:bCs/>
          <w:sz w:val="16"/>
          <w:szCs w:val="16"/>
        </w:rPr>
        <w:t>*</w:t>
      </w:r>
      <w:r w:rsidRPr="00E84289">
        <w:rPr>
          <w:rFonts w:ascii="Arial Narrow" w:hAnsi="Arial Narrow"/>
          <w:bCs/>
          <w:sz w:val="16"/>
          <w:szCs w:val="16"/>
        </w:rPr>
        <w:tab/>
      </w:r>
      <w:r w:rsidRPr="004E57F2">
        <w:rPr>
          <w:rFonts w:ascii="Arial Narrow" w:hAnsi="Arial Narrow"/>
          <w:bCs/>
          <w:sz w:val="16"/>
          <w:szCs w:val="16"/>
        </w:rPr>
        <w:t>Το 2016 ενισχύθηκαν οι πιστώσεις κατά 420 εκατ. ευρώ περίπου</w:t>
      </w:r>
      <w:r>
        <w:rPr>
          <w:rFonts w:ascii="Arial Narrow" w:hAnsi="Arial Narrow"/>
          <w:bCs/>
          <w:sz w:val="16"/>
          <w:szCs w:val="16"/>
        </w:rPr>
        <w:t xml:space="preserve"> και αποπληρώθηκαν αντίστοιχες υποχρεώσεις</w:t>
      </w:r>
      <w:r w:rsidRPr="004E57F2">
        <w:rPr>
          <w:rFonts w:ascii="Arial Narrow" w:hAnsi="Arial Narrow"/>
          <w:bCs/>
          <w:sz w:val="16"/>
          <w:szCs w:val="16"/>
        </w:rPr>
        <w:t>, χωρίς να απαιτηθεί παροχή ρευστότητας, καθώς το ποσό συμψηφίστηκε με υποχρεώσεις τρίτων προς το Δημόσιο.</w:t>
      </w:r>
    </w:p>
    <w:p w:rsidR="006908C9" w:rsidRDefault="006908C9" w:rsidP="006908C9">
      <w:pPr>
        <w:jc w:val="both"/>
        <w:rPr>
          <w:rFonts w:ascii="Arial Narrow" w:hAnsi="Arial Narrow"/>
          <w:bCs/>
          <w:sz w:val="18"/>
          <w:szCs w:val="18"/>
        </w:rPr>
      </w:pPr>
    </w:p>
    <w:p w:rsidR="006908C9" w:rsidRDefault="006908C9" w:rsidP="006908C9">
      <w:pPr>
        <w:jc w:val="both"/>
        <w:rPr>
          <w:bCs/>
          <w:sz w:val="22"/>
          <w:szCs w:val="22"/>
        </w:rPr>
      </w:pPr>
    </w:p>
    <w:p w:rsidR="000B6618" w:rsidRDefault="000B6618" w:rsidP="006908C9">
      <w:pPr>
        <w:jc w:val="both"/>
        <w:rPr>
          <w:bCs/>
          <w:sz w:val="22"/>
          <w:szCs w:val="22"/>
        </w:rPr>
      </w:pPr>
    </w:p>
    <w:p w:rsidR="007565F2" w:rsidRPr="00095DF1" w:rsidRDefault="007565F2" w:rsidP="007565F2">
      <w:pPr>
        <w:jc w:val="both"/>
        <w:rPr>
          <w:bCs/>
          <w:sz w:val="22"/>
          <w:szCs w:val="22"/>
        </w:rPr>
      </w:pPr>
      <w:r w:rsidRPr="00095DF1">
        <w:rPr>
          <w:bCs/>
          <w:sz w:val="22"/>
          <w:szCs w:val="22"/>
        </w:rPr>
        <w:t xml:space="preserve">Ως αποτέλεσμα, παρατηρείται σταδιακή μείωση των ληξιπρόθεσμων υποχρεώσεων των φορέων της Γενικής Κυβέρνησης, συμπεριλαμβανομένων και των εκκρεμών επιστροφών φόρων, καθώς τον Σεπτέμβριο του 2018 ανέρχονται σε </w:t>
      </w:r>
      <w:r w:rsidRPr="00626CA8">
        <w:rPr>
          <w:bCs/>
          <w:sz w:val="22"/>
          <w:szCs w:val="22"/>
        </w:rPr>
        <w:t>2.612</w:t>
      </w:r>
      <w:r>
        <w:rPr>
          <w:bCs/>
          <w:sz w:val="22"/>
          <w:szCs w:val="22"/>
        </w:rPr>
        <w:t xml:space="preserve"> </w:t>
      </w:r>
      <w:r w:rsidRPr="00095DF1">
        <w:rPr>
          <w:bCs/>
          <w:sz w:val="22"/>
          <w:szCs w:val="22"/>
        </w:rPr>
        <w:t>εκατ. ευρώ</w:t>
      </w:r>
      <w:r>
        <w:rPr>
          <w:bCs/>
          <w:sz w:val="22"/>
          <w:szCs w:val="22"/>
        </w:rPr>
        <w:t>.</w:t>
      </w:r>
      <w:r w:rsidRPr="00095DF1">
        <w:rPr>
          <w:bCs/>
          <w:sz w:val="22"/>
          <w:szCs w:val="22"/>
        </w:rPr>
        <w:t xml:space="preserve"> Συνολικά, από τον Ιούνιο του 2016, έχει σημειωθεί μείωση κατά </w:t>
      </w:r>
      <w:r>
        <w:rPr>
          <w:bCs/>
          <w:sz w:val="22"/>
          <w:szCs w:val="22"/>
        </w:rPr>
        <w:t xml:space="preserve">4.793 </w:t>
      </w:r>
      <w:r w:rsidRPr="00095DF1">
        <w:rPr>
          <w:bCs/>
          <w:sz w:val="22"/>
          <w:szCs w:val="22"/>
        </w:rPr>
        <w:t xml:space="preserve">εκατ. ευρώ, ήτοι </w:t>
      </w:r>
      <w:r w:rsidRPr="00626CA8">
        <w:rPr>
          <w:bCs/>
          <w:sz w:val="22"/>
          <w:szCs w:val="22"/>
        </w:rPr>
        <w:t>κατά 65%</w:t>
      </w:r>
      <w:r w:rsidRPr="00095DF1">
        <w:rPr>
          <w:bCs/>
          <w:sz w:val="22"/>
          <w:szCs w:val="22"/>
        </w:rPr>
        <w:t xml:space="preserve"> περίπου.</w:t>
      </w:r>
    </w:p>
    <w:p w:rsidR="007565F2" w:rsidRPr="00095DF1" w:rsidRDefault="007565F2" w:rsidP="007565F2">
      <w:pPr>
        <w:jc w:val="both"/>
        <w:rPr>
          <w:bCs/>
          <w:sz w:val="22"/>
          <w:szCs w:val="22"/>
        </w:rPr>
      </w:pPr>
    </w:p>
    <w:p w:rsidR="007565F2" w:rsidRPr="00095DF1" w:rsidRDefault="007565F2" w:rsidP="007565F2">
      <w:pPr>
        <w:jc w:val="both"/>
        <w:rPr>
          <w:bCs/>
          <w:sz w:val="22"/>
          <w:szCs w:val="22"/>
        </w:rPr>
      </w:pPr>
      <w:r w:rsidRPr="00095DF1">
        <w:rPr>
          <w:bCs/>
          <w:sz w:val="22"/>
          <w:szCs w:val="22"/>
        </w:rPr>
        <w:t>Μέχρι την ολοκλήρωση</w:t>
      </w:r>
      <w:r w:rsidR="00DB364E">
        <w:rPr>
          <w:bCs/>
          <w:sz w:val="22"/>
          <w:szCs w:val="22"/>
        </w:rPr>
        <w:t xml:space="preserve"> του προγράμματος στο τέλος του</w:t>
      </w:r>
      <w:r w:rsidRPr="00095DF1">
        <w:rPr>
          <w:bCs/>
          <w:sz w:val="22"/>
          <w:szCs w:val="22"/>
        </w:rPr>
        <w:t xml:space="preserve"> 2018, εκτιμάται ότι οι φορείς θα μειώσουν περαιτέρω τις ληξιπρόθεσμες υποχρεώσεις τους. Με τη συνέχιση της προσπάθειας των φορέων για εξόφληση ληξιπρόθεσμων υποχρεώσεων και από ίδιους πόρους, σε συνδυασμό με τη συνεχιζόμενη εποπτεία και παρακολούθηση από πλευράς του </w:t>
      </w:r>
      <w:r w:rsidRPr="007A0CC7">
        <w:rPr>
          <w:bCs/>
          <w:sz w:val="22"/>
        </w:rPr>
        <w:t>Γενικ</w:t>
      </w:r>
      <w:r w:rsidRPr="004E57F2">
        <w:rPr>
          <w:bCs/>
          <w:sz w:val="22"/>
        </w:rPr>
        <w:t>ο</w:t>
      </w:r>
      <w:r>
        <w:rPr>
          <w:bCs/>
          <w:sz w:val="22"/>
        </w:rPr>
        <w:t>ύ Λογιστηρί</w:t>
      </w:r>
      <w:r w:rsidRPr="007A0CC7">
        <w:rPr>
          <w:bCs/>
          <w:sz w:val="22"/>
        </w:rPr>
        <w:t>ο</w:t>
      </w:r>
      <w:r>
        <w:rPr>
          <w:bCs/>
          <w:sz w:val="22"/>
        </w:rPr>
        <w:t>υ</w:t>
      </w:r>
      <w:r w:rsidRPr="007A0CC7">
        <w:rPr>
          <w:bCs/>
          <w:sz w:val="22"/>
        </w:rPr>
        <w:t xml:space="preserve"> του Κράτους</w:t>
      </w:r>
      <w:r w:rsidRPr="00095DF1">
        <w:rPr>
          <w:bCs/>
          <w:sz w:val="22"/>
          <w:szCs w:val="22"/>
        </w:rPr>
        <w:t>, αναμένεται η ομαλοποίηση της αποπληρωμής των υποχρεώσεων της Γενικής Κυβέρνησης προς τρίτους, ενισχύοντας τη ρευστότητα της οικονομίας.</w:t>
      </w:r>
    </w:p>
    <w:p w:rsidR="00771939" w:rsidRDefault="00771939">
      <w:pPr>
        <w:rPr>
          <w:bCs/>
          <w:sz w:val="22"/>
        </w:rPr>
      </w:pPr>
      <w:r>
        <w:rPr>
          <w:bCs/>
          <w:sz w:val="22"/>
        </w:rPr>
        <w:br w:type="page"/>
      </w:r>
    </w:p>
    <w:p w:rsidR="00771939" w:rsidRPr="00771939" w:rsidRDefault="00771939" w:rsidP="00771939">
      <w:pPr>
        <w:shd w:val="clear" w:color="auto" w:fill="595959"/>
        <w:jc w:val="both"/>
        <w:rPr>
          <w:rFonts w:ascii="Arial Narrow" w:hAnsi="Arial Narrow"/>
          <w:b/>
          <w:color w:val="FFFFFF"/>
          <w:sz w:val="26"/>
          <w:szCs w:val="22"/>
        </w:rPr>
      </w:pPr>
      <w:r w:rsidRPr="003456B4">
        <w:rPr>
          <w:rFonts w:ascii="Arial Narrow" w:hAnsi="Arial Narrow"/>
          <w:b/>
          <w:color w:val="FFFFFF"/>
          <w:sz w:val="26"/>
          <w:szCs w:val="22"/>
        </w:rPr>
        <w:t>9</w:t>
      </w:r>
      <w:r w:rsidRPr="00E741C4">
        <w:rPr>
          <w:rFonts w:ascii="Arial Narrow" w:hAnsi="Arial Narrow"/>
          <w:b/>
          <w:color w:val="FFFFFF"/>
          <w:sz w:val="26"/>
          <w:szCs w:val="22"/>
        </w:rPr>
        <w:t>.</w:t>
      </w:r>
      <w:r w:rsidRPr="00E741C4">
        <w:rPr>
          <w:rFonts w:ascii="Arial Narrow" w:hAnsi="Arial Narrow"/>
          <w:b/>
          <w:color w:val="FFFFFF"/>
          <w:sz w:val="26"/>
          <w:szCs w:val="22"/>
        </w:rPr>
        <w:tab/>
      </w:r>
      <w:r>
        <w:rPr>
          <w:rFonts w:ascii="Arial Narrow" w:hAnsi="Arial Narrow"/>
          <w:b/>
          <w:color w:val="FFFFFF"/>
          <w:sz w:val="26"/>
          <w:szCs w:val="22"/>
        </w:rPr>
        <w:t>Μεταρρυθμίσεις στη δημοσιονομική διαχείριση</w:t>
      </w:r>
    </w:p>
    <w:p w:rsidR="00FB0CBE" w:rsidRDefault="00FB0CBE" w:rsidP="006908C9">
      <w:pPr>
        <w:tabs>
          <w:tab w:val="left" w:pos="284"/>
        </w:tabs>
        <w:jc w:val="both"/>
        <w:rPr>
          <w:bCs/>
          <w:sz w:val="22"/>
        </w:rPr>
      </w:pPr>
    </w:p>
    <w:p w:rsidR="00771939" w:rsidRDefault="00771939" w:rsidP="00771939">
      <w:pPr>
        <w:jc w:val="both"/>
        <w:rPr>
          <w:rFonts w:ascii="Arial Narrow" w:hAnsi="Arial Narrow"/>
          <w:b/>
          <w:color w:val="000080"/>
          <w:szCs w:val="22"/>
        </w:rPr>
      </w:pPr>
    </w:p>
    <w:p w:rsidR="00771939" w:rsidRPr="00771939" w:rsidRDefault="00771939" w:rsidP="00771939">
      <w:pPr>
        <w:jc w:val="both"/>
        <w:rPr>
          <w:rFonts w:ascii="Arial Narrow" w:hAnsi="Arial Narrow"/>
          <w:b/>
          <w:color w:val="000080"/>
          <w:szCs w:val="22"/>
        </w:rPr>
      </w:pPr>
      <w:r w:rsidRPr="00771939">
        <w:rPr>
          <w:rFonts w:ascii="Arial Narrow" w:hAnsi="Arial Narrow"/>
          <w:b/>
          <w:color w:val="000080"/>
          <w:szCs w:val="22"/>
        </w:rPr>
        <w:t>Επισκόπηση Δαπανών</w:t>
      </w:r>
    </w:p>
    <w:p w:rsidR="00771939" w:rsidRPr="00771939" w:rsidRDefault="00771939" w:rsidP="00771939">
      <w:pPr>
        <w:tabs>
          <w:tab w:val="left" w:pos="284"/>
        </w:tabs>
        <w:jc w:val="both"/>
        <w:rPr>
          <w:bCs/>
          <w:sz w:val="22"/>
        </w:rPr>
      </w:pPr>
    </w:p>
    <w:p w:rsidR="00771939" w:rsidRPr="00771939" w:rsidRDefault="00771939" w:rsidP="00771939">
      <w:pPr>
        <w:tabs>
          <w:tab w:val="left" w:pos="284"/>
        </w:tabs>
        <w:jc w:val="both"/>
        <w:rPr>
          <w:bCs/>
          <w:sz w:val="22"/>
        </w:rPr>
      </w:pPr>
      <w:r w:rsidRPr="00771939">
        <w:rPr>
          <w:bCs/>
          <w:sz w:val="22"/>
        </w:rPr>
        <w:t xml:space="preserve">Η επισκόπηση δαπανών συνιστά ένα από τα πλέον αποτελεσματικά </w:t>
      </w:r>
      <w:r w:rsidR="00E46273">
        <w:rPr>
          <w:bCs/>
          <w:sz w:val="22"/>
        </w:rPr>
        <w:t xml:space="preserve">δημοσιονομικά </w:t>
      </w:r>
      <w:r w:rsidRPr="00771939">
        <w:rPr>
          <w:bCs/>
          <w:sz w:val="22"/>
        </w:rPr>
        <w:t xml:space="preserve">εργαλεία για την αξιολόγηση των δημοσίων δαπανών και την άσκηση ουσιαστικού ελέγχου επί αυτών. Μέσα από τη συγκέντρωση, επεξεργασία και κοστολόγηση προτάσεων για πολιτικές εξοικονόμησης πόρων, επιδιώκεται η δημιουργία δημοσιονομικού περιθωρίου, ώστε να ενισχυθούν οι δράσεις για την προστασία ευάλωτων κοινωνικών ομάδων, χωρίς να τίθεται σε κίνδυνο η επίτευξη των δημοσιονομικών στόχων. </w:t>
      </w:r>
    </w:p>
    <w:p w:rsidR="00771939" w:rsidRPr="00771939" w:rsidRDefault="00771939" w:rsidP="00771939">
      <w:pPr>
        <w:tabs>
          <w:tab w:val="left" w:pos="284"/>
        </w:tabs>
        <w:jc w:val="both"/>
        <w:rPr>
          <w:bCs/>
          <w:sz w:val="22"/>
        </w:rPr>
      </w:pPr>
    </w:p>
    <w:p w:rsidR="00771939" w:rsidRPr="00771939" w:rsidRDefault="00771939" w:rsidP="00771939">
      <w:pPr>
        <w:tabs>
          <w:tab w:val="left" w:pos="284"/>
        </w:tabs>
        <w:jc w:val="both"/>
        <w:rPr>
          <w:bCs/>
          <w:sz w:val="22"/>
        </w:rPr>
      </w:pPr>
      <w:r w:rsidRPr="00771939">
        <w:rPr>
          <w:bCs/>
          <w:sz w:val="22"/>
        </w:rPr>
        <w:t>Το εγχείρημα της επισκόπησης δαπανών απαιτεί την ενίσχυση των συνεργειών μεταξύ των φορέων και του Υπουργείου Οικονομικών. Αποτελεί δυναμική διαδικασία μεσοπρόθεσμου χαρακτήρα, καθώς συνδέεται με αλλαγή κρατικών λειτουργιών και απαιτεί τη συγκριτική αξιολόγηση κάθε δαπάνης. Με τη διεξαγωγή επισκοπήσεων σε τακτική βάση, στόχος είναι να διασφαλιστεί η υψηλή και μετρήσιμη κοινωνική ανταποδοτικότητα των διατιθέμενων δημόσιων πόρων.</w:t>
      </w:r>
    </w:p>
    <w:p w:rsidR="00771939" w:rsidRPr="00771939" w:rsidRDefault="00771939" w:rsidP="00771939">
      <w:pPr>
        <w:tabs>
          <w:tab w:val="left" w:pos="284"/>
        </w:tabs>
        <w:jc w:val="both"/>
        <w:rPr>
          <w:bCs/>
          <w:sz w:val="22"/>
        </w:rPr>
      </w:pPr>
    </w:p>
    <w:p w:rsidR="00771939" w:rsidRPr="00771939" w:rsidRDefault="00771939" w:rsidP="00771939">
      <w:pPr>
        <w:jc w:val="both"/>
        <w:rPr>
          <w:rFonts w:ascii="Arial Narrow" w:hAnsi="Arial Narrow"/>
          <w:b/>
          <w:color w:val="000080"/>
          <w:szCs w:val="22"/>
        </w:rPr>
      </w:pPr>
      <w:r w:rsidRPr="00771939">
        <w:rPr>
          <w:rFonts w:ascii="Arial Narrow" w:hAnsi="Arial Narrow"/>
          <w:b/>
          <w:color w:val="000080"/>
          <w:szCs w:val="22"/>
        </w:rPr>
        <w:t xml:space="preserve">Υλοποίηση δράσεων επισκόπησης δαπανών υπουργείων </w:t>
      </w:r>
    </w:p>
    <w:p w:rsidR="00771939" w:rsidRPr="00771939" w:rsidRDefault="00771939" w:rsidP="00771939">
      <w:pPr>
        <w:tabs>
          <w:tab w:val="left" w:pos="284"/>
        </w:tabs>
        <w:jc w:val="both"/>
        <w:rPr>
          <w:b/>
          <w:bCs/>
          <w:sz w:val="22"/>
        </w:rPr>
      </w:pPr>
    </w:p>
    <w:p w:rsidR="00771939" w:rsidRPr="00771939" w:rsidRDefault="00771939" w:rsidP="00771939">
      <w:pPr>
        <w:tabs>
          <w:tab w:val="left" w:pos="284"/>
        </w:tabs>
        <w:jc w:val="both"/>
        <w:rPr>
          <w:bCs/>
          <w:sz w:val="22"/>
        </w:rPr>
      </w:pPr>
      <w:r w:rsidRPr="00771939">
        <w:rPr>
          <w:bCs/>
          <w:sz w:val="22"/>
        </w:rPr>
        <w:t>Τα εγκεκριμένα ποσά από τις δράσεις εξοικονόμησης που προτάθηκαν στο πλαίσιο του προγράμματος επισκόπησης περιόδου 2016-2017</w:t>
      </w:r>
      <w:r w:rsidR="00E46273">
        <w:rPr>
          <w:bCs/>
          <w:sz w:val="22"/>
        </w:rPr>
        <w:t>,</w:t>
      </w:r>
      <w:r w:rsidRPr="00771939">
        <w:rPr>
          <w:bCs/>
          <w:sz w:val="22"/>
        </w:rPr>
        <w:t xml:space="preserve"> ενσωματώθηκαν στον κρατικό προϋπολογισμό έτους 2018 και στο Μεσοπρόθεσμο Πλαίσιο Δημοσιονομικής Στρατηγικής (ΜΠΔΣ) 2019-2022. </w:t>
      </w:r>
    </w:p>
    <w:p w:rsidR="00771939" w:rsidRPr="00771939" w:rsidRDefault="00771939" w:rsidP="00771939">
      <w:pPr>
        <w:tabs>
          <w:tab w:val="left" w:pos="284"/>
        </w:tabs>
        <w:jc w:val="both"/>
        <w:rPr>
          <w:bCs/>
          <w:sz w:val="22"/>
        </w:rPr>
      </w:pPr>
    </w:p>
    <w:p w:rsidR="00771939" w:rsidRPr="00771939" w:rsidRDefault="00771939" w:rsidP="00771939">
      <w:pPr>
        <w:tabs>
          <w:tab w:val="left" w:pos="284"/>
        </w:tabs>
        <w:jc w:val="both"/>
        <w:rPr>
          <w:bCs/>
          <w:sz w:val="22"/>
        </w:rPr>
      </w:pPr>
      <w:r w:rsidRPr="00771939">
        <w:rPr>
          <w:bCs/>
          <w:sz w:val="22"/>
        </w:rPr>
        <w:t>Η παρακολούθηση της πορείας υλοποίησης των δράσεων γίνεται από τη Διεύθυνση Αξιολόγησης Δράσεων Γενικής Κυβέρνησης (ΔΑΔΓΚ) της Γενικής Διεύθυνσης Δημοσιονομικής Πολιτικής και Προϋπολογισμού του Γενικού Λογιστηρίου του Κράτους. Μέσα από</w:t>
      </w:r>
      <w:r>
        <w:rPr>
          <w:bCs/>
          <w:sz w:val="22"/>
        </w:rPr>
        <w:t xml:space="preserve"> </w:t>
      </w:r>
      <w:r w:rsidRPr="00771939">
        <w:rPr>
          <w:bCs/>
          <w:sz w:val="22"/>
        </w:rPr>
        <w:t xml:space="preserve">τη δημιουργία ενός μόνιμου και τακτικού μηχανισμού παρακολούθησης της πορείας υλοποίησης του προγράμματος εξοικονόμησης, με μηνιαία υποβολή αναφορών, επιχειρήθηκε ο έγκαιρος εντοπισμός αποκλίσεων και η ανάπτυξη εναλλακτικών δράσεων σε περίπτωση απόκλισης από το στόχο. Επιπρόσθετα, δόθηκε έμφαση στην ουσιαστική αξιολόγηση της απόδοσης κάθε δράσης, ώστε να εντοπιστούν οι αιτίες τυχόν προβλημάτων κατά την υλοποίηση και να ληφθούν άμεσα τα αναγκαία μέτρα για την </w:t>
      </w:r>
      <w:r w:rsidR="00E43CC7">
        <w:rPr>
          <w:bCs/>
          <w:sz w:val="22"/>
        </w:rPr>
        <w:t>προώθηση</w:t>
      </w:r>
      <w:r w:rsidRPr="00771939">
        <w:rPr>
          <w:bCs/>
          <w:sz w:val="22"/>
        </w:rPr>
        <w:t xml:space="preserve"> των σχετικών πολιτικών.</w:t>
      </w:r>
    </w:p>
    <w:p w:rsidR="00771939" w:rsidRPr="00771939" w:rsidRDefault="00771939" w:rsidP="00771939">
      <w:pPr>
        <w:tabs>
          <w:tab w:val="left" w:pos="284"/>
        </w:tabs>
        <w:jc w:val="both"/>
        <w:rPr>
          <w:bCs/>
          <w:sz w:val="22"/>
        </w:rPr>
      </w:pPr>
    </w:p>
    <w:p w:rsidR="00771939" w:rsidRDefault="00771939" w:rsidP="00771939">
      <w:pPr>
        <w:tabs>
          <w:tab w:val="left" w:pos="284"/>
        </w:tabs>
        <w:jc w:val="both"/>
        <w:rPr>
          <w:bCs/>
          <w:sz w:val="22"/>
        </w:rPr>
      </w:pPr>
      <w:r w:rsidRPr="00771939">
        <w:rPr>
          <w:bCs/>
          <w:sz w:val="22"/>
        </w:rPr>
        <w:t>Κύριους στόχους της παρακολούθησης, πέραν των αμιγώς δημοσιονομικών, συνιστούν οι εξής:</w:t>
      </w:r>
    </w:p>
    <w:p w:rsidR="00771939" w:rsidRPr="00771939" w:rsidRDefault="00771939" w:rsidP="00771939">
      <w:pPr>
        <w:tabs>
          <w:tab w:val="left" w:pos="284"/>
        </w:tabs>
        <w:jc w:val="both"/>
        <w:rPr>
          <w:bCs/>
          <w:sz w:val="22"/>
        </w:rPr>
      </w:pPr>
    </w:p>
    <w:p w:rsidR="00771939" w:rsidRDefault="00771939" w:rsidP="006556BD">
      <w:pPr>
        <w:pStyle w:val="af2"/>
        <w:numPr>
          <w:ilvl w:val="0"/>
          <w:numId w:val="17"/>
        </w:numPr>
        <w:spacing w:after="0" w:line="240" w:lineRule="auto"/>
        <w:ind w:left="284" w:hanging="284"/>
        <w:jc w:val="both"/>
        <w:rPr>
          <w:rFonts w:ascii="Times New Roman" w:eastAsia="Times New Roman" w:hAnsi="Times New Roman"/>
          <w:szCs w:val="24"/>
          <w:lang w:eastAsia="el-GR"/>
        </w:rPr>
      </w:pPr>
      <w:r w:rsidRPr="00771939">
        <w:rPr>
          <w:rFonts w:ascii="Times New Roman" w:eastAsia="Times New Roman" w:hAnsi="Times New Roman"/>
          <w:szCs w:val="24"/>
          <w:lang w:eastAsia="el-GR"/>
        </w:rPr>
        <w:t>εγκαθίδρυση κουλτούρας στους φορείς ότι η επισκόπηση δαπανών είναι μια συνεχής διαδικασία,</w:t>
      </w:r>
    </w:p>
    <w:p w:rsidR="00771939" w:rsidRPr="00771939" w:rsidRDefault="00771939" w:rsidP="006556BD">
      <w:pPr>
        <w:pStyle w:val="af2"/>
        <w:numPr>
          <w:ilvl w:val="0"/>
          <w:numId w:val="17"/>
        </w:numPr>
        <w:spacing w:after="0" w:line="240" w:lineRule="auto"/>
        <w:ind w:left="284" w:hanging="284"/>
        <w:jc w:val="both"/>
        <w:rPr>
          <w:rFonts w:ascii="Times New Roman" w:eastAsia="Times New Roman" w:hAnsi="Times New Roman"/>
          <w:szCs w:val="24"/>
          <w:lang w:eastAsia="el-GR"/>
        </w:rPr>
      </w:pPr>
      <w:r>
        <w:rPr>
          <w:rFonts w:ascii="Times New Roman" w:eastAsia="Times New Roman" w:hAnsi="Times New Roman"/>
          <w:szCs w:val="24"/>
          <w:lang w:eastAsia="el-GR"/>
        </w:rPr>
        <w:t>ε</w:t>
      </w:r>
      <w:r w:rsidRPr="00771939">
        <w:rPr>
          <w:rFonts w:ascii="Times New Roman" w:eastAsia="Times New Roman" w:hAnsi="Times New Roman"/>
          <w:szCs w:val="24"/>
          <w:lang w:eastAsia="el-GR"/>
        </w:rPr>
        <w:t>κπαίδευση των φορέων στη μεθοδολογία παρακολούθησης της επίτευξης των εξοικονομήσεων και</w:t>
      </w:r>
    </w:p>
    <w:p w:rsidR="00771939" w:rsidRPr="00771939" w:rsidRDefault="00771939" w:rsidP="006556BD">
      <w:pPr>
        <w:pStyle w:val="af2"/>
        <w:numPr>
          <w:ilvl w:val="0"/>
          <w:numId w:val="17"/>
        </w:numPr>
        <w:spacing w:after="0" w:line="240" w:lineRule="auto"/>
        <w:ind w:left="284" w:hanging="284"/>
        <w:jc w:val="both"/>
        <w:rPr>
          <w:rFonts w:ascii="Times New Roman" w:eastAsia="Times New Roman" w:hAnsi="Times New Roman"/>
          <w:szCs w:val="24"/>
          <w:lang w:eastAsia="el-GR"/>
        </w:rPr>
      </w:pPr>
      <w:r w:rsidRPr="00771939">
        <w:rPr>
          <w:rFonts w:ascii="Times New Roman" w:eastAsia="Times New Roman" w:hAnsi="Times New Roman"/>
          <w:szCs w:val="24"/>
          <w:lang w:eastAsia="el-GR"/>
        </w:rPr>
        <w:t>προετοιμασία των φορέων για περαιτέρω εμβάθυνση στις διαδικασίες επισκόπησης και εντοπισμού αναποτελεσματικών δράσεων και πολιτικών.</w:t>
      </w:r>
    </w:p>
    <w:p w:rsidR="00771939" w:rsidRPr="00771939" w:rsidRDefault="00771939" w:rsidP="00771939">
      <w:pPr>
        <w:pStyle w:val="af2"/>
        <w:spacing w:after="0" w:line="240" w:lineRule="auto"/>
        <w:ind w:left="284"/>
        <w:jc w:val="both"/>
        <w:rPr>
          <w:bCs/>
        </w:rPr>
      </w:pPr>
    </w:p>
    <w:p w:rsidR="00771939" w:rsidRPr="00771939" w:rsidRDefault="00771939" w:rsidP="00771939">
      <w:pPr>
        <w:tabs>
          <w:tab w:val="left" w:pos="284"/>
        </w:tabs>
        <w:jc w:val="both"/>
        <w:rPr>
          <w:bCs/>
          <w:sz w:val="22"/>
        </w:rPr>
      </w:pPr>
      <w:r w:rsidRPr="00771939">
        <w:rPr>
          <w:bCs/>
          <w:sz w:val="22"/>
        </w:rPr>
        <w:t xml:space="preserve">Τα </w:t>
      </w:r>
      <w:r w:rsidR="00230564" w:rsidRPr="00771939">
        <w:rPr>
          <w:bCs/>
          <w:sz w:val="22"/>
        </w:rPr>
        <w:t xml:space="preserve">Υπουργεία </w:t>
      </w:r>
      <w:r w:rsidRPr="00771939">
        <w:rPr>
          <w:bCs/>
          <w:sz w:val="22"/>
        </w:rPr>
        <w:t>που μετέχουν στο πρόγραμμα, οι δράσεις τους και οι αντίστοιχες εξοικονομήσεις παρουσιάζονται στον πίνακα που ακολουθεί:</w:t>
      </w:r>
    </w:p>
    <w:p w:rsidR="00771939" w:rsidRDefault="00771939" w:rsidP="006908C9">
      <w:pPr>
        <w:tabs>
          <w:tab w:val="left" w:pos="284"/>
        </w:tabs>
        <w:jc w:val="both"/>
        <w:rPr>
          <w:bCs/>
          <w:sz w:val="22"/>
        </w:rPr>
      </w:pPr>
    </w:p>
    <w:p w:rsidR="003456B4" w:rsidRDefault="003456B4">
      <w:pPr>
        <w:rPr>
          <w:bCs/>
          <w:sz w:val="22"/>
        </w:rPr>
      </w:pPr>
    </w:p>
    <w:p w:rsidR="003456B4" w:rsidRDefault="003456B4">
      <w:pPr>
        <w:rPr>
          <w:bCs/>
          <w:sz w:val="22"/>
        </w:rPr>
      </w:pPr>
    </w:p>
    <w:p w:rsidR="003456B4" w:rsidRDefault="003456B4">
      <w:pPr>
        <w:rPr>
          <w:bCs/>
          <w:sz w:val="22"/>
        </w:rPr>
      </w:pPr>
    </w:p>
    <w:p w:rsidR="003456B4" w:rsidRDefault="003456B4">
      <w:pPr>
        <w:rPr>
          <w:bCs/>
          <w:sz w:val="22"/>
        </w:rPr>
      </w:pPr>
    </w:p>
    <w:p w:rsidR="003456B4" w:rsidRDefault="003456B4">
      <w:pPr>
        <w:rPr>
          <w:bCs/>
          <w:sz w:val="22"/>
        </w:rPr>
      </w:pPr>
    </w:p>
    <w:p w:rsidR="003456B4" w:rsidRDefault="003456B4">
      <w:pPr>
        <w:rPr>
          <w:bCs/>
          <w:sz w:val="22"/>
        </w:rPr>
      </w:pPr>
    </w:p>
    <w:p w:rsidR="003456B4" w:rsidRDefault="003456B4">
      <w:pPr>
        <w:rPr>
          <w:bCs/>
          <w:sz w:val="22"/>
        </w:rPr>
      </w:pPr>
    </w:p>
    <w:p w:rsidR="003456B4" w:rsidRDefault="003456B4">
      <w:pPr>
        <w:rPr>
          <w:bCs/>
          <w:sz w:val="22"/>
        </w:rPr>
      </w:pPr>
    </w:p>
    <w:p w:rsidR="003456B4" w:rsidRDefault="003456B4">
      <w:pPr>
        <w:rPr>
          <w:bCs/>
          <w:sz w:val="22"/>
        </w:rPr>
      </w:pPr>
    </w:p>
    <w:p w:rsidR="003456B4" w:rsidRDefault="003456B4">
      <w:pPr>
        <w:rPr>
          <w:bCs/>
          <w:sz w:val="22"/>
        </w:rPr>
      </w:pPr>
    </w:p>
    <w:p w:rsidR="00771939" w:rsidRDefault="00771939">
      <w:pPr>
        <w:rPr>
          <w:bCs/>
          <w:sz w:val="22"/>
        </w:rPr>
      </w:pPr>
    </w:p>
    <w:tbl>
      <w:tblPr>
        <w:tblW w:w="7550"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1412"/>
        <w:gridCol w:w="1288"/>
      </w:tblGrid>
      <w:tr w:rsidR="00771939" w:rsidRPr="00D30E0A" w:rsidTr="00771939">
        <w:tc>
          <w:tcPr>
            <w:tcW w:w="7550" w:type="dxa"/>
            <w:gridSpan w:val="3"/>
            <w:tcBorders>
              <w:top w:val="single" w:sz="4" w:space="0" w:color="auto"/>
              <w:bottom w:val="nil"/>
            </w:tcBorders>
            <w:shd w:val="clear" w:color="auto" w:fill="404040"/>
            <w:noWrap/>
          </w:tcPr>
          <w:p w:rsidR="00771939" w:rsidRDefault="00771939" w:rsidP="00771939">
            <w:pPr>
              <w:jc w:val="center"/>
              <w:rPr>
                <w:rFonts w:ascii="Arial Narrow" w:hAnsi="Arial Narrow"/>
                <w:b/>
                <w:color w:val="FFFFFF"/>
                <w:szCs w:val="16"/>
              </w:rPr>
            </w:pPr>
            <w:r w:rsidRPr="00D30E0A">
              <w:rPr>
                <w:rFonts w:ascii="Arial Narrow" w:hAnsi="Arial Narrow"/>
                <w:b/>
                <w:color w:val="FFFFFF"/>
                <w:szCs w:val="16"/>
              </w:rPr>
              <w:t xml:space="preserve">Πίνακας </w:t>
            </w:r>
            <w:r w:rsidRPr="001528EA">
              <w:rPr>
                <w:rFonts w:ascii="Arial Narrow" w:hAnsi="Arial Narrow"/>
                <w:b/>
                <w:color w:val="FFFFFF"/>
                <w:szCs w:val="16"/>
              </w:rPr>
              <w:t>3.</w:t>
            </w:r>
            <w:r w:rsidR="001528EA" w:rsidRPr="001528EA">
              <w:rPr>
                <w:rFonts w:ascii="Arial Narrow" w:hAnsi="Arial Narrow"/>
                <w:b/>
                <w:color w:val="FFFFFF"/>
                <w:szCs w:val="16"/>
              </w:rPr>
              <w:t>31</w:t>
            </w:r>
            <w:r w:rsidRPr="00D30E0A">
              <w:rPr>
                <w:rFonts w:ascii="Arial Narrow" w:hAnsi="Arial Narrow"/>
                <w:b/>
                <w:color w:val="FFFFFF"/>
                <w:szCs w:val="16"/>
              </w:rPr>
              <w:t xml:space="preserve">  </w:t>
            </w:r>
            <w:r>
              <w:rPr>
                <w:rFonts w:ascii="Arial Narrow" w:hAnsi="Arial Narrow"/>
                <w:b/>
                <w:color w:val="FFFFFF"/>
                <w:szCs w:val="16"/>
              </w:rPr>
              <w:t>Εξοικονομήσεις δαπανών και αύξηση εσόδων</w:t>
            </w:r>
          </w:p>
          <w:p w:rsidR="00771939" w:rsidRPr="00D30E0A" w:rsidRDefault="00771939" w:rsidP="00771939">
            <w:pPr>
              <w:jc w:val="center"/>
              <w:rPr>
                <w:rFonts w:ascii="Arial Narrow" w:hAnsi="Arial Narrow"/>
                <w:b/>
                <w:color w:val="FFFFFF"/>
                <w:szCs w:val="16"/>
              </w:rPr>
            </w:pPr>
            <w:r>
              <w:rPr>
                <w:rFonts w:ascii="Arial Narrow" w:hAnsi="Arial Narrow"/>
                <w:b/>
                <w:color w:val="FFFFFF"/>
                <w:szCs w:val="16"/>
              </w:rPr>
              <w:t>που ενσωματώθηκαν στον προϋπολογισμό έτους 2018</w:t>
            </w:r>
          </w:p>
          <w:p w:rsidR="00771939" w:rsidRPr="00D30E0A" w:rsidRDefault="00771939" w:rsidP="00771939">
            <w:pPr>
              <w:jc w:val="center"/>
              <w:rPr>
                <w:rFonts w:ascii="Arial Narrow" w:hAnsi="Arial Narrow"/>
                <w:b/>
                <w:color w:val="FFFFFF"/>
                <w:szCs w:val="16"/>
              </w:rPr>
            </w:pPr>
            <w:r w:rsidRPr="00D30E0A">
              <w:rPr>
                <w:rFonts w:ascii="Arial Narrow" w:hAnsi="Arial Narrow"/>
                <w:b/>
                <w:color w:val="FFFFFF"/>
                <w:szCs w:val="16"/>
              </w:rPr>
              <w:t>(σε εκατ. ευρώ)</w:t>
            </w:r>
          </w:p>
        </w:tc>
      </w:tr>
      <w:tr w:rsidR="00771939" w:rsidRPr="00D30E0A" w:rsidTr="00771939">
        <w:tc>
          <w:tcPr>
            <w:tcW w:w="7550" w:type="dxa"/>
            <w:gridSpan w:val="3"/>
            <w:tcBorders>
              <w:top w:val="nil"/>
              <w:bottom w:val="nil"/>
            </w:tcBorders>
            <w:shd w:val="clear" w:color="auto" w:fill="auto"/>
            <w:noWrap/>
          </w:tcPr>
          <w:p w:rsidR="00771939" w:rsidRPr="00D30E0A" w:rsidRDefault="00771939" w:rsidP="00771939">
            <w:pPr>
              <w:ind w:right="907"/>
              <w:jc w:val="right"/>
              <w:rPr>
                <w:rFonts w:ascii="Arial Narrow" w:hAnsi="Arial Narrow"/>
                <w:sz w:val="12"/>
                <w:szCs w:val="16"/>
                <w:highlight w:val="yellow"/>
              </w:rPr>
            </w:pPr>
          </w:p>
        </w:tc>
      </w:tr>
      <w:tr w:rsidR="00771939" w:rsidRPr="00771939" w:rsidTr="00771939">
        <w:tc>
          <w:tcPr>
            <w:tcW w:w="4850" w:type="dxa"/>
            <w:tcBorders>
              <w:bottom w:val="single" w:sz="4" w:space="0" w:color="auto"/>
            </w:tcBorders>
            <w:shd w:val="clear" w:color="auto" w:fill="auto"/>
            <w:noWrap/>
          </w:tcPr>
          <w:p w:rsidR="00771939" w:rsidRPr="00771939" w:rsidRDefault="00771939" w:rsidP="008F1CDE">
            <w:pPr>
              <w:spacing w:before="120" w:after="120"/>
              <w:ind w:right="170"/>
              <w:jc w:val="both"/>
              <w:rPr>
                <w:rFonts w:ascii="Arial Narrow" w:hAnsi="Arial Narrow"/>
                <w:b/>
                <w:bCs/>
                <w:sz w:val="16"/>
                <w:szCs w:val="16"/>
              </w:rPr>
            </w:pPr>
            <w:r w:rsidRPr="00771939">
              <w:rPr>
                <w:rFonts w:ascii="Arial Narrow" w:hAnsi="Arial Narrow"/>
                <w:b/>
                <w:bCs/>
                <w:sz w:val="16"/>
                <w:szCs w:val="16"/>
              </w:rPr>
              <w:t>Υπουργείο - Φορέας</w:t>
            </w:r>
          </w:p>
        </w:tc>
        <w:tc>
          <w:tcPr>
            <w:tcW w:w="1412" w:type="dxa"/>
            <w:tcBorders>
              <w:bottom w:val="single" w:sz="4" w:space="0" w:color="auto"/>
            </w:tcBorders>
            <w:shd w:val="clear" w:color="auto" w:fill="auto"/>
          </w:tcPr>
          <w:p w:rsidR="00771939" w:rsidRPr="00771939" w:rsidRDefault="00771939" w:rsidP="008F1CDE">
            <w:pPr>
              <w:spacing w:before="120" w:after="120"/>
              <w:jc w:val="center"/>
              <w:rPr>
                <w:rFonts w:ascii="Arial Narrow" w:hAnsi="Arial Narrow"/>
                <w:b/>
                <w:bCs/>
                <w:sz w:val="16"/>
                <w:szCs w:val="16"/>
              </w:rPr>
            </w:pPr>
            <w:r w:rsidRPr="00771939">
              <w:rPr>
                <w:rFonts w:ascii="Arial Narrow" w:hAnsi="Arial Narrow"/>
                <w:b/>
                <w:bCs/>
                <w:sz w:val="16"/>
                <w:szCs w:val="16"/>
              </w:rPr>
              <w:t>Δαπάνες</w:t>
            </w:r>
          </w:p>
        </w:tc>
        <w:tc>
          <w:tcPr>
            <w:tcW w:w="1288" w:type="dxa"/>
            <w:tcBorders>
              <w:bottom w:val="single" w:sz="4" w:space="0" w:color="auto"/>
            </w:tcBorders>
            <w:shd w:val="clear" w:color="auto" w:fill="auto"/>
          </w:tcPr>
          <w:p w:rsidR="00771939" w:rsidRPr="00771939" w:rsidRDefault="00771939" w:rsidP="008F1CDE">
            <w:pPr>
              <w:spacing w:before="120" w:after="120"/>
              <w:jc w:val="center"/>
              <w:rPr>
                <w:rFonts w:ascii="Arial Narrow" w:hAnsi="Arial Narrow"/>
                <w:b/>
                <w:bCs/>
                <w:sz w:val="16"/>
                <w:szCs w:val="16"/>
              </w:rPr>
            </w:pPr>
            <w:r w:rsidRPr="00771939">
              <w:rPr>
                <w:rFonts w:ascii="Arial Narrow" w:hAnsi="Arial Narrow"/>
                <w:b/>
                <w:bCs/>
                <w:sz w:val="16"/>
                <w:szCs w:val="16"/>
              </w:rPr>
              <w:t>Έσοδα</w:t>
            </w:r>
          </w:p>
        </w:tc>
      </w:tr>
      <w:tr w:rsidR="008F1CDE" w:rsidRPr="008F1CDE" w:rsidTr="008F1CDE">
        <w:tc>
          <w:tcPr>
            <w:tcW w:w="4850" w:type="dxa"/>
            <w:tcBorders>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Διοικητικής Ανασυγκρότησης</w:t>
            </w:r>
          </w:p>
        </w:tc>
        <w:tc>
          <w:tcPr>
            <w:tcW w:w="1412" w:type="dxa"/>
            <w:tcBorders>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1,1</w:t>
            </w:r>
          </w:p>
        </w:tc>
        <w:tc>
          <w:tcPr>
            <w:tcW w:w="1288" w:type="dxa"/>
            <w:tcBorders>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771939">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Υγείας</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25,7</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771939">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Δικαιοσύνης, Διαφάνειας και Ανθρωπίνων Δικαιωμάτων</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3,1</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771939">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Πολιτισμού  και Αθλητισμού</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3,7</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771939">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Οικονομικών</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6,3</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771939">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 xml:space="preserve"> Αγροτικής Ανάπτυξης και Τροφίμων</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2,6</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8F1CDE">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 xml:space="preserve"> Περιβάλλοντος και Ενέργειας</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1,0</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0,2</w:t>
            </w:r>
          </w:p>
        </w:tc>
      </w:tr>
      <w:tr w:rsidR="008F1CDE" w:rsidRPr="008F1CDE" w:rsidTr="00771939">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Εργασίας, Κοιν. Ασφάλισης  και Κοιν. Αλληλεγγύης</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30,0</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771939">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Οικονομίας &amp; Ανάπτυξης</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1,6</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771939">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 xml:space="preserve">Υποδομών και Μεταφορών </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4,9</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w:t>
            </w:r>
          </w:p>
        </w:tc>
      </w:tr>
      <w:tr w:rsidR="008F1CDE" w:rsidRPr="008F1CDE" w:rsidTr="008F1CDE">
        <w:tc>
          <w:tcPr>
            <w:tcW w:w="4850" w:type="dxa"/>
            <w:tcBorders>
              <w:top w:val="nil"/>
              <w:bottom w:val="nil"/>
              <w:right w:val="nil"/>
            </w:tcBorders>
            <w:shd w:val="clear" w:color="auto" w:fill="auto"/>
            <w:noWrap/>
            <w:vAlign w:val="center"/>
          </w:tcPr>
          <w:p w:rsidR="008F1CDE" w:rsidRPr="00AE4AEB" w:rsidRDefault="008F1CDE" w:rsidP="000B0280">
            <w:pPr>
              <w:rPr>
                <w:rFonts w:ascii="Arial Narrow" w:hAnsi="Arial Narrow"/>
                <w:bCs/>
                <w:color w:val="000000"/>
                <w:sz w:val="16"/>
              </w:rPr>
            </w:pPr>
            <w:r w:rsidRPr="00AE4AEB">
              <w:rPr>
                <w:rFonts w:ascii="Arial Narrow" w:hAnsi="Arial Narrow"/>
                <w:bCs/>
                <w:color w:val="000000"/>
                <w:sz w:val="16"/>
              </w:rPr>
              <w:t>Ναυτιλίας και Νησιωτικής Πολιτικής</w:t>
            </w:r>
          </w:p>
        </w:tc>
        <w:tc>
          <w:tcPr>
            <w:tcW w:w="1412" w:type="dxa"/>
            <w:tcBorders>
              <w:top w:val="nil"/>
              <w:left w:val="nil"/>
              <w:bottom w:val="nil"/>
              <w:right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8,3</w:t>
            </w:r>
          </w:p>
        </w:tc>
        <w:tc>
          <w:tcPr>
            <w:tcW w:w="1288" w:type="dxa"/>
            <w:tcBorders>
              <w:top w:val="nil"/>
              <w:left w:val="nil"/>
              <w:bottom w:val="nil"/>
            </w:tcBorders>
            <w:shd w:val="clear" w:color="auto" w:fill="auto"/>
            <w:vAlign w:val="center"/>
          </w:tcPr>
          <w:p w:rsidR="008F1CDE" w:rsidRPr="00AE4AEB" w:rsidRDefault="008F1CDE" w:rsidP="008F1CDE">
            <w:pPr>
              <w:tabs>
                <w:tab w:val="decimal" w:pos="634"/>
              </w:tabs>
              <w:jc w:val="both"/>
              <w:rPr>
                <w:rFonts w:ascii="Arial Narrow" w:hAnsi="Arial Narrow"/>
                <w:bCs/>
                <w:sz w:val="16"/>
              </w:rPr>
            </w:pPr>
            <w:r w:rsidRPr="00AE4AEB">
              <w:rPr>
                <w:rFonts w:ascii="Arial Narrow" w:hAnsi="Arial Narrow"/>
                <w:bCs/>
                <w:sz w:val="16"/>
              </w:rPr>
              <w:t>2,0</w:t>
            </w:r>
          </w:p>
        </w:tc>
      </w:tr>
      <w:tr w:rsidR="008F1CDE" w:rsidRPr="008F1CDE" w:rsidTr="008F1CDE">
        <w:tc>
          <w:tcPr>
            <w:tcW w:w="4850" w:type="dxa"/>
            <w:tcBorders>
              <w:top w:val="nil"/>
              <w:bottom w:val="single" w:sz="4" w:space="0" w:color="auto"/>
              <w:right w:val="nil"/>
            </w:tcBorders>
            <w:shd w:val="clear" w:color="auto" w:fill="D9D9D9" w:themeFill="background1" w:themeFillShade="D9"/>
            <w:noWrap/>
            <w:vAlign w:val="center"/>
          </w:tcPr>
          <w:p w:rsidR="008F1CDE" w:rsidRPr="008F1CDE" w:rsidRDefault="008F1CDE" w:rsidP="008F1CDE">
            <w:pPr>
              <w:spacing w:before="60" w:after="60"/>
              <w:rPr>
                <w:rFonts w:ascii="Arial Narrow" w:hAnsi="Arial Narrow"/>
                <w:b/>
                <w:bCs/>
                <w:color w:val="000000"/>
                <w:sz w:val="16"/>
              </w:rPr>
            </w:pPr>
            <w:r w:rsidRPr="008F1CDE">
              <w:rPr>
                <w:rFonts w:ascii="Arial Narrow" w:hAnsi="Arial Narrow"/>
                <w:b/>
                <w:bCs/>
                <w:color w:val="000000"/>
                <w:sz w:val="16"/>
              </w:rPr>
              <w:t>Σύνολο</w:t>
            </w:r>
          </w:p>
        </w:tc>
        <w:tc>
          <w:tcPr>
            <w:tcW w:w="1412" w:type="dxa"/>
            <w:tcBorders>
              <w:top w:val="nil"/>
              <w:left w:val="nil"/>
              <w:bottom w:val="single" w:sz="4" w:space="0" w:color="auto"/>
              <w:right w:val="nil"/>
            </w:tcBorders>
            <w:shd w:val="clear" w:color="auto" w:fill="D9D9D9" w:themeFill="background1" w:themeFillShade="D9"/>
            <w:vAlign w:val="bottom"/>
          </w:tcPr>
          <w:p w:rsidR="008F1CDE" w:rsidRPr="008F1CDE" w:rsidRDefault="008F1CDE" w:rsidP="008F1CDE">
            <w:pPr>
              <w:tabs>
                <w:tab w:val="decimal" w:pos="634"/>
              </w:tabs>
              <w:spacing w:before="60" w:after="60"/>
              <w:jc w:val="both"/>
              <w:rPr>
                <w:rFonts w:ascii="Arial Narrow" w:hAnsi="Arial Narrow"/>
                <w:b/>
                <w:bCs/>
                <w:color w:val="000000"/>
                <w:sz w:val="16"/>
              </w:rPr>
            </w:pPr>
            <w:r w:rsidRPr="008F1CDE">
              <w:rPr>
                <w:rFonts w:ascii="Arial Narrow" w:hAnsi="Arial Narrow"/>
                <w:b/>
                <w:bCs/>
                <w:color w:val="000000"/>
                <w:sz w:val="16"/>
              </w:rPr>
              <w:t>88,3</w:t>
            </w:r>
          </w:p>
        </w:tc>
        <w:tc>
          <w:tcPr>
            <w:tcW w:w="1288" w:type="dxa"/>
            <w:tcBorders>
              <w:top w:val="nil"/>
              <w:left w:val="nil"/>
              <w:bottom w:val="single" w:sz="4" w:space="0" w:color="auto"/>
            </w:tcBorders>
            <w:shd w:val="clear" w:color="auto" w:fill="D9D9D9" w:themeFill="background1" w:themeFillShade="D9"/>
            <w:vAlign w:val="bottom"/>
          </w:tcPr>
          <w:p w:rsidR="008F1CDE" w:rsidRPr="008F1CDE" w:rsidRDefault="008F1CDE" w:rsidP="008F1CDE">
            <w:pPr>
              <w:tabs>
                <w:tab w:val="decimal" w:pos="634"/>
              </w:tabs>
              <w:spacing w:before="60" w:after="60"/>
              <w:jc w:val="both"/>
              <w:rPr>
                <w:rFonts w:ascii="Arial Narrow" w:hAnsi="Arial Narrow"/>
                <w:b/>
                <w:bCs/>
                <w:color w:val="000000"/>
                <w:sz w:val="16"/>
              </w:rPr>
            </w:pPr>
            <w:r w:rsidRPr="008F1CDE">
              <w:rPr>
                <w:rFonts w:ascii="Arial Narrow" w:hAnsi="Arial Narrow"/>
                <w:b/>
                <w:bCs/>
                <w:color w:val="000000"/>
                <w:sz w:val="16"/>
              </w:rPr>
              <w:t>2,2</w:t>
            </w:r>
          </w:p>
        </w:tc>
      </w:tr>
    </w:tbl>
    <w:p w:rsidR="00771939" w:rsidRDefault="00771939" w:rsidP="006908C9">
      <w:pPr>
        <w:tabs>
          <w:tab w:val="left" w:pos="284"/>
        </w:tabs>
        <w:jc w:val="both"/>
        <w:rPr>
          <w:bCs/>
          <w:sz w:val="22"/>
        </w:rPr>
      </w:pPr>
    </w:p>
    <w:p w:rsidR="003456B4" w:rsidRDefault="003456B4" w:rsidP="006908C9">
      <w:pPr>
        <w:tabs>
          <w:tab w:val="left" w:pos="284"/>
        </w:tabs>
        <w:jc w:val="both"/>
        <w:rPr>
          <w:bCs/>
          <w:sz w:val="22"/>
        </w:rPr>
      </w:pPr>
    </w:p>
    <w:p w:rsidR="003456B4" w:rsidRDefault="003456B4" w:rsidP="006908C9">
      <w:pPr>
        <w:tabs>
          <w:tab w:val="left" w:pos="284"/>
        </w:tabs>
        <w:jc w:val="both"/>
        <w:rPr>
          <w:bCs/>
          <w:sz w:val="22"/>
        </w:rPr>
      </w:pPr>
    </w:p>
    <w:p w:rsidR="008F1CDE" w:rsidRDefault="008F1CDE" w:rsidP="006908C9">
      <w:pPr>
        <w:tabs>
          <w:tab w:val="left" w:pos="284"/>
        </w:tabs>
        <w:jc w:val="both"/>
        <w:rPr>
          <w:bCs/>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7"/>
      </w:tblGrid>
      <w:tr w:rsidR="003456B4" w:rsidRPr="003456B4" w:rsidTr="003456B4">
        <w:tc>
          <w:tcPr>
            <w:tcW w:w="9287" w:type="dxa"/>
            <w:shd w:val="clear" w:color="auto" w:fill="404040" w:themeFill="text1" w:themeFillTint="BF"/>
          </w:tcPr>
          <w:p w:rsidR="003456B4" w:rsidRDefault="001528EA" w:rsidP="003456B4">
            <w:pPr>
              <w:jc w:val="center"/>
              <w:rPr>
                <w:rFonts w:ascii="Arial Narrow" w:hAnsi="Arial Narrow"/>
                <w:b/>
                <w:color w:val="FFFFFF"/>
                <w:szCs w:val="16"/>
              </w:rPr>
            </w:pPr>
            <w:r>
              <w:rPr>
                <w:rFonts w:ascii="Arial Narrow" w:hAnsi="Arial Narrow"/>
                <w:b/>
                <w:color w:val="FFFFFF"/>
                <w:szCs w:val="16"/>
              </w:rPr>
              <w:t>Διάγραμμα 3.1</w:t>
            </w:r>
            <w:r w:rsidR="003456B4" w:rsidRPr="003456B4">
              <w:rPr>
                <w:rFonts w:ascii="Arial Narrow" w:hAnsi="Arial Narrow"/>
                <w:b/>
                <w:color w:val="FFFFFF"/>
                <w:szCs w:val="16"/>
              </w:rPr>
              <w:t xml:space="preserve">  </w:t>
            </w:r>
            <w:r w:rsidR="003456B4">
              <w:rPr>
                <w:rFonts w:ascii="Arial Narrow" w:hAnsi="Arial Narrow"/>
                <w:b/>
                <w:color w:val="FFFFFF"/>
                <w:szCs w:val="16"/>
              </w:rPr>
              <w:t>Εξοικονόμηση δαπανών και αύξηση εσόδων που ενσωματώθηκαν</w:t>
            </w:r>
          </w:p>
          <w:p w:rsidR="003456B4" w:rsidRDefault="003456B4" w:rsidP="003456B4">
            <w:pPr>
              <w:jc w:val="center"/>
              <w:rPr>
                <w:rFonts w:ascii="Arial Narrow" w:hAnsi="Arial Narrow"/>
                <w:b/>
                <w:color w:val="FFFFFF"/>
                <w:szCs w:val="16"/>
              </w:rPr>
            </w:pPr>
            <w:r>
              <w:rPr>
                <w:rFonts w:ascii="Arial Narrow" w:hAnsi="Arial Narrow"/>
                <w:b/>
                <w:color w:val="FFFFFF"/>
                <w:szCs w:val="16"/>
              </w:rPr>
              <w:t>στον προϋπολογισμό έτους 2018</w:t>
            </w:r>
          </w:p>
          <w:p w:rsidR="003456B4" w:rsidRPr="003456B4" w:rsidRDefault="003456B4" w:rsidP="003456B4">
            <w:pPr>
              <w:jc w:val="center"/>
              <w:rPr>
                <w:rFonts w:ascii="Arial Narrow" w:hAnsi="Arial Narrow"/>
                <w:b/>
                <w:color w:val="FFFFFF"/>
                <w:szCs w:val="16"/>
              </w:rPr>
            </w:pPr>
            <w:r>
              <w:rPr>
                <w:rFonts w:ascii="Arial Narrow" w:hAnsi="Arial Narrow"/>
                <w:b/>
                <w:color w:val="FFFFFF"/>
                <w:szCs w:val="16"/>
              </w:rPr>
              <w:t>(σε εκατ. ευρώ)</w:t>
            </w:r>
          </w:p>
        </w:tc>
      </w:tr>
      <w:tr w:rsidR="003456B4" w:rsidTr="003456B4">
        <w:tc>
          <w:tcPr>
            <w:tcW w:w="9287" w:type="dxa"/>
          </w:tcPr>
          <w:p w:rsidR="003456B4" w:rsidRDefault="003456B4" w:rsidP="003456B4">
            <w:pPr>
              <w:tabs>
                <w:tab w:val="left" w:pos="284"/>
              </w:tabs>
              <w:jc w:val="center"/>
              <w:rPr>
                <w:bCs/>
                <w:sz w:val="22"/>
              </w:rPr>
            </w:pPr>
            <w:r w:rsidRPr="003456B4">
              <w:rPr>
                <w:bCs/>
                <w:noProof/>
                <w:sz w:val="22"/>
              </w:rPr>
              <w:drawing>
                <wp:inline distT="0" distB="0" distL="0" distR="0">
                  <wp:extent cx="5486400" cy="3242945"/>
                  <wp:effectExtent l="0" t="0" r="0" b="0"/>
                  <wp:docPr id="3"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3456B4" w:rsidRDefault="003456B4" w:rsidP="006908C9">
      <w:pPr>
        <w:tabs>
          <w:tab w:val="left" w:pos="284"/>
        </w:tabs>
        <w:jc w:val="both"/>
        <w:rPr>
          <w:bCs/>
          <w:sz w:val="22"/>
        </w:rPr>
      </w:pPr>
    </w:p>
    <w:p w:rsidR="003456B4" w:rsidRDefault="003456B4">
      <w:pPr>
        <w:rPr>
          <w:bCs/>
          <w:sz w:val="22"/>
        </w:rPr>
      </w:pPr>
    </w:p>
    <w:p w:rsidR="0067367E" w:rsidRPr="00771939" w:rsidRDefault="00977F75" w:rsidP="0067367E">
      <w:pPr>
        <w:jc w:val="both"/>
        <w:rPr>
          <w:rFonts w:ascii="Arial Narrow" w:hAnsi="Arial Narrow"/>
          <w:b/>
          <w:color w:val="000080"/>
          <w:szCs w:val="22"/>
        </w:rPr>
      </w:pPr>
      <w:r>
        <w:rPr>
          <w:rFonts w:ascii="Arial Narrow" w:hAnsi="Arial Narrow"/>
          <w:b/>
          <w:color w:val="000080"/>
          <w:szCs w:val="22"/>
        </w:rPr>
        <w:t>Παροχή</w:t>
      </w:r>
      <w:r w:rsidR="0067367E">
        <w:rPr>
          <w:rFonts w:ascii="Arial Narrow" w:hAnsi="Arial Narrow"/>
          <w:b/>
          <w:color w:val="000080"/>
          <w:szCs w:val="22"/>
        </w:rPr>
        <w:t xml:space="preserve"> έκπτωσης από παρόχους ηλεκτρικής ενέργειας</w:t>
      </w:r>
    </w:p>
    <w:p w:rsidR="008F1CDE" w:rsidRDefault="008F1CDE" w:rsidP="006908C9">
      <w:pPr>
        <w:tabs>
          <w:tab w:val="left" w:pos="284"/>
        </w:tabs>
        <w:jc w:val="both"/>
        <w:rPr>
          <w:bCs/>
          <w:sz w:val="22"/>
        </w:rPr>
      </w:pPr>
    </w:p>
    <w:p w:rsidR="000B0280" w:rsidRPr="000B0280" w:rsidRDefault="000B0280" w:rsidP="000B0280">
      <w:pPr>
        <w:tabs>
          <w:tab w:val="left" w:pos="284"/>
        </w:tabs>
        <w:jc w:val="both"/>
        <w:rPr>
          <w:bCs/>
          <w:sz w:val="22"/>
        </w:rPr>
      </w:pPr>
      <w:r w:rsidRPr="000B0280">
        <w:rPr>
          <w:bCs/>
          <w:sz w:val="22"/>
        </w:rPr>
        <w:t xml:space="preserve">Η </w:t>
      </w:r>
      <w:r w:rsidR="00977F75">
        <w:rPr>
          <w:bCs/>
          <w:sz w:val="22"/>
        </w:rPr>
        <w:t xml:space="preserve">δαπάνη για </w:t>
      </w:r>
      <w:r w:rsidRPr="000B0280">
        <w:rPr>
          <w:bCs/>
          <w:sz w:val="22"/>
        </w:rPr>
        <w:t>ηλεκτρική ενέργεια αποτελεί σημαντική κατηγορία εξόδου για όλους τους φορείς της Γενικής Κυβέρνησης. Το Υπουργείο Οικονομικών ανέλαβε πρωτοβουλία για την προώθηση οριζόντιας δράσης, με στόχο τον εξορθολογισμό της σχετικής δαπάνης. Προκειμένου η ρύθμιση να λειτουργήσει τόσο προς όφελος των φορέων όσο και προς όφελος της αγοράς, καθορίστηκε η διαδικασία, οι όροι και οι προϋποθέσεις αναφορικά με τη χορήγηση χρηματικών προκαταβολών σε προμηθευτές ηλεκτρικής ενέργειας, έναντι των συνολικών ετήσιων υποχρεώσεων της εκάστοτε τρέχουσας χρήσης για δαπάνη εξόφλησης λογαριασμών ηλεκτρικού ρεύματος των φορέων της Γενικής Κυβέρνησης. Οι προμηθευτές ηλεκτρικής ενέργειας χορηγούν στο Ελληνικό Δημόσιο έκπτωση έναντι των προαναφερόμενων χρηματικών προκαταβολών. Το ποσοστό της συνολικής έκπτωσης καθορίστηκε σε ποσοστό 27% και αναλύεται σε 6% έκπτωση προπληρωμής, 15% έκπτωση συνέπειας και 6% έκπτωση όγκου.</w:t>
      </w:r>
    </w:p>
    <w:p w:rsidR="000B0280" w:rsidRPr="000B0280" w:rsidRDefault="000B0280" w:rsidP="000B0280">
      <w:pPr>
        <w:tabs>
          <w:tab w:val="left" w:pos="284"/>
        </w:tabs>
        <w:jc w:val="both"/>
        <w:rPr>
          <w:bCs/>
          <w:sz w:val="22"/>
        </w:rPr>
      </w:pPr>
    </w:p>
    <w:p w:rsidR="000B0280" w:rsidRPr="000B0280" w:rsidRDefault="000B0280" w:rsidP="000B0280">
      <w:pPr>
        <w:tabs>
          <w:tab w:val="left" w:pos="284"/>
        </w:tabs>
        <w:jc w:val="both"/>
        <w:rPr>
          <w:bCs/>
          <w:sz w:val="22"/>
        </w:rPr>
      </w:pPr>
      <w:r w:rsidRPr="000B0280">
        <w:rPr>
          <w:bCs/>
          <w:sz w:val="22"/>
        </w:rPr>
        <w:t xml:space="preserve">Η δράση αυτή είναι διαρθρωτικού χαρακτήρα και σηματοδοτεί την εμπέδωση </w:t>
      </w:r>
      <w:r w:rsidR="00877206">
        <w:rPr>
          <w:bCs/>
          <w:sz w:val="22"/>
        </w:rPr>
        <w:t xml:space="preserve">πρακτικών </w:t>
      </w:r>
      <w:r w:rsidRPr="000B0280">
        <w:rPr>
          <w:bCs/>
          <w:sz w:val="22"/>
        </w:rPr>
        <w:t xml:space="preserve">αναφορικά με την ανάπτυξη ενεργειών για την αποδοτικότερη λειτουργία του Δημοσίου και την επίτευξη εξοικονομήσεων μέσα από καλύτερη διαχείριση των υφιστάμενων πόρων. </w:t>
      </w:r>
    </w:p>
    <w:p w:rsidR="000B0280" w:rsidRPr="000B0280" w:rsidRDefault="000B0280" w:rsidP="000B0280">
      <w:pPr>
        <w:tabs>
          <w:tab w:val="left" w:pos="284"/>
        </w:tabs>
        <w:jc w:val="both"/>
        <w:rPr>
          <w:bCs/>
          <w:sz w:val="22"/>
        </w:rPr>
      </w:pPr>
    </w:p>
    <w:p w:rsidR="000B0280" w:rsidRPr="000B0280" w:rsidRDefault="000B0280" w:rsidP="000B0280">
      <w:pPr>
        <w:tabs>
          <w:tab w:val="left" w:pos="284"/>
        </w:tabs>
        <w:jc w:val="both"/>
        <w:rPr>
          <w:bCs/>
          <w:sz w:val="22"/>
        </w:rPr>
      </w:pPr>
      <w:r w:rsidRPr="000B0280">
        <w:rPr>
          <w:bCs/>
          <w:sz w:val="22"/>
        </w:rPr>
        <w:t xml:space="preserve">Η αναμενόμενη εξοικονόμηση εκτιμάται σε τουλάχιστον 90 </w:t>
      </w:r>
      <w:r w:rsidR="00130F1A">
        <w:rPr>
          <w:bCs/>
          <w:sz w:val="22"/>
        </w:rPr>
        <w:t>εκατ.</w:t>
      </w:r>
      <w:r w:rsidRPr="000B0280">
        <w:rPr>
          <w:bCs/>
          <w:sz w:val="22"/>
        </w:rPr>
        <w:t xml:space="preserve"> ευρώ κατ’ έτος, συναρτάται, ωστόσο, με την αντίστοιχη διακύμανση της κατανάλωσης.</w:t>
      </w:r>
    </w:p>
    <w:p w:rsidR="000B0280" w:rsidRPr="000B0280" w:rsidRDefault="000B0280" w:rsidP="000B0280">
      <w:pPr>
        <w:tabs>
          <w:tab w:val="left" w:pos="284"/>
        </w:tabs>
        <w:jc w:val="both"/>
        <w:rPr>
          <w:b/>
          <w:bCs/>
          <w:sz w:val="22"/>
        </w:rPr>
      </w:pPr>
    </w:p>
    <w:p w:rsidR="000B0280" w:rsidRPr="00103451" w:rsidRDefault="000B0280" w:rsidP="00103451">
      <w:pPr>
        <w:jc w:val="both"/>
        <w:rPr>
          <w:rFonts w:ascii="Arial Narrow" w:hAnsi="Arial Narrow"/>
          <w:b/>
          <w:color w:val="000080"/>
          <w:szCs w:val="22"/>
        </w:rPr>
      </w:pPr>
      <w:r w:rsidRPr="00103451">
        <w:rPr>
          <w:rFonts w:ascii="Arial Narrow" w:hAnsi="Arial Narrow"/>
          <w:b/>
          <w:color w:val="000080"/>
          <w:szCs w:val="22"/>
        </w:rPr>
        <w:t>Επισκόπηση δαπανών έτους 2018</w:t>
      </w:r>
    </w:p>
    <w:p w:rsidR="000B0280" w:rsidRPr="000B0280" w:rsidRDefault="000B0280" w:rsidP="000B0280">
      <w:pPr>
        <w:tabs>
          <w:tab w:val="left" w:pos="284"/>
        </w:tabs>
        <w:jc w:val="both"/>
        <w:rPr>
          <w:bCs/>
          <w:sz w:val="22"/>
        </w:rPr>
      </w:pPr>
    </w:p>
    <w:p w:rsidR="000B0280" w:rsidRDefault="000B0280" w:rsidP="000B0280">
      <w:pPr>
        <w:tabs>
          <w:tab w:val="left" w:pos="284"/>
        </w:tabs>
        <w:jc w:val="both"/>
        <w:rPr>
          <w:bCs/>
          <w:sz w:val="22"/>
        </w:rPr>
      </w:pPr>
      <w:r w:rsidRPr="000B0280">
        <w:rPr>
          <w:bCs/>
          <w:sz w:val="22"/>
        </w:rPr>
        <w:t xml:space="preserve">Για το 2018, το Γενικό Λογιστήριο του Κράτους </w:t>
      </w:r>
      <w:r w:rsidR="00006AD5">
        <w:rPr>
          <w:bCs/>
          <w:sz w:val="22"/>
        </w:rPr>
        <w:t xml:space="preserve">(ΓΛΚ) </w:t>
      </w:r>
      <w:r w:rsidRPr="000B0280">
        <w:rPr>
          <w:bCs/>
          <w:sz w:val="22"/>
        </w:rPr>
        <w:t>εμβάθυνε περισσότερο επί της διαδικασίας επισκόπησης δαπανών. Το εγχείρημα κατά το έτος αυτό είχε περισσότερο στοχευμένο χαρακτήρα, εστιάζοντας σε συγκεκριμένα Υπουργεία και τομείς πολιτικής. Συγκεκριμένα, η επισκόπηση δαπανών έτους 2018 αφορά στα Υπουργεία Υγείας, Πολιτισμού &amp; Αθλητισμού και Υποδομών &amp; Μεταφορών, με έμφαση σε εποπτευόμενους αυτών φορείς</w:t>
      </w:r>
      <w:r w:rsidR="00103451">
        <w:rPr>
          <w:bCs/>
          <w:sz w:val="22"/>
        </w:rPr>
        <w:t>.</w:t>
      </w:r>
    </w:p>
    <w:p w:rsidR="00103451" w:rsidRPr="000B0280" w:rsidRDefault="00103451" w:rsidP="000B0280">
      <w:pPr>
        <w:tabs>
          <w:tab w:val="left" w:pos="284"/>
        </w:tabs>
        <w:jc w:val="both"/>
        <w:rPr>
          <w:bCs/>
          <w:sz w:val="22"/>
        </w:rPr>
      </w:pPr>
    </w:p>
    <w:p w:rsidR="000B0280" w:rsidRDefault="000B0280" w:rsidP="000B0280">
      <w:pPr>
        <w:tabs>
          <w:tab w:val="left" w:pos="284"/>
        </w:tabs>
        <w:jc w:val="both"/>
        <w:rPr>
          <w:bCs/>
          <w:sz w:val="22"/>
        </w:rPr>
      </w:pPr>
      <w:r w:rsidRPr="000B0280">
        <w:rPr>
          <w:bCs/>
          <w:sz w:val="22"/>
        </w:rPr>
        <w:t xml:space="preserve">Για την υλοποίηση του έργου, συστάθηκαν διυπουργικές επιτροπές με τη συμμετοχή εκπροσώπων του </w:t>
      </w:r>
      <w:r w:rsidR="00962EF9">
        <w:rPr>
          <w:bCs/>
          <w:sz w:val="22"/>
        </w:rPr>
        <w:t>ΓΛΚ</w:t>
      </w:r>
      <w:r w:rsidRPr="000B0280">
        <w:rPr>
          <w:bCs/>
          <w:sz w:val="22"/>
        </w:rPr>
        <w:t xml:space="preserve"> και του αρμόδιου κάθε φορά </w:t>
      </w:r>
      <w:r w:rsidR="00877206" w:rsidRPr="000B0280">
        <w:rPr>
          <w:bCs/>
          <w:sz w:val="22"/>
        </w:rPr>
        <w:t xml:space="preserve">Υπουργείου </w:t>
      </w:r>
      <w:r w:rsidR="00962EF9">
        <w:rPr>
          <w:bCs/>
          <w:sz w:val="22"/>
        </w:rPr>
        <w:t>με</w:t>
      </w:r>
      <w:r w:rsidRPr="000B0280">
        <w:rPr>
          <w:bCs/>
          <w:sz w:val="22"/>
        </w:rPr>
        <w:t xml:space="preserve"> στόχο την επισκόπηση δαπανών, καθώς και την καταγραφή και αξιολόγηση δράσεων και διαδικασιών, προκειμένου: </w:t>
      </w:r>
    </w:p>
    <w:p w:rsidR="00103451" w:rsidRPr="000B0280" w:rsidRDefault="00103451" w:rsidP="000B0280">
      <w:pPr>
        <w:tabs>
          <w:tab w:val="left" w:pos="284"/>
        </w:tabs>
        <w:jc w:val="both"/>
        <w:rPr>
          <w:bCs/>
          <w:sz w:val="22"/>
        </w:rPr>
      </w:pPr>
    </w:p>
    <w:p w:rsidR="000B0280" w:rsidRPr="00103451" w:rsidRDefault="000B0280" w:rsidP="00103451">
      <w:pPr>
        <w:pStyle w:val="af2"/>
        <w:numPr>
          <w:ilvl w:val="0"/>
          <w:numId w:val="17"/>
        </w:numPr>
        <w:spacing w:after="0" w:line="240" w:lineRule="auto"/>
        <w:ind w:left="284" w:hanging="284"/>
        <w:jc w:val="both"/>
        <w:rPr>
          <w:rFonts w:ascii="Times New Roman" w:eastAsia="Times New Roman" w:hAnsi="Times New Roman"/>
          <w:szCs w:val="24"/>
          <w:lang w:eastAsia="el-GR"/>
        </w:rPr>
      </w:pPr>
      <w:r w:rsidRPr="00103451">
        <w:rPr>
          <w:rFonts w:ascii="Times New Roman" w:eastAsia="Times New Roman" w:hAnsi="Times New Roman"/>
          <w:szCs w:val="24"/>
          <w:lang w:eastAsia="el-GR"/>
        </w:rPr>
        <w:t>να εντοπιστούν δαπάνες μειωμένης αποτελεσματικότητας και αποδοτικότητας και να διαμορφωθούν κοινά αποδεκτές ποσοτικοποιημένες προτάσεις, ώστε να απελευθερωθούν πόροι και να κατανεμηθ</w:t>
      </w:r>
      <w:r w:rsidR="0027401D">
        <w:rPr>
          <w:rFonts w:ascii="Times New Roman" w:eastAsia="Times New Roman" w:hAnsi="Times New Roman"/>
          <w:szCs w:val="24"/>
          <w:lang w:eastAsia="el-GR"/>
        </w:rPr>
        <w:t xml:space="preserve">ούν </w:t>
      </w:r>
      <w:r w:rsidRPr="00103451">
        <w:rPr>
          <w:rFonts w:ascii="Times New Roman" w:eastAsia="Times New Roman" w:hAnsi="Times New Roman"/>
          <w:szCs w:val="24"/>
          <w:lang w:eastAsia="el-GR"/>
        </w:rPr>
        <w:t>σε χρήσεις υψηλής κοινωνικής αποτελεσματικότητας,</w:t>
      </w:r>
    </w:p>
    <w:p w:rsidR="000B0280" w:rsidRPr="00103451" w:rsidRDefault="000B0280" w:rsidP="00103451">
      <w:pPr>
        <w:pStyle w:val="af2"/>
        <w:numPr>
          <w:ilvl w:val="0"/>
          <w:numId w:val="17"/>
        </w:numPr>
        <w:spacing w:after="0" w:line="240" w:lineRule="auto"/>
        <w:ind w:left="284" w:hanging="284"/>
        <w:jc w:val="both"/>
        <w:rPr>
          <w:rFonts w:ascii="Times New Roman" w:eastAsia="Times New Roman" w:hAnsi="Times New Roman"/>
          <w:szCs w:val="24"/>
          <w:lang w:eastAsia="el-GR"/>
        </w:rPr>
      </w:pPr>
      <w:r w:rsidRPr="00103451">
        <w:rPr>
          <w:rFonts w:ascii="Times New Roman" w:eastAsia="Times New Roman" w:hAnsi="Times New Roman"/>
          <w:szCs w:val="24"/>
          <w:lang w:eastAsia="el-GR"/>
        </w:rPr>
        <w:t xml:space="preserve">να διαμορφωθούν κοινά αποδεκτές προβλέψεις των εκτιμώμενων αποδόσεων κατά το χρονικό διάστημα του ισχύοντος Μεσοπρόθεσμου Πλαισίου Δημοσιονομικής Στρατηγικής (ΜΠΔΣ) και </w:t>
      </w:r>
    </w:p>
    <w:p w:rsidR="000B0280" w:rsidRPr="00103451" w:rsidRDefault="000B0280" w:rsidP="00103451">
      <w:pPr>
        <w:pStyle w:val="af2"/>
        <w:numPr>
          <w:ilvl w:val="0"/>
          <w:numId w:val="17"/>
        </w:numPr>
        <w:spacing w:after="0" w:line="240" w:lineRule="auto"/>
        <w:ind w:left="284" w:hanging="284"/>
        <w:jc w:val="both"/>
        <w:rPr>
          <w:rFonts w:ascii="Times New Roman" w:eastAsia="Times New Roman" w:hAnsi="Times New Roman"/>
          <w:szCs w:val="24"/>
          <w:lang w:eastAsia="el-GR"/>
        </w:rPr>
      </w:pPr>
      <w:r w:rsidRPr="00103451">
        <w:rPr>
          <w:rFonts w:ascii="Times New Roman" w:eastAsia="Times New Roman" w:hAnsi="Times New Roman"/>
          <w:szCs w:val="24"/>
          <w:lang w:eastAsia="el-GR"/>
        </w:rPr>
        <w:t>να τεθούν δείκτες παρακολούθησης της αποτελεσματικότ</w:t>
      </w:r>
      <w:r w:rsidR="00103451" w:rsidRPr="00103451">
        <w:rPr>
          <w:rFonts w:ascii="Times New Roman" w:eastAsia="Times New Roman" w:hAnsi="Times New Roman"/>
          <w:szCs w:val="24"/>
          <w:lang w:eastAsia="el-GR"/>
        </w:rPr>
        <w:t>ητας των προτεινόμενων δράσεων.</w:t>
      </w:r>
    </w:p>
    <w:p w:rsidR="00103451" w:rsidRPr="000B0280" w:rsidRDefault="00103451" w:rsidP="00103451">
      <w:pPr>
        <w:tabs>
          <w:tab w:val="left" w:pos="284"/>
        </w:tabs>
        <w:ind w:left="720"/>
        <w:jc w:val="both"/>
        <w:rPr>
          <w:bCs/>
          <w:sz w:val="22"/>
        </w:rPr>
      </w:pPr>
    </w:p>
    <w:p w:rsidR="000B0280" w:rsidRPr="00166094" w:rsidRDefault="000B0280" w:rsidP="00166094">
      <w:pPr>
        <w:jc w:val="both"/>
        <w:rPr>
          <w:rFonts w:ascii="Arial Narrow" w:hAnsi="Arial Narrow"/>
          <w:b/>
          <w:color w:val="000080"/>
          <w:szCs w:val="22"/>
        </w:rPr>
      </w:pPr>
      <w:r w:rsidRPr="00166094">
        <w:rPr>
          <w:rFonts w:ascii="Arial Narrow" w:hAnsi="Arial Narrow"/>
          <w:b/>
          <w:color w:val="000080"/>
          <w:szCs w:val="22"/>
        </w:rPr>
        <w:t xml:space="preserve">Διάθεση δημιουργούμενου δημοσιονομικού </w:t>
      </w:r>
      <w:r w:rsidR="009475B0">
        <w:rPr>
          <w:rFonts w:ascii="Arial Narrow" w:hAnsi="Arial Narrow"/>
          <w:b/>
          <w:color w:val="000080"/>
          <w:szCs w:val="22"/>
        </w:rPr>
        <w:t>οφέλους</w:t>
      </w:r>
    </w:p>
    <w:p w:rsidR="000B0280" w:rsidRPr="000B0280" w:rsidRDefault="000B0280" w:rsidP="000B0280">
      <w:pPr>
        <w:tabs>
          <w:tab w:val="left" w:pos="284"/>
        </w:tabs>
        <w:jc w:val="both"/>
        <w:rPr>
          <w:bCs/>
          <w:sz w:val="22"/>
        </w:rPr>
      </w:pPr>
    </w:p>
    <w:p w:rsidR="000B0280" w:rsidRPr="000B0280" w:rsidRDefault="000B0280" w:rsidP="000B0280">
      <w:pPr>
        <w:tabs>
          <w:tab w:val="left" w:pos="284"/>
        </w:tabs>
        <w:jc w:val="both"/>
        <w:rPr>
          <w:bCs/>
          <w:sz w:val="22"/>
        </w:rPr>
      </w:pPr>
      <w:r w:rsidRPr="000B0280">
        <w:rPr>
          <w:bCs/>
          <w:sz w:val="22"/>
        </w:rPr>
        <w:t xml:space="preserve">Βασική διάσταση της επιτυχούς υλοποίησης της επισκόπησης δαπανών αποτελεί η ισχυρή δέσμευση των ίδιων των </w:t>
      </w:r>
      <w:r w:rsidR="00877206" w:rsidRPr="000B0280">
        <w:rPr>
          <w:bCs/>
          <w:sz w:val="22"/>
        </w:rPr>
        <w:t xml:space="preserve">Υπουργείων </w:t>
      </w:r>
      <w:r w:rsidRPr="000B0280">
        <w:rPr>
          <w:bCs/>
          <w:sz w:val="22"/>
        </w:rPr>
        <w:t xml:space="preserve">προς τούτο. Για το σκοπό αυτό, το </w:t>
      </w:r>
      <w:r w:rsidR="00EF765E">
        <w:rPr>
          <w:bCs/>
          <w:sz w:val="22"/>
        </w:rPr>
        <w:t>ΓΛΚ</w:t>
      </w:r>
      <w:r w:rsidRPr="000B0280">
        <w:rPr>
          <w:bCs/>
          <w:sz w:val="22"/>
        </w:rPr>
        <w:t xml:space="preserve"> επέλεξε μέρος του δημοσιονομικού οφέλους που θα επιτευχθεί μέσα από τη διαδικασία αυτή από τα τρία πιλοτικά Υπουργεία (Υγείας, Πολιτισμού &amp; Αθλητισμού και Υποδομών &amp; Μεταφορών) κατά το 2019 να παραμείνει στο ίδιο το Υπουργείο που θα υλοποιήσει την εξοικονόμηση, ως δημοσιονομικός χώρος για την ανάπτυξη πολιτικών για την ενίσχυση των ασθενέστερων ομάδων και τη δημιουργία κοινωνικού οφέλους.</w:t>
      </w:r>
    </w:p>
    <w:p w:rsidR="000B0280" w:rsidRPr="000B0280" w:rsidRDefault="000B0280" w:rsidP="000B0280">
      <w:pPr>
        <w:tabs>
          <w:tab w:val="left" w:pos="284"/>
        </w:tabs>
        <w:jc w:val="both"/>
        <w:rPr>
          <w:b/>
          <w:bCs/>
          <w:sz w:val="22"/>
        </w:rPr>
      </w:pPr>
    </w:p>
    <w:p w:rsidR="000B0280" w:rsidRPr="00166094" w:rsidRDefault="000B0280" w:rsidP="00166094">
      <w:pPr>
        <w:tabs>
          <w:tab w:val="left" w:pos="284"/>
        </w:tabs>
        <w:jc w:val="both"/>
        <w:rPr>
          <w:rFonts w:ascii="Arial Narrow" w:hAnsi="Arial Narrow"/>
          <w:b/>
          <w:color w:val="000080"/>
          <w:szCs w:val="22"/>
        </w:rPr>
      </w:pPr>
      <w:r w:rsidRPr="00166094">
        <w:rPr>
          <w:rFonts w:ascii="Arial Narrow" w:hAnsi="Arial Narrow"/>
          <w:b/>
          <w:color w:val="000080"/>
          <w:szCs w:val="22"/>
        </w:rPr>
        <w:t xml:space="preserve">Λοιπές οριζόντιες δράσεις </w:t>
      </w:r>
    </w:p>
    <w:p w:rsidR="000B0280" w:rsidRPr="000B0280" w:rsidRDefault="000B0280" w:rsidP="000B0280">
      <w:pPr>
        <w:tabs>
          <w:tab w:val="left" w:pos="284"/>
        </w:tabs>
        <w:jc w:val="both"/>
        <w:rPr>
          <w:b/>
          <w:bCs/>
          <w:sz w:val="22"/>
        </w:rPr>
      </w:pPr>
    </w:p>
    <w:p w:rsidR="000B0280" w:rsidRPr="000B0280" w:rsidRDefault="000B0280" w:rsidP="000B0280">
      <w:pPr>
        <w:tabs>
          <w:tab w:val="left" w:pos="284"/>
        </w:tabs>
        <w:jc w:val="both"/>
        <w:rPr>
          <w:bCs/>
          <w:sz w:val="22"/>
        </w:rPr>
      </w:pPr>
      <w:r w:rsidRPr="000B0280">
        <w:rPr>
          <w:bCs/>
          <w:sz w:val="22"/>
        </w:rPr>
        <w:t xml:space="preserve">Στο πλαίσιο του προγράμματος επισκόπησης δαπανών </w:t>
      </w:r>
      <w:r w:rsidR="00450A7A">
        <w:rPr>
          <w:bCs/>
          <w:sz w:val="22"/>
        </w:rPr>
        <w:t>έτους</w:t>
      </w:r>
      <w:r w:rsidRPr="000B0280">
        <w:rPr>
          <w:bCs/>
          <w:sz w:val="22"/>
        </w:rPr>
        <w:t xml:space="preserve"> 2018 διερευνήθηκε η δυνατότητα επίτευξης πρόσθετων εξοικονομήσεων στην τηλεπικοινωνιακή δαπάνη σε επίπεδο Γενικής Κυβέρνησης, τόσο μέσα από καλύτερη εποπτεία και έλεγχο όσο και αξιοποιώντας περαιτέρω δυνατότητες του κυβερνητικού δικτύου «Σύζευξις», το οποίο αποτελεί έργο παροχής προηγμένων τηλεπικοινωνιακών και τηλεματικών υπηρεσιών ευρυζωνικού χαρακτήρα, υψηλής προστιθέμενης αξίας σε φορείς του Δημόσιου Τομέα σε όλη την ελληνική επικράτεια. </w:t>
      </w:r>
    </w:p>
    <w:p w:rsidR="00166094" w:rsidRDefault="00166094" w:rsidP="000B0280">
      <w:pPr>
        <w:tabs>
          <w:tab w:val="left" w:pos="284"/>
        </w:tabs>
        <w:jc w:val="both"/>
        <w:rPr>
          <w:bCs/>
          <w:sz w:val="22"/>
        </w:rPr>
      </w:pPr>
    </w:p>
    <w:p w:rsidR="000B0280" w:rsidRPr="000B0280" w:rsidRDefault="000B0280" w:rsidP="000B0280">
      <w:pPr>
        <w:tabs>
          <w:tab w:val="left" w:pos="284"/>
        </w:tabs>
        <w:jc w:val="both"/>
        <w:rPr>
          <w:bCs/>
          <w:sz w:val="22"/>
        </w:rPr>
      </w:pPr>
      <w:r w:rsidRPr="000B0280">
        <w:rPr>
          <w:bCs/>
          <w:sz w:val="22"/>
        </w:rPr>
        <w:t>Μέσα στο επόμενο έτος, οι αρμόδιες υπηρεσίες θα οργανώσουν τα επόμενα βήματα και τις απαραίτητες ενέργειες για την επίτευξη της εξοικονόμησης.</w:t>
      </w:r>
    </w:p>
    <w:p w:rsidR="000B0280" w:rsidRDefault="000B0280" w:rsidP="000B0280">
      <w:pPr>
        <w:tabs>
          <w:tab w:val="left" w:pos="284"/>
        </w:tabs>
        <w:jc w:val="both"/>
        <w:rPr>
          <w:b/>
          <w:bCs/>
          <w:sz w:val="22"/>
        </w:rPr>
      </w:pPr>
    </w:p>
    <w:p w:rsidR="00935802" w:rsidRDefault="00935802" w:rsidP="000B0280">
      <w:pPr>
        <w:tabs>
          <w:tab w:val="left" w:pos="284"/>
        </w:tabs>
        <w:jc w:val="both"/>
        <w:rPr>
          <w:b/>
          <w:bCs/>
          <w:sz w:val="22"/>
        </w:rPr>
      </w:pPr>
    </w:p>
    <w:p w:rsidR="00935802" w:rsidRPr="000B0280" w:rsidRDefault="00935802" w:rsidP="000B0280">
      <w:pPr>
        <w:tabs>
          <w:tab w:val="left" w:pos="284"/>
        </w:tabs>
        <w:jc w:val="both"/>
        <w:rPr>
          <w:b/>
          <w:bCs/>
          <w:sz w:val="22"/>
        </w:rPr>
      </w:pPr>
    </w:p>
    <w:p w:rsidR="000B0280" w:rsidRPr="00166094" w:rsidRDefault="000B0280" w:rsidP="000B0280">
      <w:pPr>
        <w:tabs>
          <w:tab w:val="left" w:pos="284"/>
        </w:tabs>
        <w:jc w:val="both"/>
        <w:rPr>
          <w:rFonts w:ascii="Arial Narrow" w:hAnsi="Arial Narrow"/>
          <w:b/>
          <w:color w:val="000080"/>
          <w:szCs w:val="22"/>
        </w:rPr>
      </w:pPr>
      <w:r w:rsidRPr="00166094">
        <w:rPr>
          <w:rFonts w:ascii="Arial Narrow" w:hAnsi="Arial Narrow"/>
          <w:b/>
          <w:color w:val="000080"/>
          <w:szCs w:val="22"/>
        </w:rPr>
        <w:t>Δράσεις επισκόπησης πιλοτικών υπουργείων 2018</w:t>
      </w:r>
    </w:p>
    <w:p w:rsidR="000B0280" w:rsidRPr="000B0280" w:rsidRDefault="000B0280" w:rsidP="000B0280">
      <w:pPr>
        <w:tabs>
          <w:tab w:val="left" w:pos="284"/>
        </w:tabs>
        <w:jc w:val="both"/>
        <w:rPr>
          <w:bCs/>
          <w:sz w:val="22"/>
        </w:rPr>
      </w:pPr>
    </w:p>
    <w:p w:rsidR="000B0280" w:rsidRPr="000B0280" w:rsidRDefault="000B0280" w:rsidP="000B0280">
      <w:pPr>
        <w:tabs>
          <w:tab w:val="left" w:pos="284"/>
        </w:tabs>
        <w:jc w:val="both"/>
        <w:rPr>
          <w:bCs/>
          <w:sz w:val="22"/>
        </w:rPr>
      </w:pPr>
      <w:r w:rsidRPr="000B0280">
        <w:rPr>
          <w:bCs/>
          <w:sz w:val="22"/>
        </w:rPr>
        <w:t>Στη συνέχεια, παρουσιάζονται οι κυριότερες δράσεις που προέκυψαν στο πλαίσιο της επισκόπησης δαπανών των πιλοτικών υπουργείων του τρέχοντος έτους.</w:t>
      </w:r>
    </w:p>
    <w:p w:rsidR="000B0280" w:rsidRPr="00166094" w:rsidRDefault="000B0280" w:rsidP="000B0280">
      <w:pPr>
        <w:tabs>
          <w:tab w:val="left" w:pos="284"/>
        </w:tabs>
        <w:jc w:val="both"/>
        <w:rPr>
          <w:bCs/>
          <w:sz w:val="22"/>
        </w:rPr>
      </w:pPr>
    </w:p>
    <w:p w:rsidR="00166094" w:rsidRPr="00166094" w:rsidRDefault="00166094" w:rsidP="00166094">
      <w:pPr>
        <w:tabs>
          <w:tab w:val="left" w:pos="284"/>
        </w:tabs>
        <w:jc w:val="both"/>
        <w:rPr>
          <w:rFonts w:ascii="Arial Narrow" w:hAnsi="Arial Narrow"/>
          <w:b/>
          <w:bCs/>
          <w:sz w:val="22"/>
        </w:rPr>
      </w:pPr>
      <w:r w:rsidRPr="00166094">
        <w:rPr>
          <w:rFonts w:ascii="Arial Narrow" w:hAnsi="Arial Narrow"/>
          <w:b/>
          <w:bCs/>
          <w:sz w:val="22"/>
        </w:rPr>
        <w:t>Υπουργείο Υγείας</w:t>
      </w:r>
    </w:p>
    <w:p w:rsidR="00166094" w:rsidRPr="00166094" w:rsidRDefault="00166094" w:rsidP="00166094">
      <w:pPr>
        <w:tabs>
          <w:tab w:val="left" w:pos="284"/>
        </w:tabs>
        <w:jc w:val="both"/>
        <w:rPr>
          <w:b/>
          <w:bCs/>
          <w:sz w:val="22"/>
        </w:rPr>
      </w:pPr>
    </w:p>
    <w:p w:rsidR="00166094" w:rsidRPr="00166094" w:rsidRDefault="00166094" w:rsidP="00166094">
      <w:pPr>
        <w:tabs>
          <w:tab w:val="left" w:pos="284"/>
        </w:tabs>
        <w:jc w:val="both"/>
        <w:rPr>
          <w:b/>
          <w:bCs/>
          <w:sz w:val="22"/>
        </w:rPr>
      </w:pPr>
      <w:r w:rsidRPr="00166094">
        <w:rPr>
          <w:b/>
          <w:bCs/>
          <w:sz w:val="22"/>
        </w:rPr>
        <w:t>Παρακολούθηση προγράμματος επισκόπησης περιόδου 2016-2017</w:t>
      </w:r>
    </w:p>
    <w:p w:rsidR="00166094" w:rsidRDefault="00166094" w:rsidP="00166094">
      <w:pPr>
        <w:tabs>
          <w:tab w:val="left" w:pos="284"/>
        </w:tabs>
        <w:jc w:val="both"/>
        <w:rPr>
          <w:bCs/>
          <w:sz w:val="22"/>
        </w:rPr>
      </w:pPr>
    </w:p>
    <w:p w:rsidR="00166094" w:rsidRDefault="00166094" w:rsidP="00166094">
      <w:pPr>
        <w:tabs>
          <w:tab w:val="left" w:pos="284"/>
        </w:tabs>
        <w:jc w:val="both"/>
        <w:rPr>
          <w:bCs/>
          <w:sz w:val="22"/>
        </w:rPr>
      </w:pPr>
      <w:r w:rsidRPr="00166094">
        <w:rPr>
          <w:bCs/>
          <w:sz w:val="22"/>
        </w:rPr>
        <w:t>Στο πλαίσιο της παρακολούθησης του προγράμματος επισκόπησης περιόδου 2016-2017, εξετάστηκε η πορεία υλοποίησης των συμφωνημένων δράσεων και η ανάγκη επικαιροποίησης των αποδόσεών τους τόσο για το 2018, όσο και για τα έτη του ΜΠΔΣ. Ειδικότερα, πρόκειται για τις κάτωθι δράσεις:</w:t>
      </w:r>
    </w:p>
    <w:p w:rsidR="00166094" w:rsidRPr="00166094" w:rsidRDefault="00166094" w:rsidP="00166094">
      <w:pPr>
        <w:tabs>
          <w:tab w:val="left" w:pos="284"/>
        </w:tabs>
        <w:jc w:val="both"/>
        <w:rPr>
          <w:bCs/>
          <w:sz w:val="22"/>
        </w:rPr>
      </w:pPr>
    </w:p>
    <w:p w:rsidR="00166094" w:rsidRPr="00166094" w:rsidRDefault="00166094" w:rsidP="00166094">
      <w:pPr>
        <w:pStyle w:val="af2"/>
        <w:numPr>
          <w:ilvl w:val="0"/>
          <w:numId w:val="22"/>
        </w:numPr>
        <w:tabs>
          <w:tab w:val="left" w:pos="284"/>
        </w:tabs>
        <w:spacing w:after="0" w:line="240" w:lineRule="auto"/>
        <w:ind w:left="284" w:hanging="284"/>
        <w:jc w:val="both"/>
        <w:rPr>
          <w:rFonts w:ascii="Times New Roman" w:hAnsi="Times New Roman"/>
          <w:bCs/>
        </w:rPr>
      </w:pPr>
      <w:r w:rsidRPr="00166094">
        <w:rPr>
          <w:rFonts w:ascii="Times New Roman" w:hAnsi="Times New Roman"/>
          <w:bCs/>
        </w:rPr>
        <w:t>αναδιάρθρωση πολιτικών διαχείρισης των υπηρεσιών καθαριότητας, φύλαξης και σίτισης στα νοσοκομεία,</w:t>
      </w:r>
    </w:p>
    <w:p w:rsidR="00166094" w:rsidRPr="00166094" w:rsidRDefault="00166094" w:rsidP="00166094">
      <w:pPr>
        <w:pStyle w:val="af2"/>
        <w:numPr>
          <w:ilvl w:val="0"/>
          <w:numId w:val="22"/>
        </w:numPr>
        <w:tabs>
          <w:tab w:val="left" w:pos="284"/>
        </w:tabs>
        <w:spacing w:after="0" w:line="240" w:lineRule="auto"/>
        <w:ind w:left="284" w:hanging="284"/>
        <w:jc w:val="both"/>
        <w:rPr>
          <w:rFonts w:ascii="Times New Roman" w:hAnsi="Times New Roman"/>
          <w:bCs/>
        </w:rPr>
      </w:pPr>
      <w:r w:rsidRPr="00166094">
        <w:rPr>
          <w:rFonts w:ascii="Times New Roman" w:hAnsi="Times New Roman"/>
          <w:bCs/>
        </w:rPr>
        <w:t>αναδιάρθρωση πολιτικών για τις συντηρήσεις μηχανημάτων,</w:t>
      </w:r>
    </w:p>
    <w:p w:rsidR="00166094" w:rsidRPr="00166094" w:rsidRDefault="00166094" w:rsidP="00166094">
      <w:pPr>
        <w:pStyle w:val="af2"/>
        <w:numPr>
          <w:ilvl w:val="0"/>
          <w:numId w:val="22"/>
        </w:numPr>
        <w:tabs>
          <w:tab w:val="left" w:pos="284"/>
        </w:tabs>
        <w:spacing w:after="0" w:line="240" w:lineRule="auto"/>
        <w:ind w:left="284" w:hanging="284"/>
        <w:jc w:val="both"/>
        <w:rPr>
          <w:rFonts w:ascii="Times New Roman" w:hAnsi="Times New Roman"/>
          <w:bCs/>
        </w:rPr>
      </w:pPr>
      <w:r w:rsidRPr="00166094">
        <w:rPr>
          <w:rFonts w:ascii="Times New Roman" w:hAnsi="Times New Roman"/>
          <w:bCs/>
        </w:rPr>
        <w:t>δημιουργία μονάδων παραγωγής οξυγόνου στα νοσοκομεία και</w:t>
      </w:r>
    </w:p>
    <w:p w:rsidR="00166094" w:rsidRPr="00166094" w:rsidRDefault="00166094" w:rsidP="00166094">
      <w:pPr>
        <w:pStyle w:val="af2"/>
        <w:numPr>
          <w:ilvl w:val="0"/>
          <w:numId w:val="22"/>
        </w:numPr>
        <w:tabs>
          <w:tab w:val="left" w:pos="284"/>
        </w:tabs>
        <w:spacing w:after="0" w:line="240" w:lineRule="auto"/>
        <w:ind w:left="284" w:hanging="284"/>
        <w:jc w:val="both"/>
        <w:rPr>
          <w:rFonts w:ascii="Times New Roman" w:hAnsi="Times New Roman"/>
          <w:bCs/>
        </w:rPr>
      </w:pPr>
      <w:r w:rsidRPr="00166094">
        <w:rPr>
          <w:rFonts w:ascii="Times New Roman" w:hAnsi="Times New Roman"/>
          <w:bCs/>
        </w:rPr>
        <w:t>εφαρμογή νέων πολιτικών για την αξιοποίηση της ακίνητης περιουσίας και τις μισθώσεις ακινήτων.</w:t>
      </w:r>
    </w:p>
    <w:p w:rsidR="00166094" w:rsidRPr="00166094" w:rsidRDefault="00166094" w:rsidP="00166094">
      <w:pPr>
        <w:tabs>
          <w:tab w:val="left" w:pos="284"/>
        </w:tabs>
        <w:jc w:val="both"/>
        <w:rPr>
          <w:bCs/>
          <w:sz w:val="22"/>
        </w:rPr>
      </w:pPr>
    </w:p>
    <w:p w:rsidR="00166094" w:rsidRDefault="00166094" w:rsidP="00166094">
      <w:pPr>
        <w:tabs>
          <w:tab w:val="left" w:pos="284"/>
        </w:tabs>
        <w:jc w:val="both"/>
        <w:rPr>
          <w:b/>
          <w:bCs/>
          <w:sz w:val="22"/>
        </w:rPr>
      </w:pPr>
      <w:r w:rsidRPr="00166094">
        <w:rPr>
          <w:b/>
          <w:bCs/>
          <w:sz w:val="22"/>
        </w:rPr>
        <w:t>Επισκόπηση δαπανών έτους 2018</w:t>
      </w:r>
    </w:p>
    <w:p w:rsidR="00166094" w:rsidRPr="00166094" w:rsidRDefault="00166094" w:rsidP="00166094">
      <w:pPr>
        <w:tabs>
          <w:tab w:val="left" w:pos="284"/>
        </w:tabs>
        <w:jc w:val="both"/>
        <w:rPr>
          <w:b/>
          <w:bCs/>
          <w:sz w:val="22"/>
        </w:rPr>
      </w:pPr>
    </w:p>
    <w:p w:rsidR="00166094" w:rsidRDefault="00166094" w:rsidP="00166094">
      <w:pPr>
        <w:tabs>
          <w:tab w:val="left" w:pos="284"/>
        </w:tabs>
        <w:jc w:val="both"/>
        <w:rPr>
          <w:bCs/>
          <w:sz w:val="22"/>
        </w:rPr>
      </w:pPr>
      <w:r w:rsidRPr="00166094">
        <w:rPr>
          <w:bCs/>
          <w:sz w:val="22"/>
        </w:rPr>
        <w:t>Η Διυπουργική Επιτροπή για την επισκόπηση δαπανών, την καταγραφή, κοστολόγηση και αξιολόγηση δράσεων και διαδικασιών του Υπουργείου Υγείας και των εποπτευόμενων από αυτό φορέων, κατά τη διάρκεια των εργασιών της, για τον ιδιαίτερα ευαίσθητο τομέα της Υγείας, είχε ως βασική στόχευση την επικέντρωση σε δράσεις που σε καμία περίπτωση δεν οδηγούν σε οριζόντιες περικοπές στον τομέα αυτό αλλά, αντιθέτως, ενσωματώνουν καλύτερες πολιτικές διαχείρισης των περιορισμένων πόρων και ενίσχυσης της αποτελεσματικότητας των παρεχόμενων υπηρεσιών.</w:t>
      </w:r>
    </w:p>
    <w:p w:rsidR="00166094" w:rsidRPr="00166094" w:rsidRDefault="00166094" w:rsidP="00166094">
      <w:pPr>
        <w:tabs>
          <w:tab w:val="left" w:pos="284"/>
        </w:tabs>
        <w:jc w:val="both"/>
        <w:rPr>
          <w:bCs/>
          <w:sz w:val="22"/>
        </w:rPr>
      </w:pPr>
    </w:p>
    <w:p w:rsidR="00166094" w:rsidRDefault="00166094" w:rsidP="00166094">
      <w:pPr>
        <w:tabs>
          <w:tab w:val="left" w:pos="284"/>
        </w:tabs>
        <w:jc w:val="both"/>
        <w:rPr>
          <w:bCs/>
          <w:sz w:val="22"/>
        </w:rPr>
      </w:pPr>
      <w:r w:rsidRPr="00166094">
        <w:rPr>
          <w:bCs/>
          <w:sz w:val="22"/>
        </w:rPr>
        <w:t>Οι κυριότερες νέες δράσεις επισκόπησης δαπανών υγείας, όπως συμφωνήθηκαν με το Υπουργείο Υγείας, έχουν συνοπτικά ως εξής:</w:t>
      </w:r>
    </w:p>
    <w:p w:rsidR="00166094" w:rsidRPr="00166094" w:rsidRDefault="00166094" w:rsidP="00166094">
      <w:pPr>
        <w:tabs>
          <w:tab w:val="left" w:pos="284"/>
        </w:tabs>
        <w:jc w:val="both"/>
        <w:rPr>
          <w:bCs/>
          <w:sz w:val="22"/>
        </w:rPr>
      </w:pPr>
    </w:p>
    <w:p w:rsidR="00166094" w:rsidRPr="00863D2C" w:rsidRDefault="00166094" w:rsidP="00863D2C">
      <w:pPr>
        <w:pStyle w:val="af2"/>
        <w:numPr>
          <w:ilvl w:val="0"/>
          <w:numId w:val="23"/>
        </w:numPr>
        <w:tabs>
          <w:tab w:val="left" w:pos="284"/>
        </w:tabs>
        <w:spacing w:after="0" w:line="240" w:lineRule="auto"/>
        <w:ind w:left="284" w:hanging="284"/>
        <w:jc w:val="both"/>
        <w:rPr>
          <w:rFonts w:ascii="Times New Roman" w:hAnsi="Times New Roman"/>
          <w:bCs/>
        </w:rPr>
      </w:pPr>
      <w:r w:rsidRPr="00863D2C">
        <w:rPr>
          <w:rFonts w:ascii="Times New Roman" w:hAnsi="Times New Roman"/>
          <w:bCs/>
        </w:rPr>
        <w:t>αναδιάρθρωση του συστήματος προμηθειών με κεντρικοποίηση των προμηθειών των νοσοκομείων της χώρας (διαγωνιστικές διαδικασίες),</w:t>
      </w:r>
    </w:p>
    <w:p w:rsidR="00166094" w:rsidRPr="00863D2C" w:rsidRDefault="00166094" w:rsidP="00863D2C">
      <w:pPr>
        <w:pStyle w:val="af2"/>
        <w:numPr>
          <w:ilvl w:val="0"/>
          <w:numId w:val="23"/>
        </w:numPr>
        <w:tabs>
          <w:tab w:val="left" w:pos="284"/>
        </w:tabs>
        <w:spacing w:after="0" w:line="240" w:lineRule="auto"/>
        <w:ind w:left="284" w:hanging="284"/>
        <w:jc w:val="both"/>
        <w:rPr>
          <w:rFonts w:ascii="Times New Roman" w:hAnsi="Times New Roman"/>
          <w:bCs/>
        </w:rPr>
      </w:pPr>
      <w:r w:rsidRPr="00863D2C">
        <w:rPr>
          <w:rFonts w:ascii="Times New Roman" w:hAnsi="Times New Roman"/>
          <w:bCs/>
        </w:rPr>
        <w:t>αποδοτικότερη παρακολούθηση των αποθηκών-παρακαταθηκών των νοσοκομείων και</w:t>
      </w:r>
    </w:p>
    <w:p w:rsidR="00166094" w:rsidRPr="00863D2C" w:rsidRDefault="00166094" w:rsidP="00863D2C">
      <w:pPr>
        <w:pStyle w:val="af2"/>
        <w:numPr>
          <w:ilvl w:val="0"/>
          <w:numId w:val="23"/>
        </w:numPr>
        <w:tabs>
          <w:tab w:val="left" w:pos="284"/>
        </w:tabs>
        <w:spacing w:after="0" w:line="240" w:lineRule="auto"/>
        <w:ind w:left="284" w:hanging="284"/>
        <w:jc w:val="both"/>
        <w:rPr>
          <w:rFonts w:ascii="Times New Roman" w:hAnsi="Times New Roman"/>
          <w:bCs/>
        </w:rPr>
      </w:pPr>
      <w:r w:rsidRPr="00863D2C">
        <w:rPr>
          <w:rFonts w:ascii="Times New Roman" w:hAnsi="Times New Roman"/>
          <w:bCs/>
        </w:rPr>
        <w:t>αναβάθμιση - εκσυγχρονισμός του τρόπου λειτουργίας των ακτινοδιαγνωστικών εργαστηρίων με αντικατάσταση των ακτινολογικών φιλμ με χρήση συστήματος RIS</w:t>
      </w:r>
      <w:r w:rsidR="00863D2C">
        <w:rPr>
          <w:rFonts w:ascii="Times New Roman" w:hAnsi="Times New Roman"/>
          <w:bCs/>
        </w:rPr>
        <w:t>-</w:t>
      </w:r>
      <w:r w:rsidRPr="00863D2C">
        <w:rPr>
          <w:rFonts w:ascii="Times New Roman" w:hAnsi="Times New Roman"/>
          <w:bCs/>
        </w:rPr>
        <w:t>PACS και κατάλληλων πληροφοριακών συστημάτων.</w:t>
      </w:r>
    </w:p>
    <w:p w:rsidR="00166094" w:rsidRDefault="00166094" w:rsidP="00166094">
      <w:pPr>
        <w:tabs>
          <w:tab w:val="left" w:pos="284"/>
        </w:tabs>
        <w:jc w:val="both"/>
        <w:rPr>
          <w:bCs/>
          <w:sz w:val="22"/>
        </w:rPr>
      </w:pPr>
    </w:p>
    <w:p w:rsidR="00166094" w:rsidRPr="00166094" w:rsidRDefault="00166094" w:rsidP="00166094">
      <w:pPr>
        <w:tabs>
          <w:tab w:val="left" w:pos="284"/>
        </w:tabs>
        <w:jc w:val="both"/>
        <w:rPr>
          <w:bCs/>
          <w:sz w:val="22"/>
        </w:rPr>
      </w:pPr>
      <w:r w:rsidRPr="00166094">
        <w:rPr>
          <w:bCs/>
          <w:sz w:val="22"/>
        </w:rPr>
        <w:t>Ακολουθεί η αναλυτική παρουσίαση των δράσεων.</w:t>
      </w:r>
    </w:p>
    <w:p w:rsidR="00166094" w:rsidRPr="00166094" w:rsidRDefault="00166094" w:rsidP="00166094">
      <w:pPr>
        <w:tabs>
          <w:tab w:val="left" w:pos="284"/>
        </w:tabs>
        <w:jc w:val="both"/>
        <w:rPr>
          <w:bCs/>
          <w:sz w:val="22"/>
        </w:rPr>
      </w:pPr>
    </w:p>
    <w:p w:rsidR="00166094" w:rsidRPr="00166094" w:rsidRDefault="00863D2C" w:rsidP="00863D2C">
      <w:pPr>
        <w:tabs>
          <w:tab w:val="left" w:pos="284"/>
        </w:tabs>
        <w:jc w:val="both"/>
        <w:rPr>
          <w:b/>
          <w:bCs/>
          <w:i/>
          <w:sz w:val="22"/>
        </w:rPr>
      </w:pPr>
      <w:r>
        <w:rPr>
          <w:b/>
          <w:bCs/>
          <w:i/>
          <w:sz w:val="22"/>
        </w:rPr>
        <w:t>-</w:t>
      </w:r>
      <w:r>
        <w:rPr>
          <w:b/>
          <w:bCs/>
          <w:i/>
          <w:sz w:val="22"/>
        </w:rPr>
        <w:tab/>
      </w:r>
      <w:r w:rsidR="00166094" w:rsidRPr="00166094">
        <w:rPr>
          <w:b/>
          <w:bCs/>
          <w:i/>
          <w:sz w:val="22"/>
        </w:rPr>
        <w:t>Κεντρικοποίηση προμηθειών των νοσοκομείων της χώρας</w:t>
      </w:r>
    </w:p>
    <w:p w:rsidR="003E1D8B" w:rsidRDefault="00863D2C" w:rsidP="00863D2C">
      <w:pPr>
        <w:tabs>
          <w:tab w:val="left" w:pos="284"/>
        </w:tabs>
        <w:ind w:left="284" w:hanging="284"/>
        <w:jc w:val="both"/>
        <w:rPr>
          <w:bCs/>
          <w:sz w:val="22"/>
        </w:rPr>
      </w:pPr>
      <w:r>
        <w:rPr>
          <w:bCs/>
          <w:sz w:val="22"/>
        </w:rPr>
        <w:tab/>
      </w:r>
    </w:p>
    <w:p w:rsidR="00166094" w:rsidRPr="00166094" w:rsidRDefault="003E1D8B" w:rsidP="00863D2C">
      <w:pPr>
        <w:tabs>
          <w:tab w:val="left" w:pos="284"/>
        </w:tabs>
        <w:ind w:left="284" w:hanging="284"/>
        <w:jc w:val="both"/>
        <w:rPr>
          <w:bCs/>
          <w:sz w:val="22"/>
        </w:rPr>
      </w:pPr>
      <w:r>
        <w:rPr>
          <w:bCs/>
          <w:sz w:val="22"/>
        </w:rPr>
        <w:tab/>
      </w:r>
      <w:r w:rsidR="00166094" w:rsidRPr="00166094">
        <w:rPr>
          <w:bCs/>
          <w:sz w:val="22"/>
        </w:rPr>
        <w:t xml:space="preserve">Η κεντρικοποίηση των προμηθειών των νοσηλευτικών ιδρυμάτων της χώρας συνιστά βασικό άξονα προτεραιότητας της επισκόπησης δαπανών του Υπουργείου Υγείας. Θα υλοποιηθεί με την ενεργοποίηση της Εθνικής Κεντρικής Αρχής Προμηθειών Υγείας (ΕΚΑΠΥ) που εστιάζει τόσο στην εφαρμογή επιστημονικών μεθόδων στρατηγικού και επιχειρησιακού σχεδιασμού των προμηθειών όσο και στη συστηματική παρακολούθηση του οικονομικού και εφοδιαστικού κύκλου του συστήματος προμηθειών, προϊόντων και υπηρεσιών του δημόσιου συστήματος υγείας. Η ΕΚΑΠΥ θα λειτουργήσει με κύριο πυλώνα τη διεξαγωγή κεντρικών διαγωνισμών για όλους τους φορείς του δημόσιου συστήματος υγείας με προτεραιότητα στην προμήθεια υγειονομικού υλικού ευρείας κατανάλωσης και υλικών μεγάλης αξίας και στόχο, μέσα στην επόμενη τριετία, να αναδιαμορφώσει πλήρως το σύστημα προμηθειών. </w:t>
      </w:r>
    </w:p>
    <w:p w:rsidR="00166094" w:rsidRPr="00166094" w:rsidRDefault="00166094" w:rsidP="00166094">
      <w:pPr>
        <w:tabs>
          <w:tab w:val="left" w:pos="284"/>
        </w:tabs>
        <w:jc w:val="both"/>
        <w:rPr>
          <w:bCs/>
          <w:sz w:val="22"/>
        </w:rPr>
      </w:pPr>
    </w:p>
    <w:p w:rsidR="00166094" w:rsidRPr="00166094" w:rsidRDefault="00863D2C" w:rsidP="00863D2C">
      <w:pPr>
        <w:tabs>
          <w:tab w:val="left" w:pos="284"/>
        </w:tabs>
        <w:jc w:val="both"/>
        <w:rPr>
          <w:b/>
          <w:bCs/>
          <w:i/>
          <w:sz w:val="22"/>
        </w:rPr>
      </w:pPr>
      <w:r>
        <w:rPr>
          <w:b/>
          <w:bCs/>
          <w:i/>
          <w:sz w:val="22"/>
        </w:rPr>
        <w:t>-</w:t>
      </w:r>
      <w:r>
        <w:rPr>
          <w:b/>
          <w:bCs/>
          <w:i/>
          <w:sz w:val="22"/>
        </w:rPr>
        <w:tab/>
      </w:r>
      <w:r w:rsidR="00166094" w:rsidRPr="00166094">
        <w:rPr>
          <w:b/>
          <w:bCs/>
          <w:i/>
          <w:sz w:val="22"/>
        </w:rPr>
        <w:t>Παρακολούθηση αποθηκών-παρακαταθηκών των νοσοκομείων της χώρας</w:t>
      </w:r>
    </w:p>
    <w:p w:rsidR="003E1D8B" w:rsidRDefault="00863D2C" w:rsidP="00863D2C">
      <w:pPr>
        <w:tabs>
          <w:tab w:val="left" w:pos="284"/>
        </w:tabs>
        <w:ind w:left="284" w:hanging="284"/>
        <w:jc w:val="both"/>
        <w:rPr>
          <w:bCs/>
          <w:sz w:val="22"/>
        </w:rPr>
      </w:pPr>
      <w:r>
        <w:rPr>
          <w:bCs/>
          <w:sz w:val="22"/>
        </w:rPr>
        <w:tab/>
      </w:r>
    </w:p>
    <w:p w:rsidR="00166094" w:rsidRPr="00166094" w:rsidRDefault="003E1D8B" w:rsidP="00863D2C">
      <w:pPr>
        <w:tabs>
          <w:tab w:val="left" w:pos="284"/>
        </w:tabs>
        <w:ind w:left="284" w:hanging="284"/>
        <w:jc w:val="both"/>
        <w:rPr>
          <w:bCs/>
          <w:sz w:val="22"/>
        </w:rPr>
      </w:pPr>
      <w:r>
        <w:rPr>
          <w:bCs/>
          <w:sz w:val="22"/>
        </w:rPr>
        <w:tab/>
      </w:r>
      <w:r w:rsidR="00166094" w:rsidRPr="00166094">
        <w:rPr>
          <w:bCs/>
          <w:sz w:val="22"/>
        </w:rPr>
        <w:t xml:space="preserve">Η ενεργοποίηση της ΕΚΑΠΥ συνδέεται και με αυτή τη δράση, η οποία αποτελεί, εξίσου, κύριο άξονα προτεραιότητας της επισκόπησης δαπανών του Υπουργείου Υγείας. Κύριο πυλώνα αυτής, συνιστά η αναβάθμιση των πληροφοριακών συστημάτων παρακολούθησης των αποθηκών-παρακαταθηκών των φορέων παροχής υπηρεσιών υγείας, με στόχο την αποτελεσματική παρακολούθηση του συστήματος, των διαδικασιών και των αποθεμάτων των αποθηκών-παρακαταθηκών, μέσα και από την ενοποίηση/ διασφάλιση διαλειτουργικότητας των υφιστάμενων πληροφοριακών συστημάτων παρακολούθησής τους, έτσι ώστε να αντλούνται ομοιογενή στοιχεία από όλα τα νοσοκομεία, που θα οδηγούν στην ορθή απογραφή και διαχείριση των αποθηκών. </w:t>
      </w:r>
    </w:p>
    <w:p w:rsidR="00863D2C" w:rsidRDefault="00863D2C" w:rsidP="00166094">
      <w:pPr>
        <w:tabs>
          <w:tab w:val="left" w:pos="284"/>
        </w:tabs>
        <w:jc w:val="both"/>
        <w:rPr>
          <w:bCs/>
          <w:sz w:val="22"/>
        </w:rPr>
      </w:pPr>
    </w:p>
    <w:p w:rsidR="00166094" w:rsidRPr="00166094" w:rsidRDefault="00863D2C" w:rsidP="00863D2C">
      <w:pPr>
        <w:tabs>
          <w:tab w:val="left" w:pos="284"/>
        </w:tabs>
        <w:ind w:left="284" w:hanging="284"/>
        <w:jc w:val="both"/>
        <w:rPr>
          <w:bCs/>
          <w:sz w:val="22"/>
        </w:rPr>
      </w:pPr>
      <w:r>
        <w:rPr>
          <w:bCs/>
          <w:sz w:val="22"/>
        </w:rPr>
        <w:tab/>
      </w:r>
      <w:r w:rsidR="00166094" w:rsidRPr="00166094">
        <w:rPr>
          <w:bCs/>
          <w:sz w:val="22"/>
        </w:rPr>
        <w:t xml:space="preserve">Με την ενοποίηση των πληροφοριακών συστημάτων, στόχος είναι, μεταξύ των άλλων, να υλοποιηθεί και η απεικόνιση των αποθεμάτων του κάθε νοσοκομείου σε πραγματικό χρόνο, έτσι ώστε να είναι δυνατή η διακίνηση υλικών μεταξύ τους σε περιπτώσεις εκτάκτων αναγκών. </w:t>
      </w:r>
    </w:p>
    <w:p w:rsidR="00166094" w:rsidRPr="00166094" w:rsidRDefault="00166094" w:rsidP="00166094">
      <w:pPr>
        <w:tabs>
          <w:tab w:val="left" w:pos="284"/>
        </w:tabs>
        <w:jc w:val="both"/>
        <w:rPr>
          <w:bCs/>
          <w:sz w:val="22"/>
        </w:rPr>
      </w:pPr>
    </w:p>
    <w:p w:rsidR="00166094" w:rsidRPr="00166094" w:rsidRDefault="00863D2C" w:rsidP="00863D2C">
      <w:pPr>
        <w:tabs>
          <w:tab w:val="left" w:pos="284"/>
        </w:tabs>
        <w:ind w:left="284" w:hanging="284"/>
        <w:jc w:val="both"/>
        <w:rPr>
          <w:b/>
          <w:bCs/>
          <w:i/>
          <w:sz w:val="22"/>
        </w:rPr>
      </w:pPr>
      <w:r>
        <w:rPr>
          <w:b/>
          <w:bCs/>
          <w:i/>
          <w:sz w:val="22"/>
        </w:rPr>
        <w:t>-</w:t>
      </w:r>
      <w:r>
        <w:rPr>
          <w:b/>
          <w:bCs/>
          <w:i/>
          <w:sz w:val="22"/>
        </w:rPr>
        <w:tab/>
      </w:r>
      <w:r w:rsidR="00166094" w:rsidRPr="00166094">
        <w:rPr>
          <w:b/>
          <w:bCs/>
          <w:i/>
          <w:sz w:val="22"/>
        </w:rPr>
        <w:t>Εγκατάσταση συστήματος RIS-PACS για τη διαχείριση των ακτινοδιαγνωστικών εικόνων των Νοσοκομείων</w:t>
      </w:r>
    </w:p>
    <w:p w:rsidR="003E1D8B" w:rsidRDefault="00863D2C" w:rsidP="00863D2C">
      <w:pPr>
        <w:tabs>
          <w:tab w:val="left" w:pos="284"/>
        </w:tabs>
        <w:ind w:left="284" w:hanging="284"/>
        <w:jc w:val="both"/>
        <w:rPr>
          <w:bCs/>
          <w:sz w:val="22"/>
        </w:rPr>
      </w:pPr>
      <w:r>
        <w:rPr>
          <w:bCs/>
          <w:sz w:val="22"/>
        </w:rPr>
        <w:tab/>
      </w:r>
    </w:p>
    <w:p w:rsidR="00166094" w:rsidRPr="00166094" w:rsidRDefault="003E1D8B" w:rsidP="00863D2C">
      <w:pPr>
        <w:tabs>
          <w:tab w:val="left" w:pos="284"/>
        </w:tabs>
        <w:ind w:left="284" w:hanging="284"/>
        <w:jc w:val="both"/>
        <w:rPr>
          <w:bCs/>
          <w:sz w:val="22"/>
        </w:rPr>
      </w:pPr>
      <w:r>
        <w:rPr>
          <w:bCs/>
          <w:sz w:val="22"/>
        </w:rPr>
        <w:tab/>
      </w:r>
      <w:r w:rsidR="00166094" w:rsidRPr="00166094">
        <w:rPr>
          <w:bCs/>
          <w:sz w:val="22"/>
        </w:rPr>
        <w:t xml:space="preserve">Η δράση αφορά στον εκσυγχρονισμό της διαχείρισης των ακτινοδιαγνωστικών εικόνων των νοσοκομείων με την εγκατάσταση συστήματος RIS-PACS σε όλα τα νοσοκομεία της χώρας. Το σύστημα αρχειοθέτησης και μετάδοσης εικόνων Picture Archiving and Communication System (PACS) είναι ένα ηλεκτρονικό σύστημα ψηφιακής αρχειοθέτησης, αποθήκευσης, διαχείρισης και διανομής ιατρικών εικόνων, τόσο μεταξύ διαφορετικών τμημάτων ενός νοσοκομείου όσο και μεταξύ διαφορετικών νοσοκομείων ή οργανισμών και θα αντικαταστήσει τον παραδοσιακό τρόπο απεικόνισης των ακτινογραφιών. Το σύστημα PACS σχετίζεται και με άλλα ιατρικά συστήματα πληροφοριών, όπως το ακτινολογικό σύστημα πληροφοριών: Radiology Information System (RIS). </w:t>
      </w:r>
    </w:p>
    <w:p w:rsidR="00863D2C" w:rsidRDefault="00863D2C" w:rsidP="00166094">
      <w:pPr>
        <w:tabs>
          <w:tab w:val="left" w:pos="284"/>
        </w:tabs>
        <w:jc w:val="both"/>
        <w:rPr>
          <w:bCs/>
          <w:sz w:val="22"/>
        </w:rPr>
      </w:pPr>
    </w:p>
    <w:p w:rsidR="00166094" w:rsidRPr="00166094" w:rsidRDefault="00863D2C" w:rsidP="00863D2C">
      <w:pPr>
        <w:tabs>
          <w:tab w:val="left" w:pos="284"/>
        </w:tabs>
        <w:ind w:left="284" w:hanging="284"/>
        <w:jc w:val="both"/>
        <w:rPr>
          <w:bCs/>
          <w:sz w:val="22"/>
        </w:rPr>
      </w:pPr>
      <w:r>
        <w:rPr>
          <w:bCs/>
          <w:sz w:val="22"/>
        </w:rPr>
        <w:tab/>
      </w:r>
      <w:r w:rsidR="00BB6E35">
        <w:rPr>
          <w:bCs/>
          <w:sz w:val="22"/>
        </w:rPr>
        <w:t>Το</w:t>
      </w:r>
      <w:r w:rsidR="00166094" w:rsidRPr="00166094">
        <w:rPr>
          <w:bCs/>
          <w:sz w:val="22"/>
        </w:rPr>
        <w:t xml:space="preserve"> έργο προβλέπεται να ολοκληρωθεί κατά τα έτη 2019-2020. Η χρηματοδότηση της προμήθειας και εγκατάστασης, θα καλυφθεί από πόρους του ΕΣΠΑ. </w:t>
      </w:r>
    </w:p>
    <w:p w:rsidR="00863D2C" w:rsidRDefault="00863D2C" w:rsidP="00166094">
      <w:pPr>
        <w:tabs>
          <w:tab w:val="left" w:pos="284"/>
        </w:tabs>
        <w:jc w:val="both"/>
        <w:rPr>
          <w:bCs/>
          <w:sz w:val="22"/>
        </w:rPr>
      </w:pPr>
    </w:p>
    <w:p w:rsidR="00166094" w:rsidRPr="00166094" w:rsidRDefault="00863D2C" w:rsidP="00863D2C">
      <w:pPr>
        <w:tabs>
          <w:tab w:val="left" w:pos="284"/>
        </w:tabs>
        <w:ind w:left="284" w:hanging="284"/>
        <w:jc w:val="both"/>
        <w:rPr>
          <w:bCs/>
          <w:sz w:val="22"/>
        </w:rPr>
      </w:pPr>
      <w:r>
        <w:rPr>
          <w:bCs/>
          <w:sz w:val="22"/>
        </w:rPr>
        <w:tab/>
      </w:r>
      <w:r w:rsidR="00166094" w:rsidRPr="00166094">
        <w:rPr>
          <w:bCs/>
          <w:sz w:val="22"/>
        </w:rPr>
        <w:t xml:space="preserve">Η δράση αυτή αναμένεται να επιφέρει από το 2020 και </w:t>
      </w:r>
      <w:r w:rsidR="004D0C06">
        <w:rPr>
          <w:bCs/>
          <w:sz w:val="22"/>
        </w:rPr>
        <w:t>εφ</w:t>
      </w:r>
      <w:r w:rsidR="00166094" w:rsidRPr="00166094">
        <w:rPr>
          <w:bCs/>
          <w:sz w:val="22"/>
        </w:rPr>
        <w:t>εξής εξοικονόμηση</w:t>
      </w:r>
      <w:r w:rsidR="00877206">
        <w:rPr>
          <w:bCs/>
          <w:sz w:val="22"/>
        </w:rPr>
        <w:t>, η οποία θα ανέλθει στα</w:t>
      </w:r>
      <w:r w:rsidR="004D0C06">
        <w:rPr>
          <w:bCs/>
          <w:sz w:val="22"/>
        </w:rPr>
        <w:t xml:space="preserve"> </w:t>
      </w:r>
      <w:r w:rsidR="004D0C06" w:rsidRPr="00166094">
        <w:rPr>
          <w:bCs/>
          <w:sz w:val="22"/>
        </w:rPr>
        <w:t>12 εκ</w:t>
      </w:r>
      <w:r w:rsidR="004D0C06">
        <w:rPr>
          <w:bCs/>
          <w:sz w:val="22"/>
        </w:rPr>
        <w:t>ατ</w:t>
      </w:r>
      <w:r w:rsidR="004D0C06" w:rsidRPr="00166094">
        <w:rPr>
          <w:bCs/>
          <w:sz w:val="22"/>
        </w:rPr>
        <w:t>. ευρώ κατ’ έτος</w:t>
      </w:r>
      <w:r w:rsidR="004D0C06">
        <w:rPr>
          <w:bCs/>
          <w:sz w:val="22"/>
        </w:rPr>
        <w:t xml:space="preserve"> μ</w:t>
      </w:r>
      <w:r w:rsidR="00166094" w:rsidRPr="00166094">
        <w:rPr>
          <w:bCs/>
          <w:sz w:val="22"/>
        </w:rPr>
        <w:t xml:space="preserve">ε την πλήρη </w:t>
      </w:r>
      <w:r w:rsidR="004D0C06">
        <w:rPr>
          <w:bCs/>
          <w:sz w:val="22"/>
        </w:rPr>
        <w:t>εφαρμογή</w:t>
      </w:r>
      <w:r w:rsidR="00166094" w:rsidRPr="00166094">
        <w:rPr>
          <w:bCs/>
          <w:sz w:val="22"/>
        </w:rPr>
        <w:t xml:space="preserve"> του μέτρου, απόδοση </w:t>
      </w:r>
      <w:r w:rsidR="004D0C06">
        <w:rPr>
          <w:bCs/>
          <w:sz w:val="22"/>
        </w:rPr>
        <w:t>που θα προέλθει από τη μείωση της δαπάνης για την αγορά ακτινολογικών φιλμ.</w:t>
      </w:r>
    </w:p>
    <w:p w:rsidR="003E1D8B" w:rsidRDefault="003E1D8B" w:rsidP="000B0280">
      <w:pPr>
        <w:tabs>
          <w:tab w:val="left" w:pos="284"/>
        </w:tabs>
        <w:jc w:val="both"/>
        <w:rPr>
          <w:bCs/>
          <w:sz w:val="22"/>
        </w:rPr>
      </w:pPr>
    </w:p>
    <w:p w:rsidR="00B55027" w:rsidRPr="00B55027" w:rsidRDefault="002313AE" w:rsidP="00B55027">
      <w:pPr>
        <w:tabs>
          <w:tab w:val="left" w:pos="284"/>
        </w:tabs>
        <w:jc w:val="both"/>
        <w:rPr>
          <w:rFonts w:ascii="Arial Narrow" w:hAnsi="Arial Narrow"/>
          <w:b/>
          <w:bCs/>
          <w:sz w:val="22"/>
        </w:rPr>
      </w:pPr>
      <w:r>
        <w:rPr>
          <w:rFonts w:ascii="Arial Narrow" w:hAnsi="Arial Narrow"/>
          <w:b/>
          <w:bCs/>
          <w:sz w:val="22"/>
        </w:rPr>
        <w:t>Υπουργείο Πολιτισμού και</w:t>
      </w:r>
      <w:r w:rsidR="00B55027" w:rsidRPr="00B55027">
        <w:rPr>
          <w:rFonts w:ascii="Arial Narrow" w:hAnsi="Arial Narrow"/>
          <w:b/>
          <w:bCs/>
          <w:sz w:val="22"/>
        </w:rPr>
        <w:t xml:space="preserve"> Αθλητισμού</w:t>
      </w:r>
    </w:p>
    <w:p w:rsidR="00B55027" w:rsidRPr="00B55027" w:rsidRDefault="00B55027" w:rsidP="00B55027">
      <w:pPr>
        <w:tabs>
          <w:tab w:val="left" w:pos="284"/>
        </w:tabs>
        <w:jc w:val="both"/>
        <w:rPr>
          <w:b/>
          <w:bCs/>
          <w:sz w:val="22"/>
        </w:rPr>
      </w:pPr>
    </w:p>
    <w:p w:rsidR="00B55027" w:rsidRPr="00B55027" w:rsidRDefault="00B55027" w:rsidP="00B55027">
      <w:pPr>
        <w:tabs>
          <w:tab w:val="left" w:pos="284"/>
        </w:tabs>
        <w:jc w:val="both"/>
        <w:rPr>
          <w:b/>
          <w:bCs/>
          <w:sz w:val="22"/>
        </w:rPr>
      </w:pPr>
      <w:r w:rsidRPr="00B55027">
        <w:rPr>
          <w:b/>
          <w:bCs/>
          <w:sz w:val="22"/>
        </w:rPr>
        <w:t>Παρακολούθηση προγράμματος επισκόπησης περιόδου 2016-2017</w:t>
      </w:r>
    </w:p>
    <w:p w:rsidR="00B55027" w:rsidRDefault="00B55027" w:rsidP="00B55027">
      <w:pPr>
        <w:tabs>
          <w:tab w:val="left" w:pos="284"/>
        </w:tabs>
        <w:jc w:val="both"/>
        <w:rPr>
          <w:bCs/>
          <w:sz w:val="22"/>
        </w:rPr>
      </w:pPr>
    </w:p>
    <w:p w:rsidR="00B55027" w:rsidRPr="00B55027" w:rsidRDefault="00B55027" w:rsidP="00B55027">
      <w:pPr>
        <w:tabs>
          <w:tab w:val="left" w:pos="284"/>
        </w:tabs>
        <w:jc w:val="both"/>
        <w:rPr>
          <w:bCs/>
          <w:sz w:val="22"/>
        </w:rPr>
      </w:pPr>
      <w:r w:rsidRPr="00B55027">
        <w:rPr>
          <w:bCs/>
          <w:sz w:val="22"/>
        </w:rPr>
        <w:t>Οι δράσεις εξοικονόμησης αφορούν σε:</w:t>
      </w:r>
    </w:p>
    <w:p w:rsidR="00B55027" w:rsidRPr="009D7BE0" w:rsidRDefault="00B55027" w:rsidP="009D7BE0">
      <w:pPr>
        <w:pStyle w:val="af2"/>
        <w:numPr>
          <w:ilvl w:val="0"/>
          <w:numId w:val="23"/>
        </w:numPr>
        <w:tabs>
          <w:tab w:val="left" w:pos="284"/>
        </w:tabs>
        <w:spacing w:after="0" w:line="240" w:lineRule="auto"/>
        <w:ind w:left="284" w:hanging="284"/>
        <w:jc w:val="both"/>
        <w:rPr>
          <w:rFonts w:ascii="Times New Roman" w:hAnsi="Times New Roman"/>
          <w:bCs/>
        </w:rPr>
      </w:pPr>
      <w:r w:rsidRPr="009D7BE0">
        <w:rPr>
          <w:rFonts w:ascii="Times New Roman" w:hAnsi="Times New Roman"/>
          <w:bCs/>
        </w:rPr>
        <w:t xml:space="preserve">μείωση του κόστους παροχής τηλεφωνικών υπηρεσιών λόγω ένταξης στο </w:t>
      </w:r>
      <w:r w:rsidR="006A47E7">
        <w:rPr>
          <w:rFonts w:ascii="Times New Roman" w:hAnsi="Times New Roman"/>
          <w:bCs/>
        </w:rPr>
        <w:t>«</w:t>
      </w:r>
      <w:r w:rsidRPr="009D7BE0">
        <w:rPr>
          <w:rFonts w:ascii="Times New Roman" w:hAnsi="Times New Roman"/>
          <w:bCs/>
        </w:rPr>
        <w:t>Σ</w:t>
      </w:r>
      <w:r w:rsidR="006A47E7">
        <w:rPr>
          <w:rFonts w:ascii="Times New Roman" w:hAnsi="Times New Roman"/>
          <w:bCs/>
        </w:rPr>
        <w:t xml:space="preserve">ύζευξις </w:t>
      </w:r>
      <w:r w:rsidRPr="009D7BE0">
        <w:rPr>
          <w:rFonts w:ascii="Times New Roman" w:hAnsi="Times New Roman"/>
          <w:bCs/>
        </w:rPr>
        <w:t>II</w:t>
      </w:r>
      <w:r w:rsidR="006A47E7">
        <w:rPr>
          <w:rFonts w:ascii="Times New Roman" w:hAnsi="Times New Roman"/>
          <w:bCs/>
        </w:rPr>
        <w:t>»</w:t>
      </w:r>
      <w:r w:rsidRPr="009D7BE0">
        <w:rPr>
          <w:rFonts w:ascii="Times New Roman" w:hAnsi="Times New Roman"/>
          <w:bCs/>
        </w:rPr>
        <w:t>,</w:t>
      </w:r>
    </w:p>
    <w:p w:rsidR="00B55027" w:rsidRPr="009D7BE0" w:rsidRDefault="00B55027" w:rsidP="009D7BE0">
      <w:pPr>
        <w:pStyle w:val="af2"/>
        <w:numPr>
          <w:ilvl w:val="0"/>
          <w:numId w:val="23"/>
        </w:numPr>
        <w:tabs>
          <w:tab w:val="left" w:pos="284"/>
        </w:tabs>
        <w:spacing w:after="0" w:line="240" w:lineRule="auto"/>
        <w:ind w:left="284" w:hanging="284"/>
        <w:jc w:val="both"/>
        <w:rPr>
          <w:rFonts w:ascii="Times New Roman" w:hAnsi="Times New Roman"/>
          <w:bCs/>
        </w:rPr>
      </w:pPr>
      <w:r w:rsidRPr="009D7BE0">
        <w:rPr>
          <w:rFonts w:ascii="Times New Roman" w:hAnsi="Times New Roman"/>
          <w:bCs/>
        </w:rPr>
        <w:t>μείωση λειτουργικού κόστους από ενοίκια και κοινόχρηστα,</w:t>
      </w:r>
    </w:p>
    <w:p w:rsidR="00B55027" w:rsidRPr="009D7BE0" w:rsidRDefault="00B55027" w:rsidP="009D7BE0">
      <w:pPr>
        <w:pStyle w:val="af2"/>
        <w:numPr>
          <w:ilvl w:val="0"/>
          <w:numId w:val="23"/>
        </w:numPr>
        <w:tabs>
          <w:tab w:val="left" w:pos="284"/>
        </w:tabs>
        <w:spacing w:after="0" w:line="240" w:lineRule="auto"/>
        <w:ind w:left="284" w:hanging="284"/>
        <w:jc w:val="both"/>
        <w:rPr>
          <w:rFonts w:ascii="Times New Roman" w:hAnsi="Times New Roman"/>
          <w:bCs/>
        </w:rPr>
      </w:pPr>
      <w:r w:rsidRPr="009D7BE0">
        <w:rPr>
          <w:rFonts w:ascii="Times New Roman" w:hAnsi="Times New Roman"/>
          <w:bCs/>
        </w:rPr>
        <w:t>μείωση λειτουργικών δαπανών από συνενώσεις υπηρεσιών, ψηφιοποιήσεις αρχείων, καλύτερο προγραμματισμό θεματικών εκθέσεων, διενέργεια τηλεδιασκέψεων με περιορισμό των μετακινήσεων και εξορθολογισμό δαπανών παραγωγών.</w:t>
      </w:r>
    </w:p>
    <w:p w:rsidR="00B55027" w:rsidRPr="009D7BE0" w:rsidRDefault="00B55027" w:rsidP="009D7BE0">
      <w:pPr>
        <w:pStyle w:val="af2"/>
        <w:tabs>
          <w:tab w:val="left" w:pos="284"/>
        </w:tabs>
        <w:spacing w:after="0" w:line="240" w:lineRule="auto"/>
        <w:ind w:left="284"/>
        <w:jc w:val="both"/>
        <w:rPr>
          <w:rFonts w:ascii="Times New Roman" w:hAnsi="Times New Roman"/>
          <w:bCs/>
        </w:rPr>
      </w:pPr>
    </w:p>
    <w:p w:rsidR="00B55027" w:rsidRPr="00B55027" w:rsidRDefault="00B55027" w:rsidP="00B55027">
      <w:pPr>
        <w:tabs>
          <w:tab w:val="left" w:pos="284"/>
        </w:tabs>
        <w:jc w:val="both"/>
        <w:rPr>
          <w:bCs/>
          <w:sz w:val="22"/>
        </w:rPr>
      </w:pPr>
      <w:r w:rsidRPr="00B55027">
        <w:rPr>
          <w:bCs/>
          <w:sz w:val="22"/>
        </w:rPr>
        <w:t>Η εξοικονόμηση που ενσωματώθηκε στον προϋπολογισμό έτους 2018 αφορά σε δράσεις τόσο της κεντρικής διοίκησης του Υ</w:t>
      </w:r>
      <w:r w:rsidR="006A47E7">
        <w:rPr>
          <w:bCs/>
          <w:sz w:val="22"/>
        </w:rPr>
        <w:t>πουργείου</w:t>
      </w:r>
      <w:r w:rsidR="00DB0690">
        <w:rPr>
          <w:bCs/>
          <w:sz w:val="22"/>
        </w:rPr>
        <w:t>,</w:t>
      </w:r>
      <w:r w:rsidRPr="00B55027">
        <w:rPr>
          <w:bCs/>
          <w:sz w:val="22"/>
        </w:rPr>
        <w:t xml:space="preserve"> όσο και εποπτευόμενων από αυτό φορέων.</w:t>
      </w:r>
    </w:p>
    <w:p w:rsidR="00074B73" w:rsidRPr="00B55027" w:rsidRDefault="00074B73" w:rsidP="00B55027">
      <w:pPr>
        <w:tabs>
          <w:tab w:val="left" w:pos="284"/>
        </w:tabs>
        <w:jc w:val="both"/>
        <w:rPr>
          <w:b/>
          <w:bCs/>
          <w:sz w:val="22"/>
        </w:rPr>
      </w:pPr>
    </w:p>
    <w:p w:rsidR="00B55027" w:rsidRPr="00B55027" w:rsidRDefault="00B55027" w:rsidP="00B55027">
      <w:pPr>
        <w:tabs>
          <w:tab w:val="left" w:pos="284"/>
        </w:tabs>
        <w:jc w:val="both"/>
        <w:rPr>
          <w:b/>
          <w:bCs/>
          <w:sz w:val="22"/>
        </w:rPr>
      </w:pPr>
      <w:r w:rsidRPr="00B55027">
        <w:rPr>
          <w:b/>
          <w:bCs/>
          <w:sz w:val="22"/>
        </w:rPr>
        <w:t>Επισκόπηση δαπανών έτους 2018</w:t>
      </w:r>
    </w:p>
    <w:p w:rsidR="009D7BE0" w:rsidRDefault="009D7BE0" w:rsidP="00B55027">
      <w:pPr>
        <w:tabs>
          <w:tab w:val="left" w:pos="284"/>
        </w:tabs>
        <w:jc w:val="both"/>
        <w:rPr>
          <w:bCs/>
          <w:sz w:val="22"/>
        </w:rPr>
      </w:pPr>
    </w:p>
    <w:p w:rsidR="00B55027" w:rsidRPr="00B55027" w:rsidRDefault="00B55027" w:rsidP="00B55027">
      <w:pPr>
        <w:tabs>
          <w:tab w:val="left" w:pos="284"/>
        </w:tabs>
        <w:jc w:val="both"/>
        <w:rPr>
          <w:bCs/>
          <w:sz w:val="22"/>
        </w:rPr>
      </w:pPr>
      <w:r w:rsidRPr="00B55027">
        <w:rPr>
          <w:bCs/>
          <w:sz w:val="22"/>
        </w:rPr>
        <w:t>Η Διυπουργική Επιτροπή για την επισκόπηση δαπ</w:t>
      </w:r>
      <w:r w:rsidR="002313AE">
        <w:rPr>
          <w:bCs/>
          <w:sz w:val="22"/>
        </w:rPr>
        <w:t>ανών του Υπουργείου Πολιτισμού και</w:t>
      </w:r>
      <w:r w:rsidRPr="00B55027">
        <w:rPr>
          <w:bCs/>
          <w:sz w:val="22"/>
        </w:rPr>
        <w:t xml:space="preserve"> Αθλητισμού (Τομέας Πολιτισμού) και των εποπτευόμενων από αυτό φορέων επικεντρώθηκε σε δράσεις βελτίωσης του οικονομικού αποτελέσματος του τομέα, μέσα από τη βελτίωση της λειτουργίας των φορέων, την ανάπτυξη της επιχειρηματικής τους δράσης και τη διασφάλιση της ανοδικής πορείας των εσόδων </w:t>
      </w:r>
      <w:r w:rsidR="00B45D16">
        <w:rPr>
          <w:bCs/>
          <w:sz w:val="22"/>
        </w:rPr>
        <w:t>τους,</w:t>
      </w:r>
      <w:r w:rsidRPr="00B55027">
        <w:rPr>
          <w:bCs/>
          <w:sz w:val="22"/>
        </w:rPr>
        <w:t xml:space="preserve"> αλλά και της είσπραξης των απαιτήσεών τους.</w:t>
      </w:r>
    </w:p>
    <w:p w:rsidR="009D7BE0" w:rsidRDefault="009D7BE0" w:rsidP="00B55027">
      <w:pPr>
        <w:tabs>
          <w:tab w:val="left" w:pos="284"/>
        </w:tabs>
        <w:jc w:val="both"/>
        <w:rPr>
          <w:bCs/>
          <w:sz w:val="22"/>
        </w:rPr>
      </w:pPr>
    </w:p>
    <w:p w:rsidR="00B55027" w:rsidRDefault="00B55027" w:rsidP="00B55027">
      <w:pPr>
        <w:tabs>
          <w:tab w:val="left" w:pos="284"/>
        </w:tabs>
        <w:jc w:val="both"/>
        <w:rPr>
          <w:bCs/>
          <w:sz w:val="22"/>
        </w:rPr>
      </w:pPr>
      <w:r w:rsidRPr="00B55027">
        <w:rPr>
          <w:bCs/>
          <w:sz w:val="22"/>
        </w:rPr>
        <w:t>Οι δράσεις που προκρίθηκαν είναι διαρθρωτικές, με αναπτυξιακό προσανατολισμό και εστιάζουν στη βέλτιστη διαχείριση της περιουσίας του Υ</w:t>
      </w:r>
      <w:r w:rsidR="00074B73">
        <w:rPr>
          <w:bCs/>
          <w:sz w:val="22"/>
        </w:rPr>
        <w:t>πουργείου</w:t>
      </w:r>
      <w:r w:rsidRPr="00B55027">
        <w:rPr>
          <w:bCs/>
          <w:sz w:val="22"/>
        </w:rPr>
        <w:t xml:space="preserve"> και του Ταμείου Αρχαιολογικών Πόρων και Απαλλοτριώσεων (ΤΑΠ</w:t>
      </w:r>
      <w:r w:rsidR="00074B73">
        <w:rPr>
          <w:bCs/>
          <w:sz w:val="22"/>
        </w:rPr>
        <w:t>Α</w:t>
      </w:r>
      <w:r w:rsidRPr="00B55027">
        <w:rPr>
          <w:bCs/>
          <w:sz w:val="22"/>
        </w:rPr>
        <w:t>), καθώς και στην προώθηση πολιτικών που οδηγούν στην αύξηση των εσόδων τους. Οι κυ</w:t>
      </w:r>
      <w:r w:rsidR="002313AE">
        <w:rPr>
          <w:bCs/>
          <w:sz w:val="22"/>
        </w:rPr>
        <w:t>ριότερες δράσεις έχουν ως εξής:</w:t>
      </w:r>
    </w:p>
    <w:p w:rsidR="002313AE" w:rsidRPr="00B55027" w:rsidRDefault="002313AE" w:rsidP="00B55027">
      <w:pPr>
        <w:tabs>
          <w:tab w:val="left" w:pos="284"/>
        </w:tabs>
        <w:jc w:val="both"/>
        <w:rPr>
          <w:bCs/>
          <w:sz w:val="22"/>
        </w:rPr>
      </w:pPr>
    </w:p>
    <w:p w:rsidR="00B55027" w:rsidRPr="002313AE" w:rsidRDefault="00B55027" w:rsidP="002313AE">
      <w:pPr>
        <w:pStyle w:val="af2"/>
        <w:numPr>
          <w:ilvl w:val="0"/>
          <w:numId w:val="23"/>
        </w:numPr>
        <w:tabs>
          <w:tab w:val="left" w:pos="284"/>
        </w:tabs>
        <w:spacing w:after="0" w:line="240" w:lineRule="auto"/>
        <w:ind w:left="284" w:hanging="284"/>
        <w:jc w:val="both"/>
        <w:rPr>
          <w:rFonts w:ascii="Times New Roman" w:hAnsi="Times New Roman"/>
          <w:bCs/>
        </w:rPr>
      </w:pPr>
      <w:r w:rsidRPr="002313AE">
        <w:rPr>
          <w:rFonts w:ascii="Times New Roman" w:hAnsi="Times New Roman"/>
          <w:bCs/>
        </w:rPr>
        <w:t>εγκατάσταση ολοκληρωμένου συστήματος διαχείρισης επιχειρησιακών πόρων (Enterprise Resource Planning</w:t>
      </w:r>
      <w:r w:rsidR="000E10B4">
        <w:rPr>
          <w:rFonts w:ascii="Times New Roman" w:hAnsi="Times New Roman"/>
          <w:bCs/>
        </w:rPr>
        <w:t xml:space="preserve"> - </w:t>
      </w:r>
      <w:r w:rsidRPr="002313AE">
        <w:rPr>
          <w:rFonts w:ascii="Times New Roman" w:hAnsi="Times New Roman"/>
          <w:bCs/>
        </w:rPr>
        <w:t>ERP), ηλεκτρονικού εισιτηρίου (e-Ticket), συστήματος ελέγχου πρόσβασης (Access Control) και συστήματος διαχείρισης πωλήσεων (Retail Management System) στους αρχαιολογικούς χώρους, τα μουσεία και τα μνημεία</w:t>
      </w:r>
      <w:r w:rsidR="00074B73">
        <w:rPr>
          <w:rFonts w:ascii="Times New Roman" w:hAnsi="Times New Roman"/>
          <w:bCs/>
        </w:rPr>
        <w:t>,</w:t>
      </w:r>
      <w:r w:rsidRPr="002313AE">
        <w:rPr>
          <w:rFonts w:ascii="Times New Roman" w:hAnsi="Times New Roman"/>
          <w:bCs/>
        </w:rPr>
        <w:t xml:space="preserve"> </w:t>
      </w:r>
    </w:p>
    <w:p w:rsidR="00B55027" w:rsidRPr="002313AE" w:rsidRDefault="00B55027" w:rsidP="002313AE">
      <w:pPr>
        <w:pStyle w:val="af2"/>
        <w:numPr>
          <w:ilvl w:val="0"/>
          <w:numId w:val="23"/>
        </w:numPr>
        <w:tabs>
          <w:tab w:val="left" w:pos="284"/>
        </w:tabs>
        <w:spacing w:after="0" w:line="240" w:lineRule="auto"/>
        <w:ind w:left="284" w:hanging="284"/>
        <w:jc w:val="both"/>
        <w:rPr>
          <w:rFonts w:ascii="Times New Roman" w:hAnsi="Times New Roman"/>
          <w:bCs/>
        </w:rPr>
      </w:pPr>
      <w:r w:rsidRPr="002313AE">
        <w:rPr>
          <w:rFonts w:ascii="Times New Roman" w:hAnsi="Times New Roman"/>
          <w:bCs/>
        </w:rPr>
        <w:t>αποτελεσματική διαχείριση και βελτίωση της λειτουργίας αναψυκτηρίων και πωλητηρίων στους αρχαιολογικούς χώρους, τα μουσεία και τα μνημεία της χώρας από το Ταμείο Αρχαιολογικών Πό</w:t>
      </w:r>
      <w:r w:rsidR="002313AE">
        <w:rPr>
          <w:rFonts w:ascii="Times New Roman" w:hAnsi="Times New Roman"/>
          <w:bCs/>
        </w:rPr>
        <w:t>ρων και</w:t>
      </w:r>
      <w:r w:rsidRPr="002313AE">
        <w:rPr>
          <w:rFonts w:ascii="Times New Roman" w:hAnsi="Times New Roman"/>
          <w:bCs/>
        </w:rPr>
        <w:t xml:space="preserve"> Απαλλοτριώσεων (ΤΑΠ</w:t>
      </w:r>
      <w:r w:rsidR="00074B73">
        <w:rPr>
          <w:rFonts w:ascii="Times New Roman" w:hAnsi="Times New Roman"/>
          <w:bCs/>
        </w:rPr>
        <w:t>Α</w:t>
      </w:r>
      <w:r w:rsidRPr="002313AE">
        <w:rPr>
          <w:rFonts w:ascii="Times New Roman" w:hAnsi="Times New Roman"/>
          <w:bCs/>
        </w:rPr>
        <w:t>),</w:t>
      </w:r>
    </w:p>
    <w:p w:rsidR="00B55027" w:rsidRPr="002313AE" w:rsidRDefault="00B55027" w:rsidP="002313AE">
      <w:pPr>
        <w:pStyle w:val="af2"/>
        <w:numPr>
          <w:ilvl w:val="0"/>
          <w:numId w:val="23"/>
        </w:numPr>
        <w:tabs>
          <w:tab w:val="left" w:pos="284"/>
        </w:tabs>
        <w:spacing w:after="0" w:line="240" w:lineRule="auto"/>
        <w:ind w:left="284" w:hanging="284"/>
        <w:jc w:val="both"/>
        <w:rPr>
          <w:rFonts w:ascii="Times New Roman" w:hAnsi="Times New Roman"/>
          <w:bCs/>
        </w:rPr>
      </w:pPr>
      <w:r w:rsidRPr="002313AE">
        <w:rPr>
          <w:rFonts w:ascii="Times New Roman" w:hAnsi="Times New Roman"/>
          <w:bCs/>
        </w:rPr>
        <w:t>επικαιροποίηση της τιμολογιακής πολιτικής εισιτηρίων και των δικαιωμάτων εισόδου για τους αρχαιολογικούς χώ</w:t>
      </w:r>
      <w:r w:rsidR="002313AE">
        <w:rPr>
          <w:rFonts w:ascii="Times New Roman" w:hAnsi="Times New Roman"/>
          <w:bCs/>
        </w:rPr>
        <w:t>ρους, τα μουσεία και τα μνημεία,</w:t>
      </w:r>
    </w:p>
    <w:p w:rsidR="00B55027" w:rsidRPr="002313AE" w:rsidRDefault="00B55027" w:rsidP="002313AE">
      <w:pPr>
        <w:pStyle w:val="af2"/>
        <w:numPr>
          <w:ilvl w:val="0"/>
          <w:numId w:val="23"/>
        </w:numPr>
        <w:tabs>
          <w:tab w:val="left" w:pos="284"/>
        </w:tabs>
        <w:spacing w:after="0" w:line="240" w:lineRule="auto"/>
        <w:ind w:left="284" w:hanging="284"/>
        <w:jc w:val="both"/>
        <w:rPr>
          <w:rFonts w:ascii="Times New Roman" w:hAnsi="Times New Roman"/>
          <w:bCs/>
        </w:rPr>
      </w:pPr>
      <w:r w:rsidRPr="002313AE">
        <w:rPr>
          <w:rFonts w:ascii="Times New Roman" w:hAnsi="Times New Roman"/>
          <w:bCs/>
        </w:rPr>
        <w:t>απόδοση ποσοστού από τα έσοδα εισιτηρίων του Μουσείου της Ακρόπολης στο Ταμείο Αρχαιολογικών Πόρων και Απαλλοτριώσεων, όπως προβλέπεται από</w:t>
      </w:r>
      <w:r w:rsidR="002313AE">
        <w:rPr>
          <w:rFonts w:ascii="Times New Roman" w:hAnsi="Times New Roman"/>
          <w:bCs/>
        </w:rPr>
        <w:t xml:space="preserve"> τον ιδρυτικό νόμο του Μουσείου,</w:t>
      </w:r>
    </w:p>
    <w:p w:rsidR="00B55027" w:rsidRPr="002313AE" w:rsidRDefault="00B55027" w:rsidP="002313AE">
      <w:pPr>
        <w:pStyle w:val="af2"/>
        <w:numPr>
          <w:ilvl w:val="0"/>
          <w:numId w:val="23"/>
        </w:numPr>
        <w:tabs>
          <w:tab w:val="left" w:pos="284"/>
        </w:tabs>
        <w:spacing w:after="0" w:line="240" w:lineRule="auto"/>
        <w:ind w:left="284" w:hanging="284"/>
        <w:jc w:val="both"/>
        <w:rPr>
          <w:rFonts w:ascii="Times New Roman" w:hAnsi="Times New Roman"/>
          <w:bCs/>
        </w:rPr>
      </w:pPr>
      <w:r w:rsidRPr="002313AE">
        <w:rPr>
          <w:rFonts w:ascii="Times New Roman" w:hAnsi="Times New Roman"/>
          <w:bCs/>
        </w:rPr>
        <w:t>επικαιροποίηση του πλαισίου για τις διαδικασίες και τα τέλη παραχώρησης των αρχαιολογικών χώρων, των μουσείων και των μνημείων για πολιτιστικές εκδηλώσεις, κινηματογραφήσεις κ</w:t>
      </w:r>
      <w:r w:rsidR="002313AE" w:rsidRPr="002313AE">
        <w:rPr>
          <w:rFonts w:ascii="Times New Roman" w:hAnsi="Times New Roman"/>
          <w:bCs/>
        </w:rPr>
        <w:t>.</w:t>
      </w:r>
      <w:r w:rsidRPr="002313AE">
        <w:rPr>
          <w:rFonts w:ascii="Times New Roman" w:hAnsi="Times New Roman"/>
          <w:bCs/>
        </w:rPr>
        <w:t>λπ. και</w:t>
      </w:r>
    </w:p>
    <w:p w:rsidR="00B55027" w:rsidRPr="002313AE" w:rsidRDefault="00B55027" w:rsidP="002313AE">
      <w:pPr>
        <w:pStyle w:val="af2"/>
        <w:numPr>
          <w:ilvl w:val="0"/>
          <w:numId w:val="23"/>
        </w:numPr>
        <w:tabs>
          <w:tab w:val="left" w:pos="284"/>
        </w:tabs>
        <w:spacing w:after="0" w:line="240" w:lineRule="auto"/>
        <w:ind w:left="284" w:hanging="284"/>
        <w:jc w:val="both"/>
        <w:rPr>
          <w:rFonts w:ascii="Times New Roman" w:hAnsi="Times New Roman"/>
          <w:bCs/>
        </w:rPr>
      </w:pPr>
      <w:r w:rsidRPr="002313AE">
        <w:rPr>
          <w:rFonts w:ascii="Times New Roman" w:hAnsi="Times New Roman"/>
          <w:bCs/>
        </w:rPr>
        <w:t>αξιοποίηση της ακίνητης περιουσίας του Υ</w:t>
      </w:r>
      <w:r w:rsidR="00074B73">
        <w:rPr>
          <w:rFonts w:ascii="Times New Roman" w:hAnsi="Times New Roman"/>
          <w:bCs/>
        </w:rPr>
        <w:t>πουργείου</w:t>
      </w:r>
      <w:r w:rsidRPr="002313AE">
        <w:rPr>
          <w:rFonts w:ascii="Times New Roman" w:hAnsi="Times New Roman"/>
          <w:bCs/>
        </w:rPr>
        <w:t xml:space="preserve"> ή/και εποπτευόμενων από αυτό φορέων.</w:t>
      </w:r>
    </w:p>
    <w:p w:rsidR="002313AE" w:rsidRPr="002313AE" w:rsidRDefault="002313AE" w:rsidP="002313AE">
      <w:pPr>
        <w:pStyle w:val="af2"/>
        <w:tabs>
          <w:tab w:val="left" w:pos="284"/>
        </w:tabs>
        <w:spacing w:after="0" w:line="240" w:lineRule="auto"/>
        <w:ind w:left="284"/>
        <w:jc w:val="both"/>
        <w:rPr>
          <w:rFonts w:ascii="Times New Roman" w:hAnsi="Times New Roman"/>
          <w:bCs/>
        </w:rPr>
      </w:pPr>
    </w:p>
    <w:p w:rsidR="00B55027" w:rsidRPr="00B55027" w:rsidRDefault="00B55027" w:rsidP="00B55027">
      <w:pPr>
        <w:tabs>
          <w:tab w:val="left" w:pos="284"/>
        </w:tabs>
        <w:jc w:val="both"/>
        <w:rPr>
          <w:bCs/>
          <w:sz w:val="22"/>
        </w:rPr>
      </w:pPr>
      <w:r w:rsidRPr="00B55027">
        <w:rPr>
          <w:bCs/>
          <w:sz w:val="22"/>
        </w:rPr>
        <w:t>Ακολουθεί η αναλυτική παρουσίαση των δράσεων.</w:t>
      </w:r>
    </w:p>
    <w:p w:rsidR="002313AE" w:rsidRDefault="002313AE" w:rsidP="002313AE">
      <w:pPr>
        <w:tabs>
          <w:tab w:val="left" w:pos="284"/>
        </w:tabs>
        <w:jc w:val="both"/>
        <w:rPr>
          <w:bCs/>
          <w:sz w:val="22"/>
        </w:rPr>
      </w:pPr>
    </w:p>
    <w:p w:rsidR="00B55027" w:rsidRPr="00B55027" w:rsidRDefault="002313AE" w:rsidP="002313AE">
      <w:pPr>
        <w:tabs>
          <w:tab w:val="left" w:pos="284"/>
        </w:tabs>
        <w:jc w:val="both"/>
        <w:rPr>
          <w:bCs/>
          <w:sz w:val="22"/>
        </w:rPr>
      </w:pPr>
      <w:r>
        <w:rPr>
          <w:bCs/>
          <w:sz w:val="22"/>
        </w:rPr>
        <w:t>-</w:t>
      </w:r>
      <w:r>
        <w:rPr>
          <w:bCs/>
          <w:sz w:val="22"/>
        </w:rPr>
        <w:tab/>
      </w:r>
      <w:r w:rsidR="00B55027" w:rsidRPr="00B55027">
        <w:rPr>
          <w:b/>
          <w:bCs/>
          <w:i/>
          <w:sz w:val="22"/>
        </w:rPr>
        <w:t>Αύξηση εσόδων από την εφαρμογή του ηλεκτρονικού εισιτηρίου (</w:t>
      </w:r>
      <w:r w:rsidR="00B55027" w:rsidRPr="00B55027">
        <w:rPr>
          <w:b/>
          <w:bCs/>
          <w:i/>
          <w:sz w:val="22"/>
          <w:lang w:val="en-US"/>
        </w:rPr>
        <w:t>e</w:t>
      </w:r>
      <w:r w:rsidR="00B55027" w:rsidRPr="00B55027">
        <w:rPr>
          <w:b/>
          <w:bCs/>
          <w:i/>
          <w:sz w:val="22"/>
        </w:rPr>
        <w:t>-</w:t>
      </w:r>
      <w:r w:rsidR="00B55027" w:rsidRPr="00B55027">
        <w:rPr>
          <w:b/>
          <w:bCs/>
          <w:i/>
          <w:sz w:val="22"/>
          <w:lang w:val="en-US"/>
        </w:rPr>
        <w:t>ticket</w:t>
      </w:r>
      <w:r w:rsidR="00B55027" w:rsidRPr="00B55027">
        <w:rPr>
          <w:b/>
          <w:bCs/>
          <w:i/>
          <w:sz w:val="22"/>
        </w:rPr>
        <w:t>)</w:t>
      </w:r>
    </w:p>
    <w:p w:rsidR="003E1D8B" w:rsidRDefault="002313AE" w:rsidP="002313AE">
      <w:pPr>
        <w:tabs>
          <w:tab w:val="left" w:pos="284"/>
        </w:tabs>
        <w:ind w:left="284" w:hanging="284"/>
        <w:jc w:val="both"/>
        <w:rPr>
          <w:bCs/>
          <w:sz w:val="22"/>
        </w:rPr>
      </w:pPr>
      <w:r>
        <w:rPr>
          <w:bCs/>
          <w:sz w:val="22"/>
        </w:rPr>
        <w:tab/>
      </w:r>
    </w:p>
    <w:p w:rsidR="00B55027" w:rsidRPr="00B55027" w:rsidRDefault="003E1D8B" w:rsidP="002313AE">
      <w:pPr>
        <w:tabs>
          <w:tab w:val="left" w:pos="284"/>
        </w:tabs>
        <w:ind w:left="284" w:hanging="284"/>
        <w:jc w:val="both"/>
        <w:rPr>
          <w:bCs/>
          <w:sz w:val="22"/>
        </w:rPr>
      </w:pPr>
      <w:r>
        <w:rPr>
          <w:bCs/>
          <w:sz w:val="22"/>
        </w:rPr>
        <w:tab/>
      </w:r>
      <w:r w:rsidR="00B55027" w:rsidRPr="00B55027">
        <w:rPr>
          <w:bCs/>
          <w:sz w:val="22"/>
        </w:rPr>
        <w:t>Η δράση περιλαμβάνει τη συνδυασμένη εγκατάσταση ολοκληρωμένου συστήματος διαχείρισης επιχειρησιακών πόρων (Enterprise Resource Planning – ERP), ηλεκτρονικού εισιτηρίου (e-Ticket), συστήματος ελέγχου πρόσβασης (Access Control) και συστήματος διαχείρισης πωλήσεων (Retail Management System) στους αρχαιολογικούς χώρους, τα μουσεία και τα μνημεία που διαχειρίζεται το ΥΠΠΟΑ. Αξίζει να τονιστεί ότι η πρώτη φάση του έργου υλοποιήθηκε χωρίς δημοσιονομικό κόστος, μέσω δωρεών.</w:t>
      </w:r>
    </w:p>
    <w:p w:rsidR="002313AE" w:rsidRDefault="002313AE" w:rsidP="00B55027">
      <w:pPr>
        <w:tabs>
          <w:tab w:val="left" w:pos="284"/>
        </w:tabs>
        <w:jc w:val="both"/>
        <w:rPr>
          <w:bCs/>
          <w:sz w:val="22"/>
        </w:rPr>
      </w:pPr>
    </w:p>
    <w:p w:rsidR="00B55027" w:rsidRPr="00B55027" w:rsidRDefault="002313AE" w:rsidP="002313AE">
      <w:pPr>
        <w:tabs>
          <w:tab w:val="left" w:pos="284"/>
        </w:tabs>
        <w:ind w:left="284" w:hanging="284"/>
        <w:jc w:val="both"/>
        <w:rPr>
          <w:bCs/>
          <w:sz w:val="22"/>
        </w:rPr>
      </w:pPr>
      <w:r>
        <w:rPr>
          <w:bCs/>
          <w:sz w:val="22"/>
        </w:rPr>
        <w:tab/>
      </w:r>
      <w:r w:rsidR="00B55027" w:rsidRPr="00B55027">
        <w:rPr>
          <w:bCs/>
          <w:sz w:val="22"/>
        </w:rPr>
        <w:t>Τα αναμενόμενα οφέλη είναι τα ακόλουθα: (α) αποτελεσματικότερος έλεγχος της πρόσβασης των επισκεπτών, (β) δυνατότητα έκδοσης εισιτηρίων μέσω διαδικτύου, η οποία αναμένεται να αυξήσει περαιτέρω την επισκεψιμότητα και τα έσοδα, (γ) αναβάθμιση της διαχείρισης των πωλήσεων εκδόσεων και πολιτιστικών προϊόντων με την εισαγωγή συστήματος γραμμωτού κώδικα (barcode) και (δ) αναδιοργάνωση και αναβάθμιση των εσωτερικών οικονομικών, λογιστικών και διαχειριστικών λειτουργιών του ΤΑΠ</w:t>
      </w:r>
      <w:r w:rsidR="009F3864">
        <w:rPr>
          <w:bCs/>
          <w:sz w:val="22"/>
        </w:rPr>
        <w:t>Α</w:t>
      </w:r>
      <w:r w:rsidR="00B55027" w:rsidRPr="00B55027">
        <w:rPr>
          <w:bCs/>
          <w:sz w:val="22"/>
        </w:rPr>
        <w:t>, των διαδικασιών καταγραφής και ελέγχου των εισπράξεων και της διακίνησης εκδόσεων και πολιτιστικών προϊόντων, με την αυτοματοποιημένη σύνδεση του κεντρικού λογιστηρίου με τα εκδοτήρια των εισιτηρίων, τα πωλητήρια και την αποθήκη.</w:t>
      </w:r>
    </w:p>
    <w:p w:rsidR="002313AE" w:rsidRDefault="002313AE" w:rsidP="00B55027">
      <w:pPr>
        <w:tabs>
          <w:tab w:val="left" w:pos="284"/>
        </w:tabs>
        <w:jc w:val="both"/>
        <w:rPr>
          <w:bCs/>
          <w:sz w:val="22"/>
        </w:rPr>
      </w:pPr>
    </w:p>
    <w:p w:rsidR="00B55027" w:rsidRPr="00B55027" w:rsidRDefault="002313AE" w:rsidP="002313AE">
      <w:pPr>
        <w:tabs>
          <w:tab w:val="left" w:pos="284"/>
        </w:tabs>
        <w:ind w:left="284" w:hanging="284"/>
        <w:jc w:val="both"/>
        <w:rPr>
          <w:bCs/>
          <w:sz w:val="22"/>
        </w:rPr>
      </w:pPr>
      <w:r>
        <w:rPr>
          <w:bCs/>
          <w:sz w:val="22"/>
        </w:rPr>
        <w:tab/>
      </w:r>
      <w:r w:rsidR="00B55027" w:rsidRPr="00B55027">
        <w:rPr>
          <w:bCs/>
          <w:sz w:val="22"/>
        </w:rPr>
        <w:t xml:space="preserve">Στους χώρους όπου εφαρμόζεται σε πρώτο στάδιο το </w:t>
      </w:r>
      <w:r w:rsidR="00B55027" w:rsidRPr="00B55027">
        <w:rPr>
          <w:bCs/>
          <w:sz w:val="22"/>
          <w:lang w:val="en-US"/>
        </w:rPr>
        <w:t>e</w:t>
      </w:r>
      <w:r w:rsidR="00B55027" w:rsidRPr="00B55027">
        <w:rPr>
          <w:bCs/>
          <w:sz w:val="22"/>
        </w:rPr>
        <w:t>-</w:t>
      </w:r>
      <w:r w:rsidR="00B55027" w:rsidRPr="00B55027">
        <w:rPr>
          <w:bCs/>
          <w:sz w:val="22"/>
          <w:lang w:val="en-US"/>
        </w:rPr>
        <w:t>ticket</w:t>
      </w:r>
      <w:r w:rsidR="00B55027" w:rsidRPr="00B55027">
        <w:rPr>
          <w:bCs/>
          <w:sz w:val="22"/>
        </w:rPr>
        <w:t xml:space="preserve"> (Ακρόπολη και γύρω αρχαιολογικοί χώροι του ιστορικού κέντρου της Αθήνας, Κνωσός και Μουσείο Ηρακλείου και αρχαιολογικός χώρος και μουσείο Αρχαίας Μεσσήνης) εκτιμάται  αύξηση εσόδων για το 2019 συνολικού ύψους 8</w:t>
      </w:r>
      <w:r>
        <w:rPr>
          <w:bCs/>
          <w:sz w:val="22"/>
        </w:rPr>
        <w:t xml:space="preserve"> </w:t>
      </w:r>
      <w:r w:rsidR="00B55027" w:rsidRPr="00B55027">
        <w:rPr>
          <w:bCs/>
          <w:sz w:val="22"/>
        </w:rPr>
        <w:t>εκ</w:t>
      </w:r>
      <w:r>
        <w:rPr>
          <w:bCs/>
          <w:sz w:val="22"/>
        </w:rPr>
        <w:t>ατ</w:t>
      </w:r>
      <w:r w:rsidR="00B55027" w:rsidRPr="00B55027">
        <w:rPr>
          <w:bCs/>
          <w:sz w:val="22"/>
        </w:rPr>
        <w:t>. ευρώ.</w:t>
      </w:r>
    </w:p>
    <w:p w:rsidR="00B55027" w:rsidRPr="00B55027" w:rsidRDefault="00B55027" w:rsidP="00B55027">
      <w:pPr>
        <w:tabs>
          <w:tab w:val="left" w:pos="284"/>
        </w:tabs>
        <w:jc w:val="both"/>
        <w:rPr>
          <w:bCs/>
          <w:sz w:val="22"/>
        </w:rPr>
      </w:pPr>
    </w:p>
    <w:p w:rsidR="00B55027" w:rsidRPr="00B55027" w:rsidRDefault="002313AE" w:rsidP="002313AE">
      <w:pPr>
        <w:tabs>
          <w:tab w:val="left" w:pos="284"/>
        </w:tabs>
        <w:ind w:left="284" w:hanging="284"/>
        <w:jc w:val="both"/>
        <w:rPr>
          <w:b/>
          <w:bCs/>
          <w:i/>
          <w:sz w:val="22"/>
        </w:rPr>
      </w:pPr>
      <w:r>
        <w:rPr>
          <w:b/>
          <w:bCs/>
          <w:i/>
          <w:sz w:val="22"/>
        </w:rPr>
        <w:t>-</w:t>
      </w:r>
      <w:r>
        <w:rPr>
          <w:b/>
          <w:bCs/>
          <w:i/>
          <w:sz w:val="22"/>
        </w:rPr>
        <w:tab/>
      </w:r>
      <w:r w:rsidR="00B55027" w:rsidRPr="00B55027">
        <w:rPr>
          <w:b/>
          <w:bCs/>
          <w:i/>
          <w:sz w:val="22"/>
        </w:rPr>
        <w:t>Αύξηση εσόδων από νέα τιμολογιακή πολιτική στα τέλη από φωτογράφηση, κινηματογράφηση κ.λπ., παραχωρήσεις αρχαιολογικών χώρων, μνημείων και μουσείων</w:t>
      </w:r>
    </w:p>
    <w:p w:rsidR="003E1D8B" w:rsidRDefault="003E1D8B" w:rsidP="002313AE">
      <w:pPr>
        <w:tabs>
          <w:tab w:val="left" w:pos="284"/>
        </w:tabs>
        <w:ind w:left="284" w:hanging="284"/>
        <w:jc w:val="both"/>
        <w:rPr>
          <w:bCs/>
          <w:sz w:val="22"/>
        </w:rPr>
      </w:pPr>
    </w:p>
    <w:p w:rsidR="00B55027" w:rsidRDefault="002313AE" w:rsidP="002313AE">
      <w:pPr>
        <w:tabs>
          <w:tab w:val="left" w:pos="284"/>
        </w:tabs>
        <w:ind w:left="284" w:hanging="284"/>
        <w:jc w:val="both"/>
        <w:rPr>
          <w:bCs/>
          <w:sz w:val="22"/>
        </w:rPr>
      </w:pPr>
      <w:r>
        <w:rPr>
          <w:bCs/>
          <w:sz w:val="22"/>
        </w:rPr>
        <w:tab/>
      </w:r>
      <w:r w:rsidR="00B55027" w:rsidRPr="00B55027">
        <w:rPr>
          <w:bCs/>
          <w:sz w:val="22"/>
        </w:rPr>
        <w:t>Με γνώμονα την ανάγκη της ολοκληρωμένης προστασίας του μνημειακού πλούτου και τη διαφύλαξη των δικαιωμάτων του Ελληνικού Δημοσίου επί των μνημείων, η συγκεκριμένη δράση συμβάλλει στην επαναξιολόγηση της υφιστάμενης πολιτικής αναφορικά με την επιβολή τελών κινηματογράφησης και παραχώρησης χρήσης μνημείων, αρχαιολογικών χώρων, ιστορικών τόπων και χώρων μουσεί</w:t>
      </w:r>
      <w:r>
        <w:rPr>
          <w:bCs/>
          <w:sz w:val="22"/>
        </w:rPr>
        <w:t>ων.</w:t>
      </w:r>
    </w:p>
    <w:p w:rsidR="002313AE" w:rsidRPr="00B55027" w:rsidRDefault="002313AE" w:rsidP="002313AE">
      <w:pPr>
        <w:tabs>
          <w:tab w:val="left" w:pos="284"/>
        </w:tabs>
        <w:ind w:left="284" w:hanging="284"/>
        <w:jc w:val="both"/>
        <w:rPr>
          <w:bCs/>
          <w:sz w:val="22"/>
        </w:rPr>
      </w:pPr>
    </w:p>
    <w:p w:rsidR="00B55027" w:rsidRPr="00B55027" w:rsidRDefault="002313AE" w:rsidP="002313AE">
      <w:pPr>
        <w:tabs>
          <w:tab w:val="left" w:pos="284"/>
        </w:tabs>
        <w:ind w:left="284" w:hanging="284"/>
        <w:jc w:val="both"/>
        <w:rPr>
          <w:bCs/>
          <w:sz w:val="22"/>
        </w:rPr>
      </w:pPr>
      <w:r>
        <w:rPr>
          <w:bCs/>
          <w:sz w:val="22"/>
        </w:rPr>
        <w:tab/>
      </w:r>
      <w:r w:rsidR="00B55027" w:rsidRPr="00B55027">
        <w:rPr>
          <w:bCs/>
          <w:sz w:val="22"/>
        </w:rPr>
        <w:t>Με την υλοποίηση της δράσης, με έναρξη απόδοσης την 1/1/2019, προβλέπεται σταδιακή αύξηση των εσόδων του Ταμείου Αρχαιολογικών Πόρων και Απαλλοτριώσεων από τα αντίστοιχα τέλη κατά 50%, ενώ παράλληλα ενισχύεται η προστασία του θεμελιώδους δικαιώματος των πολιτών και της κοινωνίας στη συμμετοχή στην πολιτιστική κληρονομιά της χώρας.</w:t>
      </w:r>
    </w:p>
    <w:p w:rsidR="00B55027" w:rsidRPr="00B55027" w:rsidRDefault="00B55027" w:rsidP="00B55027">
      <w:pPr>
        <w:tabs>
          <w:tab w:val="left" w:pos="284"/>
        </w:tabs>
        <w:jc w:val="both"/>
        <w:rPr>
          <w:bCs/>
          <w:sz w:val="22"/>
        </w:rPr>
      </w:pPr>
    </w:p>
    <w:p w:rsidR="00B55027" w:rsidRPr="00B55027" w:rsidRDefault="002313AE" w:rsidP="002313AE">
      <w:pPr>
        <w:tabs>
          <w:tab w:val="left" w:pos="284"/>
        </w:tabs>
        <w:ind w:left="284" w:hanging="284"/>
        <w:jc w:val="both"/>
        <w:rPr>
          <w:b/>
          <w:bCs/>
          <w:i/>
          <w:sz w:val="22"/>
        </w:rPr>
      </w:pPr>
      <w:r>
        <w:rPr>
          <w:b/>
          <w:bCs/>
          <w:i/>
          <w:sz w:val="22"/>
        </w:rPr>
        <w:t>-</w:t>
      </w:r>
      <w:r>
        <w:rPr>
          <w:b/>
          <w:bCs/>
          <w:i/>
          <w:sz w:val="22"/>
        </w:rPr>
        <w:tab/>
      </w:r>
      <w:r w:rsidR="00B55027" w:rsidRPr="00B55027">
        <w:rPr>
          <w:b/>
          <w:bCs/>
          <w:i/>
          <w:sz w:val="22"/>
        </w:rPr>
        <w:t>Απόδοση ποσοστού των εσόδων από τα εισιτήρια του Μουσείου της Ακρόπολης στο Ταμείο Αρχαιολογικών Πόρων και Απαλλοτριώσεων</w:t>
      </w:r>
    </w:p>
    <w:p w:rsidR="002313AE" w:rsidRDefault="002313AE" w:rsidP="00B55027">
      <w:pPr>
        <w:tabs>
          <w:tab w:val="left" w:pos="284"/>
        </w:tabs>
        <w:jc w:val="both"/>
        <w:rPr>
          <w:bCs/>
          <w:sz w:val="22"/>
        </w:rPr>
      </w:pPr>
    </w:p>
    <w:p w:rsidR="00B55027" w:rsidRPr="00B55027" w:rsidRDefault="002313AE" w:rsidP="002313AE">
      <w:pPr>
        <w:tabs>
          <w:tab w:val="left" w:pos="284"/>
        </w:tabs>
        <w:ind w:left="284" w:hanging="284"/>
        <w:jc w:val="both"/>
        <w:rPr>
          <w:bCs/>
          <w:sz w:val="22"/>
        </w:rPr>
      </w:pPr>
      <w:r>
        <w:rPr>
          <w:bCs/>
          <w:sz w:val="22"/>
        </w:rPr>
        <w:tab/>
      </w:r>
      <w:r w:rsidR="00B55027" w:rsidRPr="00B55027">
        <w:rPr>
          <w:bCs/>
          <w:sz w:val="22"/>
        </w:rPr>
        <w:t xml:space="preserve">Η συγκεκριμένη δράση εντάσσεται στην ευρύτερη στρατηγική αξιοποίησης της πολιτιστικής κληρονομιάς και αποσκοπεί στην αύξηση των εσόδων του Ταμείου Αρχαιολογικών Πόρων και Απαλλοτριώσεων. </w:t>
      </w:r>
    </w:p>
    <w:p w:rsidR="002313AE" w:rsidRDefault="002313AE" w:rsidP="00B55027">
      <w:pPr>
        <w:tabs>
          <w:tab w:val="left" w:pos="284"/>
        </w:tabs>
        <w:jc w:val="both"/>
        <w:rPr>
          <w:bCs/>
          <w:sz w:val="22"/>
        </w:rPr>
      </w:pPr>
    </w:p>
    <w:p w:rsidR="00B55027" w:rsidRPr="00B55027" w:rsidRDefault="002313AE" w:rsidP="002313AE">
      <w:pPr>
        <w:tabs>
          <w:tab w:val="left" w:pos="284"/>
        </w:tabs>
        <w:ind w:left="284" w:hanging="284"/>
        <w:jc w:val="both"/>
        <w:rPr>
          <w:bCs/>
          <w:sz w:val="22"/>
        </w:rPr>
      </w:pPr>
      <w:r>
        <w:rPr>
          <w:bCs/>
          <w:sz w:val="22"/>
        </w:rPr>
        <w:tab/>
      </w:r>
      <w:r w:rsidR="00B55027" w:rsidRPr="00B55027">
        <w:rPr>
          <w:bCs/>
          <w:sz w:val="22"/>
        </w:rPr>
        <w:t>Συγκεκριμένα, περιλαμβάνει τις ενέργειες για την επικαιροποίηση της τιμολογιακής πολιτικής του Μουσείου της Ακρόπολης και την απόδοση ποσοστού των εσόδων αυτού στο ΤΑΠ</w:t>
      </w:r>
      <w:r w:rsidR="009F3864">
        <w:rPr>
          <w:bCs/>
          <w:sz w:val="22"/>
        </w:rPr>
        <w:t>Α</w:t>
      </w:r>
      <w:r w:rsidR="00B55027" w:rsidRPr="00B55027">
        <w:rPr>
          <w:bCs/>
          <w:sz w:val="22"/>
        </w:rPr>
        <w:t xml:space="preserve">. </w:t>
      </w:r>
    </w:p>
    <w:p w:rsidR="00B55027" w:rsidRPr="00B55027" w:rsidRDefault="00B55027" w:rsidP="00B55027">
      <w:pPr>
        <w:tabs>
          <w:tab w:val="left" w:pos="284"/>
        </w:tabs>
        <w:jc w:val="both"/>
        <w:rPr>
          <w:bCs/>
          <w:sz w:val="22"/>
        </w:rPr>
      </w:pPr>
    </w:p>
    <w:p w:rsidR="00B55027" w:rsidRPr="00B55027" w:rsidRDefault="002313AE" w:rsidP="002313AE">
      <w:pPr>
        <w:tabs>
          <w:tab w:val="left" w:pos="284"/>
        </w:tabs>
        <w:ind w:left="284" w:hanging="284"/>
        <w:jc w:val="both"/>
        <w:rPr>
          <w:bCs/>
          <w:sz w:val="22"/>
        </w:rPr>
      </w:pPr>
      <w:r>
        <w:rPr>
          <w:b/>
          <w:bCs/>
          <w:sz w:val="22"/>
        </w:rPr>
        <w:t>-</w:t>
      </w:r>
      <w:r>
        <w:rPr>
          <w:b/>
          <w:bCs/>
          <w:sz w:val="22"/>
        </w:rPr>
        <w:tab/>
      </w:r>
      <w:r w:rsidR="00B55027" w:rsidRPr="00B55027">
        <w:rPr>
          <w:b/>
          <w:bCs/>
          <w:i/>
          <w:sz w:val="22"/>
        </w:rPr>
        <w:t>Αύξηση εσόδων από την επικαιροποίηση της τιμολογιακής πολιτικής των εισιτηρίων και των δικαιωμάτων εισόδου</w:t>
      </w:r>
    </w:p>
    <w:p w:rsidR="002313AE" w:rsidRDefault="002313AE" w:rsidP="00B55027">
      <w:pPr>
        <w:tabs>
          <w:tab w:val="left" w:pos="284"/>
        </w:tabs>
        <w:jc w:val="both"/>
        <w:rPr>
          <w:bCs/>
          <w:sz w:val="22"/>
        </w:rPr>
      </w:pPr>
    </w:p>
    <w:p w:rsidR="00B55027" w:rsidRPr="00B55027" w:rsidRDefault="002313AE" w:rsidP="002313AE">
      <w:pPr>
        <w:tabs>
          <w:tab w:val="left" w:pos="284"/>
        </w:tabs>
        <w:ind w:left="284" w:hanging="284"/>
        <w:jc w:val="both"/>
        <w:rPr>
          <w:bCs/>
          <w:sz w:val="22"/>
        </w:rPr>
      </w:pPr>
      <w:r>
        <w:rPr>
          <w:bCs/>
          <w:sz w:val="22"/>
        </w:rPr>
        <w:tab/>
      </w:r>
      <w:r w:rsidR="00B55027" w:rsidRPr="00B55027">
        <w:rPr>
          <w:bCs/>
          <w:sz w:val="22"/>
        </w:rPr>
        <w:t>Με την εφαρμογή της εν λόγω δράσης, επιχειρείται η επανεξέταση της τιμολογιακής πολιτικής και των δικαιωμάτων εισόδου σε μνημεία, οργανωμένους αρχαιολογικούς χώρους, ιστορικούς τόπους και μουσεία, με πρωταρχική μέριμνα να μην θιγούν οι ευαίσθητες κοινωνικές ομάδες.</w:t>
      </w:r>
    </w:p>
    <w:p w:rsidR="00B55027" w:rsidRPr="00B55027" w:rsidRDefault="00B55027" w:rsidP="00B55027">
      <w:pPr>
        <w:tabs>
          <w:tab w:val="left" w:pos="284"/>
        </w:tabs>
        <w:jc w:val="both"/>
        <w:rPr>
          <w:bCs/>
          <w:sz w:val="22"/>
        </w:rPr>
      </w:pPr>
    </w:p>
    <w:p w:rsidR="00B55027" w:rsidRPr="00B55027" w:rsidRDefault="002313AE" w:rsidP="00B55027">
      <w:pPr>
        <w:tabs>
          <w:tab w:val="left" w:pos="284"/>
        </w:tabs>
        <w:jc w:val="both"/>
        <w:rPr>
          <w:bCs/>
          <w:sz w:val="22"/>
        </w:rPr>
      </w:pPr>
      <w:r>
        <w:rPr>
          <w:b/>
          <w:bCs/>
          <w:i/>
          <w:sz w:val="22"/>
        </w:rPr>
        <w:t xml:space="preserve"> -</w:t>
      </w:r>
      <w:r>
        <w:rPr>
          <w:b/>
          <w:bCs/>
          <w:i/>
          <w:sz w:val="22"/>
        </w:rPr>
        <w:tab/>
      </w:r>
      <w:r w:rsidR="00B55027" w:rsidRPr="00B55027">
        <w:rPr>
          <w:b/>
          <w:bCs/>
          <w:i/>
          <w:sz w:val="22"/>
        </w:rPr>
        <w:t>Αξιοποίηση αναψυκτηρίων αρχαιολογικών χώρων, μνημείων και μουσείων</w:t>
      </w:r>
    </w:p>
    <w:p w:rsidR="002313AE" w:rsidRDefault="00B55027" w:rsidP="00B55027">
      <w:pPr>
        <w:tabs>
          <w:tab w:val="left" w:pos="284"/>
        </w:tabs>
        <w:jc w:val="both"/>
        <w:rPr>
          <w:bCs/>
          <w:sz w:val="22"/>
        </w:rPr>
      </w:pPr>
      <w:r w:rsidRPr="00B55027">
        <w:rPr>
          <w:bCs/>
          <w:sz w:val="22"/>
        </w:rPr>
        <w:t xml:space="preserve"> </w:t>
      </w:r>
    </w:p>
    <w:p w:rsidR="00B55027" w:rsidRPr="00B55027" w:rsidRDefault="002313AE" w:rsidP="002313AE">
      <w:pPr>
        <w:tabs>
          <w:tab w:val="left" w:pos="284"/>
        </w:tabs>
        <w:ind w:left="284" w:hanging="284"/>
        <w:jc w:val="both"/>
        <w:rPr>
          <w:bCs/>
          <w:sz w:val="22"/>
        </w:rPr>
      </w:pPr>
      <w:r>
        <w:rPr>
          <w:bCs/>
          <w:sz w:val="22"/>
        </w:rPr>
        <w:tab/>
      </w:r>
      <w:r w:rsidR="00B55027" w:rsidRPr="00B55027">
        <w:rPr>
          <w:bCs/>
          <w:sz w:val="22"/>
        </w:rPr>
        <w:t>Η συγκεκριμένη δράση έχει ως στόχο τη βέλτιστη αξιοποίηση των αναψυκτηρίων που διαχειρίζεται το ΤΑΠ</w:t>
      </w:r>
      <w:r w:rsidR="009F3864">
        <w:rPr>
          <w:bCs/>
          <w:sz w:val="22"/>
        </w:rPr>
        <w:t>Α</w:t>
      </w:r>
      <w:r w:rsidR="00B55027" w:rsidRPr="00B55027">
        <w:rPr>
          <w:bCs/>
          <w:sz w:val="22"/>
        </w:rPr>
        <w:t xml:space="preserve"> στους αρχαιολογικούς χώρους, στα μνημεία και τα μουσεία  με την άμεση επαναλειτουργία μέρους αυτών που παραμένουν σήμερα κλειστά, μέσω βραχυχρόνιων μεταβατικών συμβάσεων μέχρι να εγκατασταθούν οι διαχειριστές που θα προκύψουν μέσα από τις νέες διαγωνιστικές διαδικασίες, καθώς και από την εφαρμογή όσων προβλέπονται στη νομοθεσία για τη βέλτιστη αξιοποίηση αυτών (άρθρο 22, ν.4551/2018).  Οι δράσεις εστιάζουν στην υψηλή ποιότητα παρεχόμενων υπηρεσιών και στην αξιοποίησή τους για την πραγματοποίηση πολιτιστικών εκδηλώσεων, μέτρα που θα συμβά</w:t>
      </w:r>
      <w:r w:rsidR="000E10B4">
        <w:rPr>
          <w:bCs/>
          <w:sz w:val="22"/>
        </w:rPr>
        <w:t>λ</w:t>
      </w:r>
      <w:r w:rsidR="00B55027" w:rsidRPr="00B55027">
        <w:rPr>
          <w:bCs/>
          <w:sz w:val="22"/>
        </w:rPr>
        <w:t>λουν σημαντικά στη διεθνή προβολή της χώρας και στην εθνική πολιτιστική στρατηγική. Περαιτέρω, αναμένεται αύξηση κερδών μέσω της δυνατότητας περισσότερων τύπων συμβάσεων, πέραν της εκμίσθωσης, όπως δημόσιες συμβάσεις υπηρεσιών, συμβάσεις παραχώρησης και παραχώρηση σε φορείς κοινωνικής και αλληλέγγυας οικονομίας.</w:t>
      </w:r>
    </w:p>
    <w:p w:rsidR="002313AE" w:rsidRPr="00B55027" w:rsidRDefault="002313AE" w:rsidP="00B55027">
      <w:pPr>
        <w:tabs>
          <w:tab w:val="left" w:pos="284"/>
        </w:tabs>
        <w:jc w:val="both"/>
        <w:rPr>
          <w:bCs/>
          <w:sz w:val="22"/>
        </w:rPr>
      </w:pPr>
    </w:p>
    <w:p w:rsidR="00B55027" w:rsidRPr="00B55027" w:rsidRDefault="002313AE" w:rsidP="00B55027">
      <w:pPr>
        <w:tabs>
          <w:tab w:val="left" w:pos="284"/>
        </w:tabs>
        <w:jc w:val="both"/>
        <w:rPr>
          <w:b/>
          <w:bCs/>
          <w:i/>
          <w:sz w:val="22"/>
        </w:rPr>
      </w:pPr>
      <w:r>
        <w:rPr>
          <w:b/>
          <w:bCs/>
          <w:i/>
          <w:sz w:val="22"/>
        </w:rPr>
        <w:t>-</w:t>
      </w:r>
      <w:r>
        <w:rPr>
          <w:b/>
          <w:bCs/>
          <w:i/>
          <w:sz w:val="22"/>
        </w:rPr>
        <w:tab/>
      </w:r>
      <w:r w:rsidR="00B55027" w:rsidRPr="00B55027">
        <w:rPr>
          <w:b/>
          <w:bCs/>
          <w:i/>
          <w:sz w:val="22"/>
        </w:rPr>
        <w:t>Αξιοποίηση των πωλητηρίων αρχαιολογικών χώρων, μνημείων και μουσείων</w:t>
      </w:r>
    </w:p>
    <w:p w:rsidR="003E1D8B" w:rsidRDefault="002313AE" w:rsidP="002313AE">
      <w:pPr>
        <w:tabs>
          <w:tab w:val="left" w:pos="284"/>
        </w:tabs>
        <w:ind w:left="284" w:hanging="284"/>
        <w:jc w:val="both"/>
        <w:rPr>
          <w:bCs/>
          <w:sz w:val="22"/>
        </w:rPr>
      </w:pPr>
      <w:r>
        <w:rPr>
          <w:bCs/>
          <w:sz w:val="22"/>
        </w:rPr>
        <w:tab/>
      </w:r>
    </w:p>
    <w:p w:rsidR="00B55027" w:rsidRPr="00B55027" w:rsidRDefault="003E1D8B" w:rsidP="002313AE">
      <w:pPr>
        <w:tabs>
          <w:tab w:val="left" w:pos="284"/>
        </w:tabs>
        <w:ind w:left="284" w:hanging="284"/>
        <w:jc w:val="both"/>
        <w:rPr>
          <w:bCs/>
          <w:sz w:val="22"/>
        </w:rPr>
      </w:pPr>
      <w:r>
        <w:rPr>
          <w:bCs/>
          <w:sz w:val="22"/>
        </w:rPr>
        <w:tab/>
      </w:r>
      <w:r w:rsidR="00B55027" w:rsidRPr="00B55027">
        <w:rPr>
          <w:bCs/>
          <w:sz w:val="22"/>
        </w:rPr>
        <w:t>Η συγκεκριμένη δράση περιλαμβάνει όλες τις ενέργειες που απαιτούνται για την επαναλειτουργία των κλειστών πωλητηρίων μουσείων, μνημείων και αρχαιολογικών χώρων, αλλά και τον σταδιακό εφοδιασμό αυτών με ποιοτικά ευπώλητα αναμνηστικά είδη (εκμαγεία, οδηγούς και λοιπά αναμνηστικά).</w:t>
      </w:r>
    </w:p>
    <w:p w:rsidR="00D65893" w:rsidRPr="00B55027" w:rsidRDefault="00D65893" w:rsidP="00B55027">
      <w:pPr>
        <w:tabs>
          <w:tab w:val="left" w:pos="284"/>
        </w:tabs>
        <w:jc w:val="both"/>
        <w:rPr>
          <w:bCs/>
          <w:sz w:val="22"/>
        </w:rPr>
      </w:pPr>
    </w:p>
    <w:p w:rsidR="00B55027" w:rsidRPr="00B55027" w:rsidRDefault="003E1D8B" w:rsidP="00B55027">
      <w:pPr>
        <w:tabs>
          <w:tab w:val="left" w:pos="284"/>
        </w:tabs>
        <w:jc w:val="both"/>
        <w:rPr>
          <w:b/>
          <w:bCs/>
          <w:i/>
          <w:sz w:val="22"/>
        </w:rPr>
      </w:pPr>
      <w:r>
        <w:rPr>
          <w:b/>
          <w:bCs/>
          <w:i/>
          <w:sz w:val="22"/>
        </w:rPr>
        <w:t>-</w:t>
      </w:r>
      <w:r>
        <w:rPr>
          <w:b/>
          <w:bCs/>
          <w:i/>
          <w:sz w:val="22"/>
        </w:rPr>
        <w:tab/>
      </w:r>
      <w:r w:rsidR="00B55027" w:rsidRPr="00B55027">
        <w:rPr>
          <w:b/>
          <w:bCs/>
          <w:i/>
          <w:sz w:val="22"/>
        </w:rPr>
        <w:t>Αξιοποίηση ακίνητης περιουσίας</w:t>
      </w:r>
    </w:p>
    <w:p w:rsidR="003E1D8B" w:rsidRDefault="003E1D8B" w:rsidP="00B55027">
      <w:pPr>
        <w:tabs>
          <w:tab w:val="left" w:pos="284"/>
        </w:tabs>
        <w:jc w:val="both"/>
        <w:rPr>
          <w:bCs/>
          <w:sz w:val="22"/>
        </w:rPr>
      </w:pPr>
    </w:p>
    <w:p w:rsidR="00B55027" w:rsidRPr="00B55027" w:rsidRDefault="003E1D8B" w:rsidP="003E1D8B">
      <w:pPr>
        <w:tabs>
          <w:tab w:val="left" w:pos="284"/>
        </w:tabs>
        <w:ind w:left="284" w:hanging="284"/>
        <w:jc w:val="both"/>
        <w:rPr>
          <w:bCs/>
          <w:sz w:val="22"/>
        </w:rPr>
      </w:pPr>
      <w:r>
        <w:rPr>
          <w:bCs/>
          <w:sz w:val="22"/>
        </w:rPr>
        <w:tab/>
      </w:r>
      <w:r w:rsidR="00B55027" w:rsidRPr="00B55027">
        <w:rPr>
          <w:bCs/>
          <w:sz w:val="22"/>
        </w:rPr>
        <w:t>Η συγκεκριμένη δράση αποσκοπεί στη διερεύνηση επίτευξης περαιτέρω εξοικονομήσεων από μισθώματα και γενικότερα από την αξιοποίηση της ακίνητης περιουσίας του Υπουργείου Πολιτισμού και Αθλητισμού μέσω της καταγραφής των ακινήτων (ιδιόκτητων και μισθωμένων) του Υπουργείου και των εποπτευόμενων από αυτό φορέων, της επεξεργασίας του συνόλου των στοιχείων και της κατάρτισης συνολικής πρότασης ορθολογικότερης διαχείρισής τους, με γνώμονα το δημόσιο συμφέρον και την εξοικονόμηση πόρων προς όφελος των πολιτών.</w:t>
      </w:r>
    </w:p>
    <w:p w:rsidR="00B55027" w:rsidRPr="00B55027" w:rsidRDefault="00B55027" w:rsidP="00B55027">
      <w:pPr>
        <w:tabs>
          <w:tab w:val="left" w:pos="284"/>
        </w:tabs>
        <w:jc w:val="both"/>
        <w:rPr>
          <w:bCs/>
          <w:sz w:val="22"/>
        </w:rPr>
      </w:pPr>
    </w:p>
    <w:p w:rsidR="00B55027" w:rsidRPr="00B55027" w:rsidRDefault="00B55027" w:rsidP="00B55027">
      <w:pPr>
        <w:tabs>
          <w:tab w:val="left" w:pos="284"/>
        </w:tabs>
        <w:jc w:val="both"/>
        <w:rPr>
          <w:b/>
          <w:bCs/>
          <w:sz w:val="22"/>
        </w:rPr>
      </w:pPr>
      <w:bookmarkStart w:id="11" w:name="_Toc520270112"/>
      <w:bookmarkStart w:id="12" w:name="_Toc523832458"/>
      <w:r w:rsidRPr="00EB3B0F">
        <w:rPr>
          <w:rFonts w:ascii="Arial Narrow" w:hAnsi="Arial Narrow"/>
          <w:b/>
          <w:bCs/>
          <w:sz w:val="22"/>
        </w:rPr>
        <w:t>Υπουργείο Υποδομών και Μεταφορών</w:t>
      </w:r>
    </w:p>
    <w:p w:rsidR="00B55027" w:rsidRPr="00B55027" w:rsidRDefault="00B55027" w:rsidP="00B55027">
      <w:pPr>
        <w:tabs>
          <w:tab w:val="left" w:pos="284"/>
        </w:tabs>
        <w:jc w:val="both"/>
        <w:rPr>
          <w:b/>
          <w:bCs/>
          <w:sz w:val="22"/>
        </w:rPr>
      </w:pPr>
    </w:p>
    <w:p w:rsidR="00B55027" w:rsidRPr="00B55027" w:rsidRDefault="00B55027" w:rsidP="00B55027">
      <w:pPr>
        <w:tabs>
          <w:tab w:val="left" w:pos="284"/>
        </w:tabs>
        <w:jc w:val="both"/>
        <w:rPr>
          <w:b/>
          <w:bCs/>
          <w:sz w:val="22"/>
        </w:rPr>
      </w:pPr>
      <w:r w:rsidRPr="00B55027">
        <w:rPr>
          <w:b/>
          <w:bCs/>
          <w:sz w:val="22"/>
        </w:rPr>
        <w:t>Παρακολούθηση προγράμματος επισκόπησης περιόδου 2016-2017</w:t>
      </w:r>
    </w:p>
    <w:p w:rsidR="00EB3B0F" w:rsidRDefault="00EB3B0F" w:rsidP="00B55027">
      <w:pPr>
        <w:tabs>
          <w:tab w:val="left" w:pos="284"/>
        </w:tabs>
        <w:jc w:val="both"/>
        <w:rPr>
          <w:bCs/>
          <w:sz w:val="22"/>
        </w:rPr>
      </w:pPr>
    </w:p>
    <w:p w:rsidR="00B55027" w:rsidRDefault="00B55027" w:rsidP="00B55027">
      <w:pPr>
        <w:tabs>
          <w:tab w:val="left" w:pos="284"/>
        </w:tabs>
        <w:jc w:val="both"/>
        <w:rPr>
          <w:bCs/>
          <w:sz w:val="22"/>
        </w:rPr>
      </w:pPr>
      <w:r w:rsidRPr="00B55027">
        <w:rPr>
          <w:bCs/>
          <w:sz w:val="22"/>
        </w:rPr>
        <w:t>Οι κυριότερες δράσεις εξοικονόμησης αφορούν σε:</w:t>
      </w:r>
    </w:p>
    <w:p w:rsidR="00EF6822" w:rsidRPr="00B55027" w:rsidRDefault="00EF6822" w:rsidP="00B55027">
      <w:pPr>
        <w:tabs>
          <w:tab w:val="left" w:pos="284"/>
        </w:tabs>
        <w:jc w:val="both"/>
        <w:rPr>
          <w:bCs/>
          <w:sz w:val="22"/>
        </w:rPr>
      </w:pPr>
    </w:p>
    <w:p w:rsidR="00B55027" w:rsidRPr="00EF6822" w:rsidRDefault="00B55027" w:rsidP="00EF6822">
      <w:pPr>
        <w:pStyle w:val="af2"/>
        <w:numPr>
          <w:ilvl w:val="0"/>
          <w:numId w:val="23"/>
        </w:numPr>
        <w:tabs>
          <w:tab w:val="left" w:pos="284"/>
        </w:tabs>
        <w:spacing w:after="0" w:line="240" w:lineRule="auto"/>
        <w:ind w:left="284" w:hanging="284"/>
        <w:jc w:val="both"/>
        <w:rPr>
          <w:rFonts w:ascii="Times New Roman" w:hAnsi="Times New Roman"/>
          <w:bCs/>
        </w:rPr>
      </w:pPr>
      <w:r w:rsidRPr="00EF6822">
        <w:rPr>
          <w:rFonts w:ascii="Times New Roman" w:hAnsi="Times New Roman"/>
          <w:bCs/>
        </w:rPr>
        <w:t xml:space="preserve">μεταστέγαση υπηρεσιών, </w:t>
      </w:r>
    </w:p>
    <w:p w:rsidR="00B55027" w:rsidRPr="00EF6822" w:rsidRDefault="00B55027" w:rsidP="00EF6822">
      <w:pPr>
        <w:pStyle w:val="af2"/>
        <w:numPr>
          <w:ilvl w:val="0"/>
          <w:numId w:val="23"/>
        </w:numPr>
        <w:tabs>
          <w:tab w:val="left" w:pos="284"/>
        </w:tabs>
        <w:spacing w:after="0" w:line="240" w:lineRule="auto"/>
        <w:ind w:left="284" w:hanging="284"/>
        <w:jc w:val="both"/>
        <w:rPr>
          <w:rFonts w:ascii="Times New Roman" w:hAnsi="Times New Roman"/>
          <w:bCs/>
        </w:rPr>
      </w:pPr>
      <w:r w:rsidRPr="00EF6822">
        <w:rPr>
          <w:rFonts w:ascii="Times New Roman" w:hAnsi="Times New Roman"/>
          <w:bCs/>
        </w:rPr>
        <w:t>μεταρρύθμιση του καθεστώτος εξετάσεων αδειών οδήγησης και</w:t>
      </w:r>
    </w:p>
    <w:p w:rsidR="00B55027" w:rsidRPr="00EF6822" w:rsidRDefault="00B55027" w:rsidP="00EF6822">
      <w:pPr>
        <w:pStyle w:val="af2"/>
        <w:numPr>
          <w:ilvl w:val="0"/>
          <w:numId w:val="23"/>
        </w:numPr>
        <w:tabs>
          <w:tab w:val="left" w:pos="284"/>
        </w:tabs>
        <w:spacing w:after="0" w:line="240" w:lineRule="auto"/>
        <w:ind w:left="284" w:hanging="284"/>
        <w:jc w:val="both"/>
        <w:rPr>
          <w:rFonts w:ascii="Times New Roman" w:hAnsi="Times New Roman"/>
          <w:bCs/>
        </w:rPr>
      </w:pPr>
      <w:r w:rsidRPr="00EF6822">
        <w:rPr>
          <w:rFonts w:ascii="Times New Roman" w:hAnsi="Times New Roman"/>
          <w:bCs/>
        </w:rPr>
        <w:t>μείωση λειτουργικών δαπανών κεντρικής διοίκησης και εποπτευόμενων φορέων.</w:t>
      </w:r>
    </w:p>
    <w:p w:rsidR="00B55027" w:rsidRPr="00B55027" w:rsidRDefault="00B55027" w:rsidP="00B55027">
      <w:pPr>
        <w:tabs>
          <w:tab w:val="left" w:pos="284"/>
        </w:tabs>
        <w:jc w:val="both"/>
        <w:rPr>
          <w:b/>
          <w:bCs/>
          <w:sz w:val="22"/>
        </w:rPr>
      </w:pPr>
    </w:p>
    <w:p w:rsidR="00B55027" w:rsidRPr="00B55027" w:rsidRDefault="00B55027" w:rsidP="00B55027">
      <w:pPr>
        <w:tabs>
          <w:tab w:val="left" w:pos="284"/>
        </w:tabs>
        <w:jc w:val="both"/>
        <w:rPr>
          <w:b/>
          <w:bCs/>
          <w:sz w:val="22"/>
        </w:rPr>
      </w:pPr>
      <w:r w:rsidRPr="00B55027">
        <w:rPr>
          <w:b/>
          <w:bCs/>
          <w:sz w:val="22"/>
        </w:rPr>
        <w:t>Επισκόπηση δαπανών έτους 2018</w:t>
      </w:r>
    </w:p>
    <w:p w:rsidR="00EF6822" w:rsidRDefault="00EF6822" w:rsidP="00B55027">
      <w:pPr>
        <w:tabs>
          <w:tab w:val="left" w:pos="284"/>
        </w:tabs>
        <w:jc w:val="both"/>
        <w:rPr>
          <w:bCs/>
          <w:sz w:val="22"/>
        </w:rPr>
      </w:pPr>
    </w:p>
    <w:p w:rsidR="00B55027" w:rsidRDefault="00B55027" w:rsidP="00B55027">
      <w:pPr>
        <w:tabs>
          <w:tab w:val="left" w:pos="284"/>
        </w:tabs>
        <w:jc w:val="both"/>
        <w:rPr>
          <w:bCs/>
          <w:sz w:val="22"/>
        </w:rPr>
      </w:pPr>
      <w:r w:rsidRPr="00B55027">
        <w:rPr>
          <w:bCs/>
          <w:sz w:val="22"/>
        </w:rPr>
        <w:t>Η Διυπουργική Επιτροπή για την επισκόπηση δαπανών, την καταγραφή, κοστολόγηση και αξιολόγηση δράσεων και διαδικασιών του Υπ</w:t>
      </w:r>
      <w:r w:rsidR="00D65893">
        <w:rPr>
          <w:bCs/>
          <w:sz w:val="22"/>
        </w:rPr>
        <w:t>ουργείου</w:t>
      </w:r>
      <w:r w:rsidRPr="00B55027">
        <w:rPr>
          <w:bCs/>
          <w:sz w:val="22"/>
        </w:rPr>
        <w:t xml:space="preserve"> και των εποπτευόμενων αυτού φορέων έδωσε ιδιαίτερη έμφαση κατά τις εργασίες της σε δράσεις για την αποτελεσματικότερη και αποδοτικότερη διαχείριση του τομέα των αστικών συγκοινωνιών. Στόχο αποτέλεσε η επίτευξη, σε μεσοπρόθεσμο ορίζοντα, ενός βελτιωμένου οικονομικού αποτελέσματος των εταιρειών αυτών και η βελτίωση της απεικόνισης των χρηματοοικονομικών ροών τους με το Κράτος. Επιπροσθέτως, εξετάστηκαν οι δυνατότητες εξεύρεσης αποδοτικότερων μεθόδων για την κάλυψη των επιχειρησιακών αναγκών του Υπουργείου στον τομέα των Μεταφορών.</w:t>
      </w:r>
    </w:p>
    <w:p w:rsidR="00EF6822" w:rsidRPr="00B55027" w:rsidRDefault="00EF6822" w:rsidP="00B55027">
      <w:pPr>
        <w:tabs>
          <w:tab w:val="left" w:pos="284"/>
        </w:tabs>
        <w:jc w:val="both"/>
        <w:rPr>
          <w:bCs/>
          <w:sz w:val="22"/>
        </w:rPr>
      </w:pPr>
    </w:p>
    <w:p w:rsidR="00B55027" w:rsidRDefault="00B55027" w:rsidP="00B55027">
      <w:pPr>
        <w:tabs>
          <w:tab w:val="left" w:pos="284"/>
        </w:tabs>
        <w:jc w:val="both"/>
        <w:rPr>
          <w:bCs/>
          <w:sz w:val="22"/>
        </w:rPr>
      </w:pPr>
      <w:r w:rsidRPr="00B55027">
        <w:rPr>
          <w:bCs/>
          <w:sz w:val="22"/>
        </w:rPr>
        <w:t>Ειδικότερα, οι κυριότερες δράσεις είναι οι ακόλουθες:</w:t>
      </w:r>
    </w:p>
    <w:p w:rsidR="00EF6822" w:rsidRPr="00B55027" w:rsidRDefault="00EF6822" w:rsidP="00B55027">
      <w:pPr>
        <w:tabs>
          <w:tab w:val="left" w:pos="284"/>
        </w:tabs>
        <w:jc w:val="both"/>
        <w:rPr>
          <w:bCs/>
          <w:sz w:val="22"/>
        </w:rPr>
      </w:pPr>
    </w:p>
    <w:p w:rsidR="00B55027" w:rsidRPr="00EF6822" w:rsidRDefault="00B55027" w:rsidP="00EF6822">
      <w:pPr>
        <w:pStyle w:val="af2"/>
        <w:numPr>
          <w:ilvl w:val="0"/>
          <w:numId w:val="23"/>
        </w:numPr>
        <w:tabs>
          <w:tab w:val="left" w:pos="284"/>
        </w:tabs>
        <w:spacing w:after="0" w:line="240" w:lineRule="auto"/>
        <w:ind w:left="284" w:hanging="284"/>
        <w:jc w:val="both"/>
        <w:rPr>
          <w:rFonts w:ascii="Times New Roman" w:hAnsi="Times New Roman"/>
          <w:bCs/>
        </w:rPr>
      </w:pPr>
      <w:r w:rsidRPr="00EF6822">
        <w:rPr>
          <w:rFonts w:ascii="Times New Roman" w:hAnsi="Times New Roman"/>
          <w:bCs/>
        </w:rPr>
        <w:t>αύξηση των εσόδων μέσω δράσεων κατά της εισιτηριοδιαφυγής,</w:t>
      </w:r>
    </w:p>
    <w:p w:rsidR="00B55027" w:rsidRPr="00EF6822" w:rsidRDefault="00B55027" w:rsidP="00EF6822">
      <w:pPr>
        <w:pStyle w:val="af2"/>
        <w:numPr>
          <w:ilvl w:val="0"/>
          <w:numId w:val="23"/>
        </w:numPr>
        <w:tabs>
          <w:tab w:val="left" w:pos="284"/>
        </w:tabs>
        <w:spacing w:after="0" w:line="240" w:lineRule="auto"/>
        <w:ind w:left="284" w:hanging="284"/>
        <w:jc w:val="both"/>
        <w:rPr>
          <w:rFonts w:ascii="Times New Roman" w:hAnsi="Times New Roman"/>
          <w:bCs/>
        </w:rPr>
      </w:pPr>
      <w:r w:rsidRPr="00EF6822">
        <w:rPr>
          <w:rFonts w:ascii="Times New Roman" w:hAnsi="Times New Roman"/>
          <w:bCs/>
        </w:rPr>
        <w:t>επανεξέταση των κριτηρίων χορήγησης μειωμένων-δωρεάν μετακινήσεων, προκειμένου οι σχετικές παροχές να κατευθύνονται στις κοινωνικές ομάδες που έχουν μεγαλύτερη ανάγκη αυτών και</w:t>
      </w:r>
    </w:p>
    <w:p w:rsidR="00B55027" w:rsidRPr="00EF6822" w:rsidRDefault="00B55027" w:rsidP="00EF6822">
      <w:pPr>
        <w:pStyle w:val="af2"/>
        <w:numPr>
          <w:ilvl w:val="0"/>
          <w:numId w:val="23"/>
        </w:numPr>
        <w:tabs>
          <w:tab w:val="left" w:pos="284"/>
        </w:tabs>
        <w:spacing w:after="0" w:line="240" w:lineRule="auto"/>
        <w:ind w:left="284" w:hanging="284"/>
        <w:jc w:val="both"/>
        <w:rPr>
          <w:rFonts w:ascii="Times New Roman" w:hAnsi="Times New Roman"/>
          <w:bCs/>
        </w:rPr>
      </w:pPr>
      <w:r w:rsidRPr="00EF6822">
        <w:rPr>
          <w:rFonts w:ascii="Times New Roman" w:hAnsi="Times New Roman"/>
          <w:bCs/>
        </w:rPr>
        <w:t>αξιοποίηση ακίνητης περιουσίας.</w:t>
      </w:r>
    </w:p>
    <w:p w:rsidR="00EF6822" w:rsidRPr="00B55027" w:rsidRDefault="00EF6822" w:rsidP="00EF6822">
      <w:pPr>
        <w:tabs>
          <w:tab w:val="left" w:pos="284"/>
        </w:tabs>
        <w:ind w:left="720"/>
        <w:jc w:val="both"/>
        <w:rPr>
          <w:bCs/>
          <w:sz w:val="22"/>
        </w:rPr>
      </w:pPr>
    </w:p>
    <w:p w:rsidR="00B55027" w:rsidRPr="00B55027" w:rsidRDefault="00B55027" w:rsidP="00B55027">
      <w:pPr>
        <w:tabs>
          <w:tab w:val="left" w:pos="284"/>
        </w:tabs>
        <w:jc w:val="both"/>
        <w:rPr>
          <w:bCs/>
          <w:sz w:val="22"/>
        </w:rPr>
      </w:pPr>
      <w:r w:rsidRPr="00B55027">
        <w:rPr>
          <w:bCs/>
          <w:sz w:val="22"/>
        </w:rPr>
        <w:t>Ακολουθεί η αναλυτική παρουσίαση των δράσεων.</w:t>
      </w:r>
    </w:p>
    <w:p w:rsidR="00B55027" w:rsidRPr="00B55027" w:rsidRDefault="00B55027" w:rsidP="00B55027">
      <w:pPr>
        <w:tabs>
          <w:tab w:val="left" w:pos="284"/>
        </w:tabs>
        <w:jc w:val="both"/>
        <w:rPr>
          <w:bCs/>
          <w:sz w:val="22"/>
        </w:rPr>
      </w:pPr>
    </w:p>
    <w:p w:rsidR="00B55027" w:rsidRPr="00B55027" w:rsidRDefault="00E04C32" w:rsidP="00B55027">
      <w:pPr>
        <w:tabs>
          <w:tab w:val="left" w:pos="284"/>
        </w:tabs>
        <w:jc w:val="both"/>
        <w:rPr>
          <w:b/>
          <w:bCs/>
          <w:i/>
          <w:sz w:val="22"/>
        </w:rPr>
      </w:pPr>
      <w:r>
        <w:rPr>
          <w:b/>
          <w:bCs/>
          <w:i/>
          <w:sz w:val="22"/>
        </w:rPr>
        <w:t>-</w:t>
      </w:r>
      <w:r>
        <w:rPr>
          <w:b/>
          <w:bCs/>
          <w:i/>
          <w:sz w:val="22"/>
        </w:rPr>
        <w:tab/>
      </w:r>
      <w:r w:rsidR="00B55027" w:rsidRPr="00B55027">
        <w:rPr>
          <w:b/>
          <w:bCs/>
          <w:i/>
          <w:sz w:val="22"/>
        </w:rPr>
        <w:t>Αύξηση εσόδων μέσω δράσεων κατά της εισιτηριοδιαφυγής</w:t>
      </w:r>
      <w:bookmarkEnd w:id="11"/>
      <w:bookmarkEnd w:id="12"/>
    </w:p>
    <w:p w:rsidR="00DF67F6" w:rsidRDefault="00DF67F6" w:rsidP="00B55027">
      <w:pPr>
        <w:tabs>
          <w:tab w:val="left" w:pos="284"/>
        </w:tabs>
        <w:jc w:val="both"/>
        <w:rPr>
          <w:bCs/>
          <w:sz w:val="22"/>
        </w:rPr>
      </w:pPr>
    </w:p>
    <w:p w:rsidR="00B55027" w:rsidRPr="00B55027" w:rsidRDefault="00DF67F6" w:rsidP="00DF67F6">
      <w:pPr>
        <w:tabs>
          <w:tab w:val="left" w:pos="284"/>
        </w:tabs>
        <w:ind w:left="284" w:hanging="284"/>
        <w:jc w:val="both"/>
        <w:rPr>
          <w:bCs/>
          <w:sz w:val="22"/>
        </w:rPr>
      </w:pPr>
      <w:r>
        <w:rPr>
          <w:bCs/>
          <w:sz w:val="22"/>
        </w:rPr>
        <w:tab/>
      </w:r>
      <w:r w:rsidR="00B55027" w:rsidRPr="00B55027">
        <w:rPr>
          <w:bCs/>
          <w:sz w:val="22"/>
        </w:rPr>
        <w:t>Στο πλαίσιο της  επισκόπησης δαπανών έτους 2018, διερευνήθηκαν τρόποι βελτίωσης του οικονομικού αποτελέσματος του ΟΑΣΑ, διασφαλίζοντας παράλληλα και την εύρυθμη επιχειρησιακή λειτουργία του Οργανισμού. Για το σκοπό αυτό εξετάστηκαν ενέργειες και δράσεις που συμβάλλουν στη μείωση της εισιτηριοδιαφυγής για την αύξηση των εσόδων του Οργανισμού. Στις ανωτέρω ενέργειες εντάσσεται η πλήρης και έγκαιρη αξιοποίηση του αυτόματου συστήματος για τη διέλευση από τις πύλες του μετρό, σε συνδυασμό και με την εισαγωγή ηλεκτρονικού εισιτηρίου (</w:t>
      </w:r>
      <w:r w:rsidR="00B55027" w:rsidRPr="00B55027">
        <w:rPr>
          <w:bCs/>
          <w:sz w:val="22"/>
          <w:lang w:val="en-US"/>
        </w:rPr>
        <w:t>e</w:t>
      </w:r>
      <w:r w:rsidR="00B55027" w:rsidRPr="00B55027">
        <w:rPr>
          <w:bCs/>
          <w:sz w:val="22"/>
        </w:rPr>
        <w:t>-</w:t>
      </w:r>
      <w:r w:rsidR="00B55027" w:rsidRPr="00B55027">
        <w:rPr>
          <w:bCs/>
          <w:sz w:val="22"/>
          <w:lang w:val="en-US"/>
        </w:rPr>
        <w:t>ticket</w:t>
      </w:r>
      <w:r w:rsidR="00B55027" w:rsidRPr="00B55027">
        <w:rPr>
          <w:bCs/>
          <w:sz w:val="22"/>
        </w:rPr>
        <w:t>) και την εντατικοποίηση των ελέγχων.</w:t>
      </w:r>
    </w:p>
    <w:p w:rsidR="00DF67F6" w:rsidRDefault="00DF67F6" w:rsidP="00B55027">
      <w:pPr>
        <w:tabs>
          <w:tab w:val="left" w:pos="284"/>
        </w:tabs>
        <w:jc w:val="both"/>
        <w:rPr>
          <w:bCs/>
          <w:sz w:val="22"/>
        </w:rPr>
      </w:pPr>
    </w:p>
    <w:p w:rsidR="00B55027" w:rsidRPr="00B55027" w:rsidRDefault="00DF67F6" w:rsidP="00DF67F6">
      <w:pPr>
        <w:tabs>
          <w:tab w:val="left" w:pos="284"/>
        </w:tabs>
        <w:ind w:left="284" w:hanging="284"/>
        <w:jc w:val="both"/>
        <w:rPr>
          <w:bCs/>
          <w:sz w:val="22"/>
        </w:rPr>
      </w:pPr>
      <w:r>
        <w:rPr>
          <w:bCs/>
          <w:sz w:val="22"/>
        </w:rPr>
        <w:tab/>
      </w:r>
      <w:r w:rsidR="00B55027" w:rsidRPr="00B55027">
        <w:rPr>
          <w:bCs/>
          <w:sz w:val="22"/>
        </w:rPr>
        <w:t>Οι δράσεις αυτές προβλέπεται να συνεισφέρουν πρόσθετα έσοδα 16,4 εκατ. ευρώ κατά το έτος 2019, σε σχέση με το 2018.</w:t>
      </w:r>
    </w:p>
    <w:p w:rsidR="00B55027" w:rsidRPr="00B55027" w:rsidRDefault="00B55027" w:rsidP="00B55027">
      <w:pPr>
        <w:tabs>
          <w:tab w:val="left" w:pos="284"/>
        </w:tabs>
        <w:jc w:val="both"/>
        <w:rPr>
          <w:bCs/>
          <w:sz w:val="22"/>
        </w:rPr>
      </w:pPr>
    </w:p>
    <w:p w:rsidR="00B55027" w:rsidRPr="00B55027" w:rsidRDefault="00DF67F6" w:rsidP="00DF67F6">
      <w:pPr>
        <w:tabs>
          <w:tab w:val="left" w:pos="284"/>
        </w:tabs>
        <w:ind w:left="284" w:hanging="284"/>
        <w:jc w:val="both"/>
        <w:rPr>
          <w:b/>
          <w:bCs/>
          <w:i/>
          <w:sz w:val="22"/>
        </w:rPr>
      </w:pPr>
      <w:bookmarkStart w:id="13" w:name="_Toc520270115"/>
      <w:bookmarkStart w:id="14" w:name="_Toc523832461"/>
      <w:r>
        <w:rPr>
          <w:b/>
          <w:bCs/>
          <w:i/>
          <w:sz w:val="22"/>
        </w:rPr>
        <w:t>-</w:t>
      </w:r>
      <w:r>
        <w:rPr>
          <w:b/>
          <w:bCs/>
          <w:i/>
          <w:sz w:val="22"/>
        </w:rPr>
        <w:tab/>
      </w:r>
      <w:r w:rsidR="00B55027" w:rsidRPr="00B55027">
        <w:rPr>
          <w:b/>
          <w:bCs/>
          <w:i/>
          <w:sz w:val="22"/>
        </w:rPr>
        <w:t>Επανεξέταση των κριτηρίων χορήγησης μειωμένων-δωρεάν μετακινήσεων, προκειμένου οι σχετικές παροχές να κατευθύνονται στις κοινωνικές ομάδες που έχουν μεγαλύτερη ανάγκη αυτών</w:t>
      </w:r>
      <w:bookmarkEnd w:id="13"/>
      <w:bookmarkEnd w:id="14"/>
    </w:p>
    <w:p w:rsidR="00DF67F6" w:rsidRDefault="00DF67F6" w:rsidP="00B55027">
      <w:pPr>
        <w:tabs>
          <w:tab w:val="left" w:pos="284"/>
        </w:tabs>
        <w:jc w:val="both"/>
        <w:rPr>
          <w:bCs/>
          <w:sz w:val="22"/>
        </w:rPr>
      </w:pPr>
    </w:p>
    <w:p w:rsidR="00B55027" w:rsidRPr="00B55027" w:rsidRDefault="00DF67F6" w:rsidP="00DF67F6">
      <w:pPr>
        <w:tabs>
          <w:tab w:val="left" w:pos="284"/>
        </w:tabs>
        <w:ind w:left="284" w:hanging="284"/>
        <w:jc w:val="both"/>
        <w:rPr>
          <w:bCs/>
          <w:sz w:val="22"/>
        </w:rPr>
      </w:pPr>
      <w:r>
        <w:rPr>
          <w:bCs/>
          <w:sz w:val="22"/>
        </w:rPr>
        <w:tab/>
      </w:r>
      <w:r w:rsidR="00B55027" w:rsidRPr="00B55027">
        <w:rPr>
          <w:bCs/>
          <w:sz w:val="22"/>
        </w:rPr>
        <w:t xml:space="preserve">Οι υφιστάμενες πολιτικές για τη χορήγηση μειωμένων-δωρεάν μετακινήσεων αφορούν, σύμφωνα με εκτιμήσεις του ΟΑΣΑ, ποσοστό μεγαλύτερο από το ήμισυ του συνόλου των μετακινούμενων. Για λόγους εξορθολογισμού και δικαιότερης κατανομής των ανωτέρω παροχών, κρίθηκε σκόπιμο να επανεξεταστούν οι σχετικές παροχές, λαμβάνοντας υπόψη και πρόσθετα κριτήρια, με στόχο πάντα την προστασία των ευαίσθητων κοινωνικά ομάδων. </w:t>
      </w:r>
    </w:p>
    <w:p w:rsidR="00B55027" w:rsidRDefault="00B55027" w:rsidP="00B55027">
      <w:pPr>
        <w:tabs>
          <w:tab w:val="left" w:pos="284"/>
        </w:tabs>
        <w:jc w:val="both"/>
        <w:rPr>
          <w:bCs/>
          <w:sz w:val="22"/>
        </w:rPr>
      </w:pPr>
    </w:p>
    <w:p w:rsidR="00935802" w:rsidRPr="00B55027" w:rsidRDefault="00935802" w:rsidP="00B55027">
      <w:pPr>
        <w:tabs>
          <w:tab w:val="left" w:pos="284"/>
        </w:tabs>
        <w:jc w:val="both"/>
        <w:rPr>
          <w:bCs/>
          <w:sz w:val="22"/>
        </w:rPr>
      </w:pPr>
    </w:p>
    <w:p w:rsidR="00B55027" w:rsidRPr="00B55027" w:rsidRDefault="00DF67F6" w:rsidP="00B55027">
      <w:pPr>
        <w:tabs>
          <w:tab w:val="left" w:pos="284"/>
        </w:tabs>
        <w:jc w:val="both"/>
        <w:rPr>
          <w:b/>
          <w:bCs/>
          <w:i/>
          <w:sz w:val="22"/>
        </w:rPr>
      </w:pPr>
      <w:bookmarkStart w:id="15" w:name="_Toc520270117"/>
      <w:bookmarkStart w:id="16" w:name="_Toc523832463"/>
      <w:r>
        <w:rPr>
          <w:b/>
          <w:bCs/>
          <w:i/>
          <w:sz w:val="22"/>
        </w:rPr>
        <w:t>-</w:t>
      </w:r>
      <w:r>
        <w:rPr>
          <w:b/>
          <w:bCs/>
          <w:i/>
          <w:sz w:val="22"/>
        </w:rPr>
        <w:tab/>
      </w:r>
      <w:r w:rsidR="00B55027" w:rsidRPr="00B55027">
        <w:rPr>
          <w:b/>
          <w:bCs/>
          <w:i/>
          <w:sz w:val="22"/>
        </w:rPr>
        <w:t>Αξιοποίηση ακίνητης περιουσίας - μισθώματα</w:t>
      </w:r>
      <w:bookmarkEnd w:id="15"/>
      <w:bookmarkEnd w:id="16"/>
    </w:p>
    <w:p w:rsidR="00DF67F6" w:rsidRDefault="00DF67F6" w:rsidP="00B55027">
      <w:pPr>
        <w:tabs>
          <w:tab w:val="left" w:pos="284"/>
        </w:tabs>
        <w:jc w:val="both"/>
        <w:rPr>
          <w:bCs/>
          <w:sz w:val="22"/>
        </w:rPr>
      </w:pPr>
    </w:p>
    <w:p w:rsidR="00B55027" w:rsidRPr="00B55027" w:rsidRDefault="00DF67F6" w:rsidP="00DF67F6">
      <w:pPr>
        <w:tabs>
          <w:tab w:val="left" w:pos="284"/>
        </w:tabs>
        <w:ind w:left="284" w:hanging="284"/>
        <w:jc w:val="both"/>
        <w:rPr>
          <w:bCs/>
          <w:sz w:val="22"/>
        </w:rPr>
      </w:pPr>
      <w:r>
        <w:rPr>
          <w:bCs/>
          <w:sz w:val="22"/>
        </w:rPr>
        <w:tab/>
      </w:r>
      <w:r w:rsidR="00B55027" w:rsidRPr="00B55027">
        <w:rPr>
          <w:bCs/>
          <w:sz w:val="22"/>
        </w:rPr>
        <w:t>Η συγκεκριμένη δράση στοχεύει στην εξέταση της δυνατότητας περαιτέρω αξιοποίησης της ακίνητης περιουσίας του Υπουργείου και των εποπτευόμενων από αυτό φορέων. Για το σκοπό αυτό, αποφασίστηκε η αναλυτική καταγραφή στοιχείων τόσο των ακινήτων ιδιοκτησίας αυτών, όσο και κτιρίων που στεγάζονται οι ανωτέρω φορείς και δεν τους ανήκουν. Θα ακολουθήσει η επεξεργασία τους και η κατάρτιση συνολικής πρότασης για τη βέλτιστη αξιοποίηση αυτών, λαμβάνοντας υπόψη και τις ιδιαίτερες ανάγκες που θα πρέπει να εξυπηρετηθούν.</w:t>
      </w:r>
    </w:p>
    <w:p w:rsidR="00B55027" w:rsidRPr="00B55027" w:rsidRDefault="00B55027" w:rsidP="00B55027">
      <w:pPr>
        <w:tabs>
          <w:tab w:val="left" w:pos="284"/>
        </w:tabs>
        <w:jc w:val="both"/>
        <w:rPr>
          <w:bCs/>
          <w:sz w:val="22"/>
        </w:rPr>
      </w:pPr>
    </w:p>
    <w:p w:rsidR="00B55027" w:rsidRPr="001446A7" w:rsidRDefault="00B55027" w:rsidP="00B55027">
      <w:pPr>
        <w:tabs>
          <w:tab w:val="left" w:pos="284"/>
        </w:tabs>
        <w:jc w:val="both"/>
        <w:rPr>
          <w:rFonts w:ascii="Arial Narrow" w:hAnsi="Arial Narrow"/>
          <w:b/>
          <w:color w:val="000080"/>
          <w:szCs w:val="22"/>
        </w:rPr>
      </w:pPr>
      <w:r w:rsidRPr="001446A7">
        <w:rPr>
          <w:rFonts w:ascii="Arial Narrow" w:hAnsi="Arial Narrow"/>
          <w:b/>
          <w:color w:val="000080"/>
          <w:szCs w:val="22"/>
        </w:rPr>
        <w:t>Μετάβαση σε προϋπολογισμό επιδόσεων  (performance budgeting)</w:t>
      </w:r>
    </w:p>
    <w:p w:rsidR="00B55027" w:rsidRPr="00B55027" w:rsidRDefault="00B55027" w:rsidP="00B55027">
      <w:pPr>
        <w:tabs>
          <w:tab w:val="left" w:pos="284"/>
        </w:tabs>
        <w:jc w:val="both"/>
        <w:rPr>
          <w:b/>
          <w:bCs/>
          <w:sz w:val="22"/>
        </w:rPr>
      </w:pPr>
    </w:p>
    <w:p w:rsidR="00B55027" w:rsidRPr="00B55027" w:rsidRDefault="00B55027" w:rsidP="00B55027">
      <w:pPr>
        <w:tabs>
          <w:tab w:val="left" w:pos="284"/>
        </w:tabs>
        <w:jc w:val="both"/>
        <w:rPr>
          <w:bCs/>
          <w:sz w:val="22"/>
        </w:rPr>
      </w:pPr>
      <w:r w:rsidRPr="00B55027">
        <w:rPr>
          <w:bCs/>
          <w:sz w:val="22"/>
        </w:rPr>
        <w:t xml:space="preserve">Οι επισκοπήσεις δαπανών αποτελούν ένα από τα εργαλεία του σύγχρονου δημοσιονομικού περιβάλλοντος των προϋπολογισμών επιδόσεων. Με την έξοδο της χώρας από </w:t>
      </w:r>
      <w:r w:rsidR="00B62393">
        <w:rPr>
          <w:bCs/>
          <w:sz w:val="22"/>
        </w:rPr>
        <w:t>το πρόγραμμα προσαρμογής</w:t>
      </w:r>
      <w:r w:rsidRPr="00B55027">
        <w:rPr>
          <w:bCs/>
          <w:sz w:val="22"/>
        </w:rPr>
        <w:t>, η αλλαγή στη φιλοσοφία της δημοσιονομικής διαχείρισης αποτελεί βασική προτεραιότητα και μονόδρομο στην κατεύθυνση της δημοσιονομικής εξυγίανσης. Με τη μεταρρύθμιση του υφιστάμενου συστήματος προϋπολογισμού από το Υπουργείο Οικονομικών, επιδιώκεται, πέραν των απαντήσεων στα ερωτήματα «ποιος» και «πόσο» ξοδεύει, να μπορεί πλέον να δοθεί και απάντηση στο ερώτημα «γιατί» δαπανώνται οι δημόσιοι πόροι, ποιες δράσεις χρηματοδοτούν και με ποιο αποτέλεσμα. Η μέτρηση και παρακολούθηση του βαθμού επίτευξης του επιδιωκόμενου αποτελέσματος των κυβερνητικών δράσεων ενισχύει σημαντικά τη διαφάνεια και υποστηρίζει τη διαδικασία λήψης αποφάσεων κατανομής των πόρων και τον ανασχεδιασμό αναποτελεσματικών κρατικών λειτουργιών.</w:t>
      </w:r>
    </w:p>
    <w:p w:rsidR="00B55027" w:rsidRPr="00B55027" w:rsidRDefault="00B55027" w:rsidP="00B55027">
      <w:pPr>
        <w:tabs>
          <w:tab w:val="left" w:pos="284"/>
        </w:tabs>
        <w:jc w:val="both"/>
        <w:rPr>
          <w:bCs/>
          <w:sz w:val="22"/>
        </w:rPr>
      </w:pPr>
    </w:p>
    <w:p w:rsidR="00B55027" w:rsidRDefault="00B55027" w:rsidP="00B55027">
      <w:pPr>
        <w:tabs>
          <w:tab w:val="left" w:pos="284"/>
        </w:tabs>
        <w:jc w:val="both"/>
        <w:rPr>
          <w:bCs/>
          <w:sz w:val="22"/>
        </w:rPr>
      </w:pPr>
      <w:r w:rsidRPr="00B55027">
        <w:rPr>
          <w:bCs/>
          <w:sz w:val="22"/>
        </w:rPr>
        <w:t xml:space="preserve">Η αλλαγή του συστήματος κατάρτισης, εκτέλεσης και παρακολούθησης του κρατικού προϋπολογισμού αποτελεί </w:t>
      </w:r>
      <w:r w:rsidR="00935802">
        <w:rPr>
          <w:bCs/>
          <w:sz w:val="22"/>
        </w:rPr>
        <w:t xml:space="preserve">σημαντική </w:t>
      </w:r>
      <w:r w:rsidRPr="00B55027">
        <w:rPr>
          <w:bCs/>
          <w:sz w:val="22"/>
        </w:rPr>
        <w:t>μεταρρ</w:t>
      </w:r>
      <w:r w:rsidR="00935802">
        <w:rPr>
          <w:bCs/>
          <w:sz w:val="22"/>
        </w:rPr>
        <w:t>ύθμιση</w:t>
      </w:r>
      <w:r w:rsidRPr="00B55027">
        <w:rPr>
          <w:bCs/>
          <w:sz w:val="22"/>
        </w:rPr>
        <w:t xml:space="preserve"> στη δημοσιονομική διαχείριση και σχεδιάζεται να υλοποιηθεί σε δύο στάδια, σε βάθος πενταετίας, ως εξής:</w:t>
      </w:r>
    </w:p>
    <w:p w:rsidR="00B55027" w:rsidRPr="00B55027" w:rsidRDefault="00B55027" w:rsidP="00FC4122">
      <w:pPr>
        <w:tabs>
          <w:tab w:val="left" w:pos="284"/>
        </w:tabs>
        <w:jc w:val="center"/>
        <w:rPr>
          <w:bCs/>
          <w:sz w:val="22"/>
        </w:rPr>
      </w:pPr>
    </w:p>
    <w:p w:rsidR="00F65071" w:rsidRDefault="00F65071" w:rsidP="00B55027">
      <w:pPr>
        <w:tabs>
          <w:tab w:val="left" w:pos="284"/>
        </w:tabs>
        <w:jc w:val="both"/>
        <w:rPr>
          <w:rFonts w:ascii="Arial Narrow" w:hAnsi="Arial Narrow"/>
          <w:b/>
          <w:color w:val="000080"/>
          <w:szCs w:val="22"/>
        </w:rPr>
      </w:pPr>
      <w:r>
        <w:rPr>
          <w:bCs/>
          <w:noProof/>
          <w:sz w:val="22"/>
        </w:rPr>
        <w:drawing>
          <wp:anchor distT="0" distB="0" distL="114300" distR="114300" simplePos="0" relativeHeight="251660288" behindDoc="0" locked="0" layoutInCell="1" allowOverlap="1">
            <wp:simplePos x="0" y="0"/>
            <wp:positionH relativeFrom="column">
              <wp:posOffset>17774</wp:posOffset>
            </wp:positionH>
            <wp:positionV relativeFrom="paragraph">
              <wp:posOffset>-1130</wp:posOffset>
            </wp:positionV>
            <wp:extent cx="5454709" cy="2102699"/>
            <wp:effectExtent l="19050" t="0" r="0" b="0"/>
            <wp:wrapTopAndBottom/>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54709" cy="2102699"/>
                    </a:xfrm>
                    <a:prstGeom prst="rect">
                      <a:avLst/>
                    </a:prstGeom>
                    <a:noFill/>
                  </pic:spPr>
                </pic:pic>
              </a:graphicData>
            </a:graphic>
          </wp:anchor>
        </w:drawing>
      </w:r>
    </w:p>
    <w:p w:rsidR="00B55027" w:rsidRPr="003266B4" w:rsidRDefault="00B55027" w:rsidP="00B55027">
      <w:pPr>
        <w:tabs>
          <w:tab w:val="left" w:pos="284"/>
        </w:tabs>
        <w:jc w:val="both"/>
        <w:rPr>
          <w:rFonts w:ascii="Arial Narrow" w:hAnsi="Arial Narrow"/>
          <w:b/>
          <w:color w:val="000080"/>
          <w:szCs w:val="22"/>
        </w:rPr>
      </w:pPr>
      <w:r w:rsidRPr="003266B4">
        <w:rPr>
          <w:rFonts w:ascii="Arial Narrow" w:hAnsi="Arial Narrow"/>
          <w:b/>
          <w:color w:val="000080"/>
          <w:szCs w:val="22"/>
        </w:rPr>
        <w:t>Παρουσίαση βάσει προγραμμάτων και εισαγωγή δεικτών αξιολόγησης του αποτελέσματος των πολιτικών επισκόπησης δαπανών έτους 2018</w:t>
      </w:r>
    </w:p>
    <w:p w:rsidR="00B55027" w:rsidRPr="00B55027" w:rsidRDefault="00B55027" w:rsidP="00B55027">
      <w:pPr>
        <w:tabs>
          <w:tab w:val="left" w:pos="284"/>
        </w:tabs>
        <w:jc w:val="both"/>
        <w:rPr>
          <w:bCs/>
          <w:sz w:val="22"/>
        </w:rPr>
      </w:pPr>
    </w:p>
    <w:p w:rsidR="00B55027" w:rsidRDefault="00B55027" w:rsidP="00B55027">
      <w:pPr>
        <w:tabs>
          <w:tab w:val="left" w:pos="284"/>
        </w:tabs>
        <w:jc w:val="both"/>
        <w:rPr>
          <w:bCs/>
          <w:sz w:val="22"/>
        </w:rPr>
      </w:pPr>
      <w:r w:rsidRPr="00B55027">
        <w:rPr>
          <w:bCs/>
          <w:sz w:val="22"/>
        </w:rPr>
        <w:t xml:space="preserve">Στο πλαίσιο αυτό και σύμφωνα και με τα προβλεπόμενα στο π.δ.54/2018, αναφορικά με το λογιστικό σχέδιο της Γενικής Κυβέρνησης, για τους τομείς των πιλοτικών υπουργείων που εξετάστηκαν στο πλαίσιο της επισκόπησης του τρέχοντος έτους, επιχειρήθηκε μια πρώτη προσέγγιση αποτύπωσης του προϋπολογισμού τους με λειτουργική ταξινόμηση, με τις εξής δύο βασικές παραδοχές: </w:t>
      </w:r>
    </w:p>
    <w:p w:rsidR="003266B4" w:rsidRPr="00B55027" w:rsidRDefault="003266B4" w:rsidP="00B55027">
      <w:pPr>
        <w:tabs>
          <w:tab w:val="left" w:pos="284"/>
        </w:tabs>
        <w:jc w:val="both"/>
        <w:rPr>
          <w:bCs/>
          <w:sz w:val="22"/>
        </w:rPr>
      </w:pPr>
    </w:p>
    <w:p w:rsidR="00B55027" w:rsidRPr="003266B4" w:rsidRDefault="00B55027" w:rsidP="003266B4">
      <w:pPr>
        <w:pStyle w:val="af2"/>
        <w:numPr>
          <w:ilvl w:val="0"/>
          <w:numId w:val="23"/>
        </w:numPr>
        <w:tabs>
          <w:tab w:val="left" w:pos="284"/>
        </w:tabs>
        <w:spacing w:after="0" w:line="240" w:lineRule="auto"/>
        <w:ind w:left="284" w:hanging="284"/>
        <w:jc w:val="both"/>
        <w:rPr>
          <w:rFonts w:ascii="Times New Roman" w:hAnsi="Times New Roman"/>
          <w:bCs/>
        </w:rPr>
      </w:pPr>
      <w:r w:rsidRPr="003266B4">
        <w:rPr>
          <w:rFonts w:ascii="Times New Roman" w:hAnsi="Times New Roman"/>
          <w:bCs/>
        </w:rPr>
        <w:t xml:space="preserve">ως πρώτο επίπεδο ταξινόμησης, ορίστηκε ο πρώτος βαθμός του Διεθνούς Προτύπου Ταξινόμησης των Κυβερνητικών Λειτουργιών COFOG (Classification Of the Functions Of Government), </w:t>
      </w:r>
    </w:p>
    <w:p w:rsidR="00B55027" w:rsidRPr="003266B4" w:rsidRDefault="00B55027" w:rsidP="003266B4">
      <w:pPr>
        <w:pStyle w:val="af2"/>
        <w:numPr>
          <w:ilvl w:val="0"/>
          <w:numId w:val="23"/>
        </w:numPr>
        <w:tabs>
          <w:tab w:val="left" w:pos="284"/>
        </w:tabs>
        <w:spacing w:after="0" w:line="240" w:lineRule="auto"/>
        <w:ind w:left="284" w:hanging="284"/>
        <w:jc w:val="both"/>
        <w:rPr>
          <w:rFonts w:ascii="Times New Roman" w:hAnsi="Times New Roman"/>
          <w:bCs/>
        </w:rPr>
      </w:pPr>
      <w:r w:rsidRPr="003266B4">
        <w:rPr>
          <w:rFonts w:ascii="Times New Roman" w:hAnsi="Times New Roman"/>
          <w:bCs/>
        </w:rPr>
        <w:t xml:space="preserve">ως δεύτερο επίπεδο, καταρτίστηκαν προγράμματα που υλοποιούνται/χρηματοδοτούνται από τα υπουργεία, με τους περιορισμούς, σε αυτό το στάδιο, της υφιστάμενης διοικητικής και οικονομικής ταξινόμησης. Στόχος είναι, με την πλήρη ανάπτυξη του λογιστικού σχεδίου και τη βελτίωση της παρεχόμενης πληροφόρησης να βελτιωθεί και η ανάπτυξη των προγραμμάτων. </w:t>
      </w:r>
    </w:p>
    <w:p w:rsidR="003266B4" w:rsidRPr="003266B4" w:rsidRDefault="003266B4" w:rsidP="003266B4">
      <w:pPr>
        <w:pStyle w:val="af2"/>
        <w:tabs>
          <w:tab w:val="left" w:pos="284"/>
        </w:tabs>
        <w:spacing w:after="0" w:line="240" w:lineRule="auto"/>
        <w:ind w:left="284"/>
        <w:jc w:val="both"/>
        <w:rPr>
          <w:rFonts w:ascii="Times New Roman" w:hAnsi="Times New Roman"/>
          <w:bCs/>
        </w:rPr>
      </w:pPr>
    </w:p>
    <w:p w:rsidR="00B55027" w:rsidRPr="00B55027" w:rsidRDefault="00B55027" w:rsidP="00B55027">
      <w:pPr>
        <w:tabs>
          <w:tab w:val="left" w:pos="284"/>
        </w:tabs>
        <w:jc w:val="both"/>
        <w:rPr>
          <w:bCs/>
          <w:sz w:val="22"/>
        </w:rPr>
      </w:pPr>
      <w:r w:rsidRPr="00B55027">
        <w:rPr>
          <w:bCs/>
          <w:sz w:val="22"/>
        </w:rPr>
        <w:t xml:space="preserve">Περαιτέρω, στην επισκόπηση δαπανών περιόδου 2018, ενσωματώθηκαν για πρώτη φορά και στοιχεία δεικτών παρακολούθησης της πορείας υλοποίησης των δράσεων, συνοδευόμενα από τιμή-στόχο για το πρώτο έτος της υλοποίησης κάθε δράσης. Κύρια συνιστώσα της ανωτέρω προσπάθειας αποτελεί, η παρακολούθηση της πορείας των δεικτών, του βαθμού υλοποίησης των δράσεων αλλά και τυχόν αποκλίσεων, ώστε να λαμβάνονται έγκαιρα τα κατάλληλα διορθωτικά μέτρα. </w:t>
      </w:r>
    </w:p>
    <w:p w:rsidR="00B55027" w:rsidRPr="00B55027" w:rsidRDefault="00B55027" w:rsidP="00B55027">
      <w:pPr>
        <w:tabs>
          <w:tab w:val="left" w:pos="284"/>
        </w:tabs>
        <w:jc w:val="both"/>
        <w:rPr>
          <w:bCs/>
          <w:sz w:val="22"/>
        </w:rPr>
      </w:pPr>
    </w:p>
    <w:p w:rsidR="00B55027" w:rsidRDefault="00B55027" w:rsidP="00B55027">
      <w:pPr>
        <w:tabs>
          <w:tab w:val="left" w:pos="284"/>
        </w:tabs>
        <w:jc w:val="both"/>
        <w:rPr>
          <w:rFonts w:ascii="Arial Narrow" w:hAnsi="Arial Narrow"/>
          <w:b/>
          <w:bCs/>
          <w:sz w:val="22"/>
        </w:rPr>
      </w:pPr>
      <w:r w:rsidRPr="003266B4">
        <w:rPr>
          <w:rFonts w:ascii="Arial Narrow" w:hAnsi="Arial Narrow"/>
          <w:b/>
          <w:bCs/>
          <w:sz w:val="22"/>
        </w:rPr>
        <w:t>Υπουργείο Υγείας</w:t>
      </w:r>
    </w:p>
    <w:p w:rsidR="00084BD6" w:rsidRDefault="00084BD6" w:rsidP="00B55027">
      <w:pPr>
        <w:tabs>
          <w:tab w:val="left" w:pos="284"/>
        </w:tabs>
        <w:jc w:val="both"/>
        <w:rPr>
          <w:rFonts w:ascii="Arial Narrow" w:hAnsi="Arial Narrow"/>
          <w:b/>
          <w:bCs/>
          <w:sz w:val="22"/>
        </w:rPr>
      </w:pPr>
    </w:p>
    <w:p w:rsidR="0021236B" w:rsidRPr="003266B4" w:rsidRDefault="00084BD6" w:rsidP="00084BD6">
      <w:pPr>
        <w:tabs>
          <w:tab w:val="left" w:pos="284"/>
        </w:tabs>
        <w:jc w:val="center"/>
        <w:rPr>
          <w:rFonts w:ascii="Arial Narrow" w:hAnsi="Arial Narrow"/>
          <w:b/>
          <w:bCs/>
          <w:sz w:val="22"/>
        </w:rPr>
      </w:pPr>
      <w:r>
        <w:rPr>
          <w:rFonts w:ascii="Arial Narrow" w:hAnsi="Arial Narrow"/>
          <w:b/>
          <w:bCs/>
          <w:sz w:val="22"/>
        </w:rPr>
        <w:t xml:space="preserve">Διάγραμμα </w:t>
      </w:r>
      <w:r w:rsidR="001528EA" w:rsidRPr="001528EA">
        <w:rPr>
          <w:rFonts w:ascii="Arial Narrow" w:hAnsi="Arial Narrow"/>
          <w:b/>
          <w:bCs/>
          <w:sz w:val="22"/>
        </w:rPr>
        <w:t>3.2</w:t>
      </w:r>
      <w:r>
        <w:rPr>
          <w:rFonts w:ascii="Arial Narrow" w:hAnsi="Arial Narrow"/>
          <w:b/>
          <w:bCs/>
          <w:sz w:val="22"/>
        </w:rPr>
        <w:t xml:space="preserve"> Ταξινόμηση λειτουργιών του Υπουργείου Υγείας</w:t>
      </w:r>
    </w:p>
    <w:p w:rsidR="00B55027" w:rsidRPr="00B55027" w:rsidRDefault="00B55027" w:rsidP="00B55027">
      <w:pPr>
        <w:tabs>
          <w:tab w:val="left" w:pos="284"/>
        </w:tabs>
        <w:jc w:val="both"/>
        <w:rPr>
          <w:bCs/>
          <w:sz w:val="22"/>
        </w:rPr>
      </w:pPr>
      <w:r w:rsidRPr="00B55027">
        <w:rPr>
          <w:bCs/>
          <w:noProof/>
          <w:sz w:val="22"/>
        </w:rPr>
        <w:drawing>
          <wp:inline distT="0" distB="0" distL="0" distR="0">
            <wp:extent cx="5460526" cy="2681785"/>
            <wp:effectExtent l="19050" t="0" r="25874" b="0"/>
            <wp:docPr id="7" name="Διάγραμμα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55027" w:rsidRPr="00B55027" w:rsidRDefault="00B55027" w:rsidP="00B55027">
      <w:pPr>
        <w:tabs>
          <w:tab w:val="left" w:pos="284"/>
        </w:tabs>
        <w:jc w:val="both"/>
        <w:rPr>
          <w:bCs/>
          <w:sz w:val="22"/>
        </w:rPr>
      </w:pPr>
    </w:p>
    <w:p w:rsidR="00B55027" w:rsidRPr="00B55027" w:rsidRDefault="00B55027" w:rsidP="00B55027">
      <w:pPr>
        <w:tabs>
          <w:tab w:val="left" w:pos="284"/>
        </w:tabs>
        <w:jc w:val="both"/>
        <w:rPr>
          <w:bCs/>
          <w:sz w:val="22"/>
        </w:rPr>
      </w:pPr>
      <w:r w:rsidRPr="00B55027">
        <w:rPr>
          <w:bCs/>
          <w:sz w:val="22"/>
        </w:rPr>
        <w:t xml:space="preserve">Για την παρακολούθηση της υλοποίησης των νέων δράσεων 2018 τίθενται πιλοτικά δείκτες, οι οποίοι έχουν ως εξής: </w:t>
      </w:r>
    </w:p>
    <w:p w:rsidR="00B55027" w:rsidRPr="00B55027" w:rsidRDefault="00B55027" w:rsidP="00B55027">
      <w:pPr>
        <w:tabs>
          <w:tab w:val="left" w:pos="284"/>
        </w:tabs>
        <w:jc w:val="both"/>
        <w:rPr>
          <w:bCs/>
          <w:sz w:val="22"/>
        </w:rPr>
      </w:pPr>
    </w:p>
    <w:tbl>
      <w:tblPr>
        <w:tblStyle w:val="2-2"/>
        <w:tblW w:w="4907" w:type="pct"/>
        <w:tblInd w:w="10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shd w:val="clear" w:color="auto" w:fill="D9D9D9" w:themeFill="background1" w:themeFillShade="D9"/>
        <w:tblLayout w:type="fixed"/>
        <w:tblLook w:val="04A0"/>
      </w:tblPr>
      <w:tblGrid>
        <w:gridCol w:w="1567"/>
        <w:gridCol w:w="2603"/>
        <w:gridCol w:w="2472"/>
        <w:gridCol w:w="2472"/>
      </w:tblGrid>
      <w:tr w:rsidR="00B55027" w:rsidRPr="0000202D" w:rsidTr="0000202D">
        <w:trPr>
          <w:cnfStyle w:val="100000000000"/>
          <w:trHeight w:val="430"/>
        </w:trPr>
        <w:tc>
          <w:tcPr>
            <w:cnfStyle w:val="001000000100"/>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037BA2">
            <w:pPr>
              <w:tabs>
                <w:tab w:val="left" w:pos="284"/>
              </w:tabs>
              <w:jc w:val="center"/>
              <w:rPr>
                <w:rFonts w:ascii="Arial Narrow" w:hAnsi="Arial Narrow"/>
                <w:color w:val="auto"/>
                <w:sz w:val="16"/>
                <w:szCs w:val="16"/>
              </w:rPr>
            </w:pPr>
            <w:r w:rsidRPr="0000202D">
              <w:rPr>
                <w:rFonts w:ascii="Arial Narrow" w:hAnsi="Arial Narrow"/>
                <w:color w:val="auto"/>
                <w:sz w:val="16"/>
                <w:szCs w:val="16"/>
              </w:rPr>
              <w:t>α/α δείκτη μέτρησης:</w:t>
            </w:r>
          </w:p>
        </w:tc>
        <w:tc>
          <w:tcPr>
            <w:tcW w:w="14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00202D">
            <w:pPr>
              <w:tabs>
                <w:tab w:val="left" w:pos="284"/>
              </w:tabs>
              <w:jc w:val="center"/>
              <w:cnfStyle w:val="100000000000"/>
              <w:rPr>
                <w:rFonts w:ascii="Arial Narrow" w:hAnsi="Arial Narrow"/>
                <w:color w:val="auto"/>
                <w:sz w:val="16"/>
                <w:szCs w:val="16"/>
              </w:rPr>
            </w:pPr>
            <w:r w:rsidRPr="0000202D">
              <w:rPr>
                <w:rFonts w:ascii="Arial Narrow" w:hAnsi="Arial Narrow"/>
                <w:color w:val="auto"/>
                <w:sz w:val="16"/>
                <w:szCs w:val="16"/>
              </w:rPr>
              <w:t>1</w:t>
            </w:r>
          </w:p>
        </w:tc>
        <w:tc>
          <w:tcPr>
            <w:tcW w:w="1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00202D">
            <w:pPr>
              <w:tabs>
                <w:tab w:val="left" w:pos="284"/>
              </w:tabs>
              <w:jc w:val="center"/>
              <w:cnfStyle w:val="100000000000"/>
              <w:rPr>
                <w:rFonts w:ascii="Arial Narrow" w:hAnsi="Arial Narrow"/>
                <w:color w:val="auto"/>
                <w:sz w:val="16"/>
                <w:szCs w:val="16"/>
              </w:rPr>
            </w:pPr>
            <w:r w:rsidRPr="0000202D">
              <w:rPr>
                <w:rFonts w:ascii="Arial Narrow" w:hAnsi="Arial Narrow"/>
                <w:color w:val="auto"/>
                <w:sz w:val="16"/>
                <w:szCs w:val="16"/>
              </w:rPr>
              <w:t>2</w:t>
            </w:r>
          </w:p>
        </w:tc>
        <w:tc>
          <w:tcPr>
            <w:tcW w:w="1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00202D">
            <w:pPr>
              <w:tabs>
                <w:tab w:val="left" w:pos="284"/>
              </w:tabs>
              <w:jc w:val="center"/>
              <w:cnfStyle w:val="100000000000"/>
              <w:rPr>
                <w:rFonts w:ascii="Arial Narrow" w:hAnsi="Arial Narrow"/>
                <w:color w:val="auto"/>
                <w:sz w:val="16"/>
                <w:szCs w:val="16"/>
              </w:rPr>
            </w:pPr>
            <w:r w:rsidRPr="0000202D">
              <w:rPr>
                <w:rFonts w:ascii="Arial Narrow" w:hAnsi="Arial Narrow"/>
                <w:color w:val="auto"/>
                <w:sz w:val="16"/>
                <w:szCs w:val="16"/>
              </w:rPr>
              <w:t>3</w:t>
            </w:r>
          </w:p>
        </w:tc>
      </w:tr>
      <w:tr w:rsidR="00B55027" w:rsidRPr="0000202D" w:rsidTr="00EB3B0F">
        <w:trPr>
          <w:cnfStyle w:val="000000100000"/>
          <w:trHeight w:val="230"/>
        </w:trPr>
        <w:tc>
          <w:tcPr>
            <w:cnfStyle w:val="001000000000"/>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B55027">
            <w:pPr>
              <w:tabs>
                <w:tab w:val="left" w:pos="284"/>
              </w:tabs>
              <w:jc w:val="both"/>
              <w:rPr>
                <w:rFonts w:ascii="Arial Narrow" w:hAnsi="Arial Narrow"/>
                <w:color w:val="auto"/>
                <w:sz w:val="16"/>
                <w:szCs w:val="16"/>
              </w:rPr>
            </w:pPr>
            <w:r w:rsidRPr="0000202D">
              <w:rPr>
                <w:rFonts w:ascii="Arial Narrow" w:hAnsi="Arial Narrow"/>
                <w:color w:val="auto"/>
                <w:sz w:val="16"/>
                <w:szCs w:val="16"/>
              </w:rPr>
              <w:t>Ονομασία:</w:t>
            </w:r>
          </w:p>
        </w:tc>
        <w:tc>
          <w:tcPr>
            <w:tcW w:w="14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02D" w:rsidRDefault="00B55027" w:rsidP="0000202D">
            <w:pPr>
              <w:tabs>
                <w:tab w:val="left" w:pos="284"/>
              </w:tabs>
              <w:jc w:val="center"/>
              <w:cnfStyle w:val="000000100000"/>
              <w:rPr>
                <w:rFonts w:ascii="Arial Narrow" w:hAnsi="Arial Narrow"/>
                <w:bCs/>
                <w:sz w:val="16"/>
                <w:szCs w:val="16"/>
              </w:rPr>
            </w:pPr>
            <w:r w:rsidRPr="0000202D">
              <w:rPr>
                <w:rFonts w:ascii="Arial Narrow" w:hAnsi="Arial Narrow"/>
                <w:bCs/>
                <w:sz w:val="16"/>
                <w:szCs w:val="16"/>
              </w:rPr>
              <w:t xml:space="preserve">Παρακολούθηση υλοποίησης </w:t>
            </w:r>
          </w:p>
          <w:p w:rsidR="00B55027" w:rsidRPr="0000202D" w:rsidRDefault="00B55027" w:rsidP="0000202D">
            <w:pPr>
              <w:tabs>
                <w:tab w:val="left" w:pos="284"/>
              </w:tabs>
              <w:jc w:val="center"/>
              <w:cnfStyle w:val="000000100000"/>
              <w:rPr>
                <w:rFonts w:ascii="Arial Narrow" w:hAnsi="Arial Narrow"/>
                <w:bCs/>
                <w:sz w:val="16"/>
                <w:szCs w:val="16"/>
              </w:rPr>
            </w:pPr>
            <w:r w:rsidRPr="0000202D">
              <w:rPr>
                <w:rFonts w:ascii="Arial Narrow" w:hAnsi="Arial Narrow"/>
                <w:bCs/>
                <w:sz w:val="16"/>
                <w:szCs w:val="16"/>
              </w:rPr>
              <w:t>συστήματος ενιαίας κωδικοποίησης</w:t>
            </w:r>
          </w:p>
        </w:tc>
        <w:tc>
          <w:tcPr>
            <w:tcW w:w="1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02D" w:rsidRDefault="00B55027" w:rsidP="0000202D">
            <w:pPr>
              <w:tabs>
                <w:tab w:val="left" w:pos="284"/>
              </w:tabs>
              <w:jc w:val="center"/>
              <w:cnfStyle w:val="000000100000"/>
              <w:rPr>
                <w:rFonts w:ascii="Arial Narrow" w:hAnsi="Arial Narrow"/>
                <w:bCs/>
                <w:sz w:val="16"/>
                <w:szCs w:val="16"/>
              </w:rPr>
            </w:pPr>
            <w:r w:rsidRPr="0000202D">
              <w:rPr>
                <w:rFonts w:ascii="Arial Narrow" w:hAnsi="Arial Narrow"/>
                <w:bCs/>
                <w:sz w:val="16"/>
                <w:szCs w:val="16"/>
              </w:rPr>
              <w:t>Αριθμοδείκτης καταγραφής</w:t>
            </w:r>
          </w:p>
          <w:p w:rsidR="00B55027" w:rsidRPr="0000202D" w:rsidRDefault="00B55027" w:rsidP="0000202D">
            <w:pPr>
              <w:tabs>
                <w:tab w:val="left" w:pos="284"/>
              </w:tabs>
              <w:jc w:val="center"/>
              <w:cnfStyle w:val="000000100000"/>
              <w:rPr>
                <w:rFonts w:ascii="Arial Narrow" w:hAnsi="Arial Narrow"/>
                <w:bCs/>
                <w:sz w:val="16"/>
                <w:szCs w:val="16"/>
              </w:rPr>
            </w:pPr>
            <w:r w:rsidRPr="0000202D">
              <w:rPr>
                <w:rFonts w:ascii="Arial Narrow" w:hAnsi="Arial Narrow"/>
                <w:bCs/>
                <w:sz w:val="16"/>
                <w:szCs w:val="16"/>
              </w:rPr>
              <w:t>αναλώσεων</w:t>
            </w:r>
          </w:p>
        </w:tc>
        <w:tc>
          <w:tcPr>
            <w:tcW w:w="1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02D" w:rsidRDefault="00B55027" w:rsidP="0000202D">
            <w:pPr>
              <w:tabs>
                <w:tab w:val="left" w:pos="284"/>
              </w:tabs>
              <w:jc w:val="center"/>
              <w:cnfStyle w:val="000000100000"/>
              <w:rPr>
                <w:rFonts w:ascii="Arial Narrow" w:hAnsi="Arial Narrow"/>
                <w:bCs/>
                <w:sz w:val="16"/>
                <w:szCs w:val="16"/>
              </w:rPr>
            </w:pPr>
            <w:r w:rsidRPr="0000202D">
              <w:rPr>
                <w:rFonts w:ascii="Arial Narrow" w:hAnsi="Arial Narrow"/>
                <w:bCs/>
                <w:sz w:val="16"/>
                <w:szCs w:val="16"/>
              </w:rPr>
              <w:t>Αριθμοδείκτης εγκατάστα</w:t>
            </w:r>
            <w:r w:rsidR="0000202D">
              <w:rPr>
                <w:rFonts w:ascii="Arial Narrow" w:hAnsi="Arial Narrow"/>
                <w:bCs/>
                <w:sz w:val="16"/>
                <w:szCs w:val="16"/>
              </w:rPr>
              <w:t>σης</w:t>
            </w:r>
          </w:p>
          <w:p w:rsidR="00B55027" w:rsidRPr="0000202D" w:rsidRDefault="00B55027" w:rsidP="0000202D">
            <w:pPr>
              <w:tabs>
                <w:tab w:val="left" w:pos="284"/>
              </w:tabs>
              <w:jc w:val="center"/>
              <w:cnfStyle w:val="000000100000"/>
              <w:rPr>
                <w:rFonts w:ascii="Arial Narrow" w:hAnsi="Arial Narrow"/>
                <w:bCs/>
                <w:sz w:val="16"/>
                <w:szCs w:val="16"/>
              </w:rPr>
            </w:pPr>
            <w:r w:rsidRPr="0000202D">
              <w:rPr>
                <w:rFonts w:ascii="Arial Narrow" w:hAnsi="Arial Narrow"/>
                <w:bCs/>
                <w:sz w:val="16"/>
                <w:szCs w:val="16"/>
              </w:rPr>
              <w:t xml:space="preserve">συστημάτων </w:t>
            </w:r>
            <w:r w:rsidRPr="0000202D">
              <w:rPr>
                <w:rFonts w:ascii="Arial Narrow" w:hAnsi="Arial Narrow"/>
                <w:bCs/>
                <w:sz w:val="16"/>
                <w:szCs w:val="16"/>
                <w:lang w:val="en-US"/>
              </w:rPr>
              <w:t>RIS</w:t>
            </w:r>
            <w:r w:rsidRPr="0000202D">
              <w:rPr>
                <w:rFonts w:ascii="Arial Narrow" w:hAnsi="Arial Narrow"/>
                <w:bCs/>
                <w:sz w:val="16"/>
                <w:szCs w:val="16"/>
              </w:rPr>
              <w:t>-</w:t>
            </w:r>
            <w:r w:rsidRPr="0000202D">
              <w:rPr>
                <w:rFonts w:ascii="Arial Narrow" w:hAnsi="Arial Narrow"/>
                <w:bCs/>
                <w:sz w:val="16"/>
                <w:szCs w:val="16"/>
                <w:lang w:val="en-US"/>
              </w:rPr>
              <w:t>PACS</w:t>
            </w:r>
          </w:p>
        </w:tc>
      </w:tr>
      <w:tr w:rsidR="00B55027" w:rsidRPr="0000202D" w:rsidTr="0000202D">
        <w:trPr>
          <w:trHeight w:val="690"/>
        </w:trPr>
        <w:tc>
          <w:tcPr>
            <w:cnfStyle w:val="001000000000"/>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B55027">
            <w:pPr>
              <w:tabs>
                <w:tab w:val="left" w:pos="284"/>
              </w:tabs>
              <w:jc w:val="both"/>
              <w:rPr>
                <w:rFonts w:ascii="Arial Narrow" w:hAnsi="Arial Narrow"/>
                <w:color w:val="auto"/>
                <w:sz w:val="16"/>
                <w:szCs w:val="16"/>
              </w:rPr>
            </w:pPr>
            <w:r w:rsidRPr="0000202D">
              <w:rPr>
                <w:rFonts w:ascii="Arial Narrow" w:hAnsi="Arial Narrow"/>
                <w:color w:val="auto"/>
                <w:sz w:val="16"/>
                <w:szCs w:val="16"/>
              </w:rPr>
              <w:t>Περιγραφή:</w:t>
            </w:r>
          </w:p>
        </w:tc>
        <w:tc>
          <w:tcPr>
            <w:tcW w:w="1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Με τον δείκτη αυτό θα μετρηθεί το ποσοστό των υλικών για τα οποία η ενιαία κωδικοποίηση έχει ενσωματωθεί στα συστήματα όλων των φορέων του συστήματος υγείας και χρησιμοποιείται για την εκτέλεση διαγωνιστικών διαδικασιών, την καταγραφή αναλώσεων κ.λπ.</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Η έγκαιρη καταγραφή των αναγκών και των αναλώσεων του συστήματος υγείας, ιατροτεχνολογικό υλικό και υπηρεσίες που το αναλώνουν, είναι κομβικής σημασίας για τη λειτουργία του συστήματος εποπτείας και συντονισμού των προμηθειών. Η δημιουργία προτύπων υποβολής αναγκών και αναλώσεων θα συμβάλλει εξίσου στον καλύτερο προγραμματισμό και στη δημιουργία ενός εποπτικού συστήματος ελέγχου των αναγκών και των αναλώσεων των νοσοκομείων του ΕΣΥ.</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 xml:space="preserve">Με τον δείκτη αυτό θα υπολογιστεί το ποσοστό εγκατάστασης συστημάτων </w:t>
            </w:r>
            <w:r w:rsidRPr="0000202D">
              <w:rPr>
                <w:rFonts w:ascii="Arial Narrow" w:hAnsi="Arial Narrow"/>
                <w:bCs/>
                <w:sz w:val="16"/>
                <w:szCs w:val="16"/>
                <w:lang w:val="en-US"/>
              </w:rPr>
              <w:t>RIS</w:t>
            </w:r>
            <w:r w:rsidRPr="0000202D">
              <w:rPr>
                <w:rFonts w:ascii="Arial Narrow" w:hAnsi="Arial Narrow"/>
                <w:bCs/>
                <w:sz w:val="16"/>
                <w:szCs w:val="16"/>
              </w:rPr>
              <w:t>-</w:t>
            </w:r>
            <w:r w:rsidRPr="0000202D">
              <w:rPr>
                <w:rFonts w:ascii="Arial Narrow" w:hAnsi="Arial Narrow"/>
                <w:bCs/>
                <w:sz w:val="16"/>
                <w:szCs w:val="16"/>
                <w:lang w:val="en-US"/>
              </w:rPr>
              <w:t>PACS</w:t>
            </w:r>
            <w:r w:rsidRPr="0000202D">
              <w:rPr>
                <w:rFonts w:ascii="Arial Narrow" w:hAnsi="Arial Narrow"/>
                <w:bCs/>
                <w:sz w:val="16"/>
                <w:szCs w:val="16"/>
              </w:rPr>
              <w:t xml:space="preserve"> στα νοσοκομεία της χώρας. Το εν λόγω σύστημα αφορά στην αλλαγή του τρόπου διαχείρισης των ακτινοδιαγνωστικών εικόνων των νοσοκομείων.</w:t>
            </w:r>
          </w:p>
        </w:tc>
      </w:tr>
      <w:tr w:rsidR="00B55027" w:rsidRPr="0000202D" w:rsidTr="0000202D">
        <w:trPr>
          <w:cnfStyle w:val="000000100000"/>
          <w:trHeight w:val="456"/>
        </w:trPr>
        <w:tc>
          <w:tcPr>
            <w:cnfStyle w:val="001000000000"/>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B55027">
            <w:pPr>
              <w:tabs>
                <w:tab w:val="left" w:pos="284"/>
              </w:tabs>
              <w:jc w:val="both"/>
              <w:rPr>
                <w:rFonts w:ascii="Arial Narrow" w:hAnsi="Arial Narrow"/>
                <w:color w:val="auto"/>
                <w:sz w:val="16"/>
                <w:szCs w:val="16"/>
              </w:rPr>
            </w:pPr>
            <w:r w:rsidRPr="0000202D">
              <w:rPr>
                <w:rFonts w:ascii="Arial Narrow" w:hAnsi="Arial Narrow"/>
                <w:color w:val="auto"/>
                <w:sz w:val="16"/>
                <w:szCs w:val="16"/>
              </w:rPr>
              <w:t>Μονάδα μέτρησης:</w:t>
            </w:r>
          </w:p>
        </w:tc>
        <w:tc>
          <w:tcPr>
            <w:tcW w:w="1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100000"/>
              <w:rPr>
                <w:rFonts w:ascii="Arial Narrow" w:hAnsi="Arial Narrow"/>
                <w:bCs/>
                <w:sz w:val="16"/>
                <w:szCs w:val="16"/>
              </w:rPr>
            </w:pPr>
            <w:r w:rsidRPr="0000202D">
              <w:rPr>
                <w:rFonts w:ascii="Arial Narrow" w:hAnsi="Arial Narrow"/>
                <w:bCs/>
                <w:sz w:val="16"/>
                <w:szCs w:val="16"/>
              </w:rPr>
              <w:t>Ποσοστό %</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100000"/>
              <w:rPr>
                <w:rFonts w:ascii="Arial Narrow" w:hAnsi="Arial Narrow"/>
                <w:bCs/>
                <w:sz w:val="16"/>
                <w:szCs w:val="16"/>
              </w:rPr>
            </w:pPr>
            <w:r w:rsidRPr="0000202D">
              <w:rPr>
                <w:rFonts w:ascii="Arial Narrow" w:hAnsi="Arial Narrow"/>
                <w:bCs/>
                <w:sz w:val="16"/>
                <w:szCs w:val="16"/>
              </w:rPr>
              <w:t>Ποσοστό %</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100000"/>
              <w:rPr>
                <w:rFonts w:ascii="Arial Narrow" w:hAnsi="Arial Narrow"/>
                <w:bCs/>
                <w:sz w:val="16"/>
                <w:szCs w:val="16"/>
              </w:rPr>
            </w:pPr>
            <w:r w:rsidRPr="0000202D">
              <w:rPr>
                <w:rFonts w:ascii="Arial Narrow" w:hAnsi="Arial Narrow"/>
                <w:bCs/>
                <w:sz w:val="16"/>
                <w:szCs w:val="16"/>
              </w:rPr>
              <w:t>Ποσοστό %</w:t>
            </w:r>
          </w:p>
        </w:tc>
      </w:tr>
      <w:tr w:rsidR="00B55027" w:rsidRPr="0000202D" w:rsidTr="0000202D">
        <w:trPr>
          <w:trHeight w:val="222"/>
        </w:trPr>
        <w:tc>
          <w:tcPr>
            <w:cnfStyle w:val="001000000000"/>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B55027">
            <w:pPr>
              <w:tabs>
                <w:tab w:val="left" w:pos="284"/>
              </w:tabs>
              <w:jc w:val="both"/>
              <w:rPr>
                <w:rFonts w:ascii="Arial Narrow" w:hAnsi="Arial Narrow"/>
                <w:color w:val="auto"/>
                <w:sz w:val="16"/>
                <w:szCs w:val="16"/>
              </w:rPr>
            </w:pPr>
            <w:r w:rsidRPr="0000202D">
              <w:rPr>
                <w:rFonts w:ascii="Arial Narrow" w:hAnsi="Arial Narrow"/>
                <w:color w:val="auto"/>
                <w:sz w:val="16"/>
                <w:szCs w:val="16"/>
              </w:rPr>
              <w:t>Τύπος:</w:t>
            </w:r>
          </w:p>
        </w:tc>
        <w:tc>
          <w:tcPr>
            <w:tcW w:w="1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[Υλικά που ενσωματώθηκαν/Συνολικό αριθμό υλικών]*100</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[Αναλώσεις υλικών για τα οποία καταγράφηκαν συγκεντρωτικά οι αναλώσεις του συστήματος υγείας/Συνολικό αριθμό αναλώσεων]*100</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[Αριθμός νοσοκομείων στα οποία εγκαταστάθηκε το σύστημα /Νοσοκομεία της χώρας]</w:t>
            </w:r>
            <w:r w:rsidR="0000202D">
              <w:rPr>
                <w:rFonts w:ascii="Arial Narrow" w:hAnsi="Arial Narrow"/>
                <w:bCs/>
                <w:sz w:val="16"/>
                <w:szCs w:val="16"/>
              </w:rPr>
              <w:t xml:space="preserve"> </w:t>
            </w:r>
            <w:r w:rsidRPr="0000202D">
              <w:rPr>
                <w:rFonts w:ascii="Arial Narrow" w:hAnsi="Arial Narrow"/>
                <w:bCs/>
                <w:sz w:val="16"/>
                <w:szCs w:val="16"/>
              </w:rPr>
              <w:t>*</w:t>
            </w:r>
            <w:r w:rsidR="0000202D">
              <w:rPr>
                <w:rFonts w:ascii="Arial Narrow" w:hAnsi="Arial Narrow"/>
                <w:bCs/>
                <w:sz w:val="16"/>
                <w:szCs w:val="16"/>
              </w:rPr>
              <w:t xml:space="preserve"> </w:t>
            </w:r>
            <w:r w:rsidRPr="0000202D">
              <w:rPr>
                <w:rFonts w:ascii="Arial Narrow" w:hAnsi="Arial Narrow"/>
                <w:bCs/>
                <w:sz w:val="16"/>
                <w:szCs w:val="16"/>
              </w:rPr>
              <w:t>100</w:t>
            </w:r>
          </w:p>
        </w:tc>
      </w:tr>
      <w:tr w:rsidR="00B55027" w:rsidRPr="0000202D" w:rsidTr="0000202D">
        <w:trPr>
          <w:cnfStyle w:val="000000100000"/>
          <w:trHeight w:val="222"/>
        </w:trPr>
        <w:tc>
          <w:tcPr>
            <w:cnfStyle w:val="001000000000"/>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B55027">
            <w:pPr>
              <w:tabs>
                <w:tab w:val="left" w:pos="284"/>
              </w:tabs>
              <w:jc w:val="both"/>
              <w:rPr>
                <w:rFonts w:ascii="Arial Narrow" w:hAnsi="Arial Narrow"/>
                <w:color w:val="auto"/>
                <w:sz w:val="16"/>
                <w:szCs w:val="16"/>
              </w:rPr>
            </w:pPr>
            <w:r w:rsidRPr="0000202D">
              <w:rPr>
                <w:rFonts w:ascii="Arial Narrow" w:hAnsi="Arial Narrow"/>
                <w:color w:val="auto"/>
                <w:sz w:val="16"/>
                <w:szCs w:val="16"/>
              </w:rPr>
              <w:t>Συχνότητα διεξαγωγής μέτρησης:</w:t>
            </w:r>
          </w:p>
        </w:tc>
        <w:tc>
          <w:tcPr>
            <w:tcW w:w="1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100000"/>
              <w:rPr>
                <w:rFonts w:ascii="Arial Narrow" w:hAnsi="Arial Narrow"/>
                <w:bCs/>
                <w:sz w:val="16"/>
                <w:szCs w:val="16"/>
              </w:rPr>
            </w:pPr>
            <w:r w:rsidRPr="0000202D">
              <w:rPr>
                <w:rFonts w:ascii="Arial Narrow" w:hAnsi="Arial Narrow"/>
                <w:bCs/>
                <w:sz w:val="16"/>
                <w:szCs w:val="16"/>
              </w:rPr>
              <w:t>Ανά τετράμηνο</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100000"/>
              <w:rPr>
                <w:rFonts w:ascii="Arial Narrow" w:hAnsi="Arial Narrow"/>
                <w:bCs/>
                <w:sz w:val="16"/>
                <w:szCs w:val="16"/>
              </w:rPr>
            </w:pPr>
            <w:r w:rsidRPr="0000202D">
              <w:rPr>
                <w:rFonts w:ascii="Arial Narrow" w:hAnsi="Arial Narrow"/>
                <w:bCs/>
                <w:sz w:val="16"/>
                <w:szCs w:val="16"/>
              </w:rPr>
              <w:t>Ανά εξάμηνο</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100000"/>
              <w:rPr>
                <w:rFonts w:ascii="Arial Narrow" w:hAnsi="Arial Narrow"/>
                <w:bCs/>
                <w:sz w:val="16"/>
                <w:szCs w:val="16"/>
              </w:rPr>
            </w:pPr>
            <w:r w:rsidRPr="0000202D">
              <w:rPr>
                <w:rFonts w:ascii="Arial Narrow" w:hAnsi="Arial Narrow"/>
                <w:bCs/>
                <w:sz w:val="16"/>
                <w:szCs w:val="16"/>
              </w:rPr>
              <w:t>Ανά τρίμηνο</w:t>
            </w:r>
          </w:p>
        </w:tc>
      </w:tr>
      <w:tr w:rsidR="00B55027" w:rsidRPr="0000202D" w:rsidTr="0000202D">
        <w:trPr>
          <w:trHeight w:val="707"/>
        </w:trPr>
        <w:tc>
          <w:tcPr>
            <w:cnfStyle w:val="001000000000"/>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0202D" w:rsidRDefault="00B55027" w:rsidP="00B55027">
            <w:pPr>
              <w:tabs>
                <w:tab w:val="left" w:pos="284"/>
              </w:tabs>
              <w:jc w:val="both"/>
              <w:rPr>
                <w:rFonts w:ascii="Arial Narrow" w:hAnsi="Arial Narrow"/>
                <w:color w:val="auto"/>
                <w:sz w:val="16"/>
                <w:szCs w:val="16"/>
              </w:rPr>
            </w:pPr>
            <w:r w:rsidRPr="0000202D">
              <w:rPr>
                <w:rFonts w:ascii="Arial Narrow" w:hAnsi="Arial Narrow"/>
                <w:color w:val="auto"/>
                <w:sz w:val="16"/>
                <w:szCs w:val="16"/>
              </w:rPr>
              <w:t>Τιμή-στόχος για το 2019</w:t>
            </w:r>
          </w:p>
        </w:tc>
        <w:tc>
          <w:tcPr>
            <w:tcW w:w="1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Ολοκλήρωση κατά 20%</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Ολοκλήρωση κατά 20%</w:t>
            </w:r>
          </w:p>
        </w:tc>
        <w:tc>
          <w:tcPr>
            <w:tcW w:w="1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0202D" w:rsidRDefault="00B55027" w:rsidP="0000202D">
            <w:pPr>
              <w:tabs>
                <w:tab w:val="left" w:pos="284"/>
              </w:tabs>
              <w:jc w:val="both"/>
              <w:cnfStyle w:val="000000000000"/>
              <w:rPr>
                <w:rFonts w:ascii="Arial Narrow" w:hAnsi="Arial Narrow"/>
                <w:bCs/>
                <w:sz w:val="16"/>
                <w:szCs w:val="16"/>
              </w:rPr>
            </w:pPr>
            <w:r w:rsidRPr="0000202D">
              <w:rPr>
                <w:rFonts w:ascii="Arial Narrow" w:hAnsi="Arial Narrow"/>
                <w:bCs/>
                <w:sz w:val="16"/>
                <w:szCs w:val="16"/>
              </w:rPr>
              <w:t>Ολοκλήρωση κατά 50%</w:t>
            </w:r>
          </w:p>
        </w:tc>
      </w:tr>
    </w:tbl>
    <w:p w:rsidR="00B55027" w:rsidRPr="00B55027" w:rsidRDefault="00B55027" w:rsidP="00B55027">
      <w:pPr>
        <w:tabs>
          <w:tab w:val="left" w:pos="284"/>
        </w:tabs>
        <w:jc w:val="both"/>
        <w:rPr>
          <w:bCs/>
          <w:sz w:val="22"/>
          <w:lang w:val="en-US"/>
        </w:rPr>
      </w:pPr>
    </w:p>
    <w:p w:rsidR="00B55027" w:rsidRPr="00B55027" w:rsidRDefault="00B55027" w:rsidP="00B55027">
      <w:pPr>
        <w:tabs>
          <w:tab w:val="left" w:pos="284"/>
        </w:tabs>
        <w:jc w:val="both"/>
        <w:rPr>
          <w:bCs/>
          <w:sz w:val="22"/>
        </w:rPr>
      </w:pPr>
    </w:p>
    <w:p w:rsidR="00B55027" w:rsidRPr="00B55027" w:rsidRDefault="00B55027" w:rsidP="00B55027">
      <w:pPr>
        <w:tabs>
          <w:tab w:val="left" w:pos="284"/>
        </w:tabs>
        <w:jc w:val="both"/>
        <w:rPr>
          <w:b/>
          <w:bCs/>
          <w:sz w:val="22"/>
        </w:rPr>
      </w:pPr>
    </w:p>
    <w:p w:rsidR="00B55027" w:rsidRPr="003266B4" w:rsidRDefault="0000202D" w:rsidP="00B55027">
      <w:pPr>
        <w:tabs>
          <w:tab w:val="left" w:pos="284"/>
        </w:tabs>
        <w:jc w:val="both"/>
        <w:rPr>
          <w:rFonts w:ascii="Arial Narrow" w:hAnsi="Arial Narrow"/>
          <w:b/>
          <w:bCs/>
          <w:sz w:val="22"/>
        </w:rPr>
      </w:pPr>
      <w:r>
        <w:rPr>
          <w:rFonts w:ascii="Arial Narrow" w:hAnsi="Arial Narrow"/>
          <w:b/>
          <w:bCs/>
          <w:sz w:val="22"/>
        </w:rPr>
        <w:t>Υπουργείο Πολιτισμού και</w:t>
      </w:r>
      <w:r w:rsidR="00B55027" w:rsidRPr="003266B4">
        <w:rPr>
          <w:rFonts w:ascii="Arial Narrow" w:hAnsi="Arial Narrow"/>
          <w:b/>
          <w:bCs/>
          <w:sz w:val="22"/>
        </w:rPr>
        <w:t xml:space="preserve"> Αθλητισμού</w:t>
      </w:r>
    </w:p>
    <w:p w:rsidR="00084BD6" w:rsidRDefault="00084BD6" w:rsidP="00084BD6">
      <w:pPr>
        <w:tabs>
          <w:tab w:val="left" w:pos="284"/>
        </w:tabs>
        <w:jc w:val="center"/>
        <w:rPr>
          <w:rFonts w:ascii="Arial Narrow" w:hAnsi="Arial Narrow"/>
          <w:b/>
          <w:bCs/>
          <w:sz w:val="22"/>
        </w:rPr>
      </w:pPr>
    </w:p>
    <w:p w:rsidR="00084BD6" w:rsidRPr="003266B4" w:rsidRDefault="00084BD6" w:rsidP="00084BD6">
      <w:pPr>
        <w:tabs>
          <w:tab w:val="left" w:pos="284"/>
        </w:tabs>
        <w:jc w:val="center"/>
        <w:rPr>
          <w:rFonts w:ascii="Arial Narrow" w:hAnsi="Arial Narrow"/>
          <w:b/>
          <w:bCs/>
          <w:sz w:val="22"/>
        </w:rPr>
      </w:pPr>
      <w:r>
        <w:rPr>
          <w:rFonts w:ascii="Arial Narrow" w:hAnsi="Arial Narrow"/>
          <w:b/>
          <w:bCs/>
          <w:sz w:val="22"/>
        </w:rPr>
        <w:t xml:space="preserve">Διάγραμμα </w:t>
      </w:r>
      <w:r w:rsidRPr="001528EA">
        <w:rPr>
          <w:rFonts w:ascii="Arial Narrow" w:hAnsi="Arial Narrow"/>
          <w:b/>
          <w:bCs/>
          <w:sz w:val="22"/>
        </w:rPr>
        <w:t>3</w:t>
      </w:r>
      <w:r w:rsidR="001528EA">
        <w:rPr>
          <w:rFonts w:ascii="Arial Narrow" w:hAnsi="Arial Narrow"/>
          <w:b/>
          <w:bCs/>
          <w:sz w:val="22"/>
        </w:rPr>
        <w:t>.3</w:t>
      </w:r>
      <w:r>
        <w:rPr>
          <w:rFonts w:ascii="Arial Narrow" w:hAnsi="Arial Narrow"/>
          <w:b/>
          <w:bCs/>
          <w:sz w:val="22"/>
        </w:rPr>
        <w:t xml:space="preserve"> Ταξινόμηση λειτουργιών του Υπουργείου Πολιτισμού και Αθλητισμού</w:t>
      </w:r>
    </w:p>
    <w:p w:rsidR="00B55027" w:rsidRPr="00B55027" w:rsidRDefault="00B55027" w:rsidP="00B55027">
      <w:pPr>
        <w:tabs>
          <w:tab w:val="left" w:pos="284"/>
        </w:tabs>
        <w:jc w:val="both"/>
        <w:rPr>
          <w:b/>
          <w:bCs/>
          <w:sz w:val="22"/>
        </w:rPr>
      </w:pPr>
    </w:p>
    <w:p w:rsidR="00B55027" w:rsidRPr="00B55027" w:rsidRDefault="00617CCB" w:rsidP="00B55027">
      <w:pPr>
        <w:tabs>
          <w:tab w:val="left" w:pos="284"/>
        </w:tabs>
        <w:jc w:val="both"/>
        <w:rPr>
          <w:b/>
          <w:bCs/>
          <w:sz w:val="22"/>
        </w:rPr>
      </w:pPr>
      <w:r w:rsidRPr="00B55027">
        <w:rPr>
          <w:b/>
          <w:bCs/>
          <w:noProof/>
          <w:sz w:val="22"/>
        </w:rPr>
        <w:drawing>
          <wp:inline distT="0" distB="0" distL="0" distR="0">
            <wp:extent cx="5104263" cy="1748657"/>
            <wp:effectExtent l="0" t="0" r="0" b="3943"/>
            <wp:docPr id="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55027" w:rsidRPr="00B55027" w:rsidRDefault="00B55027" w:rsidP="00B55027">
      <w:pPr>
        <w:tabs>
          <w:tab w:val="left" w:pos="284"/>
        </w:tabs>
        <w:jc w:val="both"/>
        <w:rPr>
          <w:bCs/>
          <w:sz w:val="22"/>
        </w:rPr>
      </w:pPr>
    </w:p>
    <w:p w:rsidR="00B55027" w:rsidRDefault="00B55027" w:rsidP="00B55027">
      <w:pPr>
        <w:tabs>
          <w:tab w:val="left" w:pos="284"/>
        </w:tabs>
        <w:jc w:val="both"/>
        <w:rPr>
          <w:bCs/>
          <w:sz w:val="22"/>
        </w:rPr>
      </w:pPr>
    </w:p>
    <w:p w:rsidR="00037BA2" w:rsidRDefault="00037BA2" w:rsidP="00B55027">
      <w:pPr>
        <w:tabs>
          <w:tab w:val="left" w:pos="284"/>
        </w:tabs>
        <w:jc w:val="both"/>
        <w:rPr>
          <w:bCs/>
          <w:sz w:val="22"/>
        </w:rPr>
      </w:pPr>
    </w:p>
    <w:p w:rsidR="00E674C0" w:rsidRDefault="00E674C0" w:rsidP="00B55027">
      <w:pPr>
        <w:tabs>
          <w:tab w:val="left" w:pos="284"/>
        </w:tabs>
        <w:jc w:val="both"/>
        <w:rPr>
          <w:bCs/>
          <w:sz w:val="22"/>
        </w:rPr>
      </w:pPr>
    </w:p>
    <w:p w:rsidR="00E674C0" w:rsidRDefault="00E674C0" w:rsidP="00B55027">
      <w:pPr>
        <w:tabs>
          <w:tab w:val="left" w:pos="284"/>
        </w:tabs>
        <w:jc w:val="both"/>
        <w:rPr>
          <w:bCs/>
          <w:sz w:val="22"/>
        </w:rPr>
      </w:pPr>
    </w:p>
    <w:p w:rsidR="00E674C0" w:rsidRPr="00B55027" w:rsidRDefault="00E674C0" w:rsidP="00B55027">
      <w:pPr>
        <w:tabs>
          <w:tab w:val="left" w:pos="284"/>
        </w:tabs>
        <w:jc w:val="both"/>
        <w:rPr>
          <w:bCs/>
          <w:sz w:val="22"/>
        </w:rPr>
      </w:pPr>
    </w:p>
    <w:p w:rsidR="00B55027" w:rsidRDefault="00B55027" w:rsidP="00B55027">
      <w:pPr>
        <w:tabs>
          <w:tab w:val="left" w:pos="284"/>
        </w:tabs>
        <w:jc w:val="both"/>
        <w:rPr>
          <w:bCs/>
          <w:sz w:val="22"/>
        </w:rPr>
      </w:pPr>
      <w:r w:rsidRPr="00B55027">
        <w:rPr>
          <w:bCs/>
          <w:sz w:val="22"/>
        </w:rPr>
        <w:t xml:space="preserve">Για την παρακολούθηση της υλοποίησης των νέων δράσεων 2018 τίθενται πιλοτικά δείκτες, οι οποίοι έχουν ως εξής: </w:t>
      </w:r>
    </w:p>
    <w:p w:rsidR="00304EBC" w:rsidRDefault="00304EBC" w:rsidP="00B55027">
      <w:pPr>
        <w:tabs>
          <w:tab w:val="left" w:pos="284"/>
        </w:tabs>
        <w:jc w:val="both"/>
        <w:rPr>
          <w:bCs/>
          <w:sz w:val="22"/>
        </w:rPr>
      </w:pPr>
    </w:p>
    <w:p w:rsidR="00304EBC" w:rsidRPr="00B55027" w:rsidRDefault="00304EBC" w:rsidP="00B55027">
      <w:pPr>
        <w:tabs>
          <w:tab w:val="left" w:pos="284"/>
        </w:tabs>
        <w:jc w:val="both"/>
        <w:rPr>
          <w:bCs/>
          <w:sz w:val="22"/>
        </w:rPr>
      </w:pPr>
    </w:p>
    <w:p w:rsidR="00B55027" w:rsidRPr="00B55027" w:rsidRDefault="00B55027" w:rsidP="00B55027">
      <w:pPr>
        <w:tabs>
          <w:tab w:val="left" w:pos="284"/>
        </w:tabs>
        <w:jc w:val="both"/>
        <w:rPr>
          <w:bCs/>
          <w:sz w:val="22"/>
        </w:rPr>
      </w:pPr>
    </w:p>
    <w:tbl>
      <w:tblPr>
        <w:tblStyle w:val="2-2"/>
        <w:tblW w:w="4971"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shd w:val="clear" w:color="auto" w:fill="D9D9D9" w:themeFill="background1" w:themeFillShade="D9"/>
        <w:tblLayout w:type="fixed"/>
        <w:tblLook w:val="04A0"/>
      </w:tblPr>
      <w:tblGrid>
        <w:gridCol w:w="1570"/>
        <w:gridCol w:w="2718"/>
        <w:gridCol w:w="4945"/>
      </w:tblGrid>
      <w:tr w:rsidR="00B55027" w:rsidRPr="00037BA2" w:rsidTr="00037BA2">
        <w:trPr>
          <w:cnfStyle w:val="100000000000"/>
          <w:trHeight w:val="431"/>
        </w:trPr>
        <w:tc>
          <w:tcPr>
            <w:cnfStyle w:val="001000000100"/>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74C0" w:rsidRDefault="00E674C0" w:rsidP="00037BA2">
            <w:pPr>
              <w:tabs>
                <w:tab w:val="left" w:pos="284"/>
              </w:tabs>
              <w:jc w:val="center"/>
              <w:rPr>
                <w:rFonts w:ascii="Arial Narrow" w:hAnsi="Arial Narrow"/>
                <w:color w:val="auto"/>
                <w:sz w:val="16"/>
                <w:szCs w:val="16"/>
              </w:rPr>
            </w:pPr>
            <w:r>
              <w:rPr>
                <w:rFonts w:ascii="Arial Narrow" w:hAnsi="Arial Narrow"/>
                <w:color w:val="auto"/>
                <w:sz w:val="16"/>
                <w:szCs w:val="16"/>
              </w:rPr>
              <w:t>α/α δείκτη</w:t>
            </w:r>
          </w:p>
          <w:p w:rsidR="00B55027" w:rsidRPr="00037BA2" w:rsidRDefault="00B55027" w:rsidP="00037BA2">
            <w:pPr>
              <w:tabs>
                <w:tab w:val="left" w:pos="284"/>
              </w:tabs>
              <w:jc w:val="center"/>
              <w:rPr>
                <w:rFonts w:ascii="Arial Narrow" w:hAnsi="Arial Narrow"/>
                <w:i/>
                <w:iCs/>
                <w:color w:val="auto"/>
                <w:sz w:val="16"/>
                <w:szCs w:val="16"/>
              </w:rPr>
            </w:pPr>
            <w:r w:rsidRPr="00037BA2">
              <w:rPr>
                <w:rFonts w:ascii="Arial Narrow" w:hAnsi="Arial Narrow"/>
                <w:color w:val="auto"/>
                <w:sz w:val="16"/>
                <w:szCs w:val="16"/>
              </w:rPr>
              <w:t>μέτρησης:</w:t>
            </w:r>
          </w:p>
        </w:tc>
        <w:tc>
          <w:tcPr>
            <w:tcW w:w="1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37BA2" w:rsidRDefault="00B55027" w:rsidP="00037BA2">
            <w:pPr>
              <w:tabs>
                <w:tab w:val="left" w:pos="284"/>
              </w:tabs>
              <w:jc w:val="center"/>
              <w:cnfStyle w:val="100000000000"/>
              <w:rPr>
                <w:rFonts w:ascii="Arial Narrow" w:hAnsi="Arial Narrow"/>
                <w:i/>
                <w:iCs/>
                <w:color w:val="auto"/>
                <w:sz w:val="16"/>
                <w:szCs w:val="16"/>
              </w:rPr>
            </w:pPr>
            <w:r w:rsidRPr="00037BA2">
              <w:rPr>
                <w:rFonts w:ascii="Arial Narrow" w:hAnsi="Arial Narrow"/>
                <w:color w:val="auto"/>
                <w:sz w:val="16"/>
                <w:szCs w:val="16"/>
              </w:rPr>
              <w:t>1</w:t>
            </w:r>
          </w:p>
        </w:tc>
        <w:tc>
          <w:tcPr>
            <w:tcW w:w="2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37BA2" w:rsidRDefault="00B55027" w:rsidP="00037BA2">
            <w:pPr>
              <w:tabs>
                <w:tab w:val="left" w:pos="284"/>
              </w:tabs>
              <w:jc w:val="center"/>
              <w:cnfStyle w:val="100000000000"/>
              <w:rPr>
                <w:rFonts w:ascii="Arial Narrow" w:hAnsi="Arial Narrow"/>
                <w:i/>
                <w:iCs/>
                <w:color w:val="auto"/>
                <w:sz w:val="16"/>
                <w:szCs w:val="16"/>
              </w:rPr>
            </w:pPr>
            <w:r w:rsidRPr="00037BA2">
              <w:rPr>
                <w:rFonts w:ascii="Arial Narrow" w:hAnsi="Arial Narrow"/>
                <w:color w:val="auto"/>
                <w:sz w:val="16"/>
                <w:szCs w:val="16"/>
              </w:rPr>
              <w:t>2</w:t>
            </w:r>
          </w:p>
        </w:tc>
      </w:tr>
      <w:tr w:rsidR="00B55027" w:rsidRPr="00037BA2" w:rsidTr="00037BA2">
        <w:trPr>
          <w:cnfStyle w:val="000000100000"/>
          <w:trHeight w:val="230"/>
        </w:trPr>
        <w:tc>
          <w:tcPr>
            <w:cnfStyle w:val="001000000000"/>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37BA2" w:rsidRDefault="00B55027" w:rsidP="00037BA2">
            <w:pPr>
              <w:tabs>
                <w:tab w:val="left" w:pos="284"/>
              </w:tabs>
              <w:jc w:val="center"/>
              <w:rPr>
                <w:rFonts w:ascii="Arial Narrow" w:hAnsi="Arial Narrow"/>
                <w:color w:val="auto"/>
                <w:sz w:val="16"/>
                <w:szCs w:val="16"/>
              </w:rPr>
            </w:pPr>
            <w:r w:rsidRPr="00037BA2">
              <w:rPr>
                <w:rFonts w:ascii="Arial Narrow" w:hAnsi="Arial Narrow"/>
                <w:color w:val="auto"/>
                <w:sz w:val="16"/>
                <w:szCs w:val="16"/>
              </w:rPr>
              <w:t>Ονομασία:</w:t>
            </w:r>
          </w:p>
        </w:tc>
        <w:tc>
          <w:tcPr>
            <w:tcW w:w="1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37BA2" w:rsidRDefault="00B55027" w:rsidP="00037BA2">
            <w:pPr>
              <w:tabs>
                <w:tab w:val="left" w:pos="284"/>
              </w:tabs>
              <w:jc w:val="both"/>
              <w:cnfStyle w:val="000000100000"/>
              <w:rPr>
                <w:rFonts w:ascii="Arial Narrow" w:hAnsi="Arial Narrow"/>
                <w:bCs/>
                <w:sz w:val="16"/>
                <w:szCs w:val="16"/>
              </w:rPr>
            </w:pPr>
            <w:r w:rsidRPr="00037BA2">
              <w:rPr>
                <w:rFonts w:ascii="Arial Narrow" w:hAnsi="Arial Narrow"/>
                <w:bCs/>
                <w:sz w:val="16"/>
                <w:szCs w:val="16"/>
              </w:rPr>
              <w:t>Αύξηση εσόδων από μίσθωση αναψυκτηρίων</w:t>
            </w:r>
          </w:p>
        </w:tc>
        <w:tc>
          <w:tcPr>
            <w:tcW w:w="2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37BA2" w:rsidRDefault="00B55027" w:rsidP="00037BA2">
            <w:pPr>
              <w:tabs>
                <w:tab w:val="left" w:pos="284"/>
              </w:tabs>
              <w:jc w:val="both"/>
              <w:cnfStyle w:val="000000100000"/>
              <w:rPr>
                <w:rFonts w:ascii="Arial Narrow" w:hAnsi="Arial Narrow"/>
                <w:bCs/>
                <w:sz w:val="16"/>
                <w:szCs w:val="16"/>
              </w:rPr>
            </w:pPr>
            <w:r w:rsidRPr="00037BA2">
              <w:rPr>
                <w:rFonts w:ascii="Arial Narrow" w:hAnsi="Arial Narrow"/>
                <w:bCs/>
                <w:sz w:val="16"/>
                <w:szCs w:val="16"/>
              </w:rPr>
              <w:t>Αριθμο</w:t>
            </w:r>
            <w:r w:rsidR="00B77E9F">
              <w:rPr>
                <w:rFonts w:ascii="Arial Narrow" w:hAnsi="Arial Narrow"/>
                <w:bCs/>
                <w:sz w:val="16"/>
                <w:szCs w:val="16"/>
              </w:rPr>
              <w:t>δείκτης μικτού περιθωρίου ή μι</w:t>
            </w:r>
            <w:r w:rsidRPr="00037BA2">
              <w:rPr>
                <w:rFonts w:ascii="Arial Narrow" w:hAnsi="Arial Narrow"/>
                <w:bCs/>
                <w:sz w:val="16"/>
                <w:szCs w:val="16"/>
              </w:rPr>
              <w:t>κτού κέρδους (από πωλητήρια)</w:t>
            </w:r>
          </w:p>
        </w:tc>
      </w:tr>
      <w:tr w:rsidR="00B55027" w:rsidRPr="00037BA2" w:rsidTr="00037BA2">
        <w:trPr>
          <w:trHeight w:val="690"/>
        </w:trPr>
        <w:tc>
          <w:tcPr>
            <w:cnfStyle w:val="001000000000"/>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37BA2" w:rsidRDefault="00B55027" w:rsidP="00037BA2">
            <w:pPr>
              <w:tabs>
                <w:tab w:val="left" w:pos="284"/>
              </w:tabs>
              <w:jc w:val="center"/>
              <w:rPr>
                <w:rFonts w:ascii="Arial Narrow" w:hAnsi="Arial Narrow"/>
                <w:color w:val="auto"/>
                <w:sz w:val="16"/>
                <w:szCs w:val="16"/>
              </w:rPr>
            </w:pPr>
            <w:r w:rsidRPr="00037BA2">
              <w:rPr>
                <w:rFonts w:ascii="Arial Narrow" w:hAnsi="Arial Narrow"/>
                <w:color w:val="auto"/>
                <w:sz w:val="16"/>
                <w:szCs w:val="16"/>
              </w:rPr>
              <w:t>Περιγραφή:</w:t>
            </w:r>
          </w:p>
        </w:tc>
        <w:tc>
          <w:tcPr>
            <w:tcW w:w="14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B77E9F">
            <w:pPr>
              <w:tabs>
                <w:tab w:val="left" w:pos="284"/>
              </w:tabs>
              <w:jc w:val="both"/>
              <w:cnfStyle w:val="000000000000"/>
              <w:rPr>
                <w:rFonts w:ascii="Arial Narrow" w:hAnsi="Arial Narrow"/>
                <w:bCs/>
                <w:sz w:val="16"/>
                <w:szCs w:val="16"/>
              </w:rPr>
            </w:pPr>
            <w:r w:rsidRPr="00037BA2">
              <w:rPr>
                <w:rFonts w:ascii="Arial Narrow" w:hAnsi="Arial Narrow"/>
                <w:bCs/>
                <w:sz w:val="16"/>
                <w:szCs w:val="16"/>
              </w:rPr>
              <w:t>Με τον δείκτη αυτό θα υπολογιστεί το ποσό ή/και ποσοστό της αύξησης των εσόδων από την επαναλειτουργία των αναψυκτηρίων αρχαιολογικών χώρων, μουσείων και μνημείων.</w:t>
            </w:r>
          </w:p>
        </w:tc>
        <w:tc>
          <w:tcPr>
            <w:tcW w:w="2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BC1FFF">
            <w:pPr>
              <w:tabs>
                <w:tab w:val="left" w:pos="284"/>
              </w:tabs>
              <w:jc w:val="both"/>
              <w:cnfStyle w:val="000000000000"/>
              <w:rPr>
                <w:rFonts w:ascii="Arial Narrow" w:hAnsi="Arial Narrow"/>
                <w:bCs/>
                <w:sz w:val="16"/>
                <w:szCs w:val="16"/>
              </w:rPr>
            </w:pPr>
            <w:r w:rsidRPr="00037BA2">
              <w:rPr>
                <w:rFonts w:ascii="Arial Narrow" w:hAnsi="Arial Narrow"/>
                <w:bCs/>
                <w:sz w:val="16"/>
                <w:szCs w:val="16"/>
              </w:rPr>
              <w:t>Με τον δείκτη αυτό θα υπολογιστεί το ποσοστό της αύξησης ή μείωσης των μικτών κερδών από τα πωλητέα είδη πιθανόν λόγω αλλαγής της τιμολογιακής πολιτικής του ΤΑΠ ή του συστήματος προμηθειών αλλά κυρίως από την έγκαιρη έναρξη κλειστών πωλητηρίων των αρχαιολογικών χώρων, μουσείων και μνημείων.</w:t>
            </w:r>
          </w:p>
        </w:tc>
      </w:tr>
      <w:tr w:rsidR="00B55027" w:rsidRPr="00037BA2" w:rsidTr="00037BA2">
        <w:trPr>
          <w:cnfStyle w:val="000000100000"/>
          <w:trHeight w:val="456"/>
        </w:trPr>
        <w:tc>
          <w:tcPr>
            <w:cnfStyle w:val="001000000000"/>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37BA2" w:rsidRDefault="00B55027" w:rsidP="00037BA2">
            <w:pPr>
              <w:tabs>
                <w:tab w:val="left" w:pos="284"/>
              </w:tabs>
              <w:jc w:val="center"/>
              <w:rPr>
                <w:rFonts w:ascii="Arial Narrow" w:hAnsi="Arial Narrow"/>
                <w:color w:val="auto"/>
                <w:sz w:val="16"/>
                <w:szCs w:val="16"/>
              </w:rPr>
            </w:pPr>
            <w:r w:rsidRPr="00037BA2">
              <w:rPr>
                <w:rFonts w:ascii="Arial Narrow" w:hAnsi="Arial Narrow"/>
                <w:color w:val="auto"/>
                <w:sz w:val="16"/>
                <w:szCs w:val="16"/>
              </w:rPr>
              <w:t>Μονάδα μέτρησης:</w:t>
            </w:r>
          </w:p>
        </w:tc>
        <w:tc>
          <w:tcPr>
            <w:tcW w:w="14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A81EED">
            <w:pPr>
              <w:tabs>
                <w:tab w:val="left" w:pos="284"/>
              </w:tabs>
              <w:jc w:val="both"/>
              <w:cnfStyle w:val="000000100000"/>
              <w:rPr>
                <w:rFonts w:ascii="Arial Narrow" w:hAnsi="Arial Narrow"/>
                <w:bCs/>
                <w:sz w:val="16"/>
                <w:szCs w:val="16"/>
              </w:rPr>
            </w:pPr>
            <w:r w:rsidRPr="00037BA2">
              <w:rPr>
                <w:rFonts w:ascii="Arial Narrow" w:hAnsi="Arial Narrow"/>
                <w:bCs/>
                <w:sz w:val="16"/>
                <w:szCs w:val="16"/>
              </w:rPr>
              <w:t>Απόλυτος αριθμός ή /και ποσοστό %</w:t>
            </w:r>
          </w:p>
        </w:tc>
        <w:tc>
          <w:tcPr>
            <w:tcW w:w="2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A81EED">
            <w:pPr>
              <w:tabs>
                <w:tab w:val="left" w:pos="284"/>
              </w:tabs>
              <w:jc w:val="both"/>
              <w:cnfStyle w:val="000000100000"/>
              <w:rPr>
                <w:rFonts w:ascii="Arial Narrow" w:hAnsi="Arial Narrow"/>
                <w:bCs/>
                <w:sz w:val="16"/>
                <w:szCs w:val="16"/>
              </w:rPr>
            </w:pPr>
            <w:r w:rsidRPr="00037BA2">
              <w:rPr>
                <w:rFonts w:ascii="Arial Narrow" w:hAnsi="Arial Narrow"/>
                <w:bCs/>
                <w:sz w:val="16"/>
                <w:szCs w:val="16"/>
              </w:rPr>
              <w:t>%</w:t>
            </w:r>
          </w:p>
        </w:tc>
      </w:tr>
      <w:tr w:rsidR="00B55027" w:rsidRPr="00037BA2" w:rsidTr="00037BA2">
        <w:trPr>
          <w:trHeight w:val="222"/>
        </w:trPr>
        <w:tc>
          <w:tcPr>
            <w:cnfStyle w:val="001000000000"/>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5027" w:rsidRPr="00037BA2" w:rsidRDefault="00B55027" w:rsidP="00037BA2">
            <w:pPr>
              <w:tabs>
                <w:tab w:val="left" w:pos="284"/>
              </w:tabs>
              <w:jc w:val="center"/>
              <w:rPr>
                <w:rFonts w:ascii="Arial Narrow" w:hAnsi="Arial Narrow"/>
                <w:color w:val="auto"/>
                <w:sz w:val="16"/>
                <w:szCs w:val="16"/>
              </w:rPr>
            </w:pPr>
            <w:r w:rsidRPr="00037BA2">
              <w:rPr>
                <w:rFonts w:ascii="Arial Narrow" w:hAnsi="Arial Narrow"/>
                <w:color w:val="auto"/>
                <w:sz w:val="16"/>
                <w:szCs w:val="16"/>
              </w:rPr>
              <w:t>Τύπος:</w:t>
            </w:r>
          </w:p>
        </w:tc>
        <w:tc>
          <w:tcPr>
            <w:tcW w:w="14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A81EED">
            <w:pPr>
              <w:tabs>
                <w:tab w:val="left" w:pos="284"/>
              </w:tabs>
              <w:jc w:val="both"/>
              <w:cnfStyle w:val="000000000000"/>
              <w:rPr>
                <w:rFonts w:ascii="Arial Narrow" w:hAnsi="Arial Narrow"/>
                <w:bCs/>
                <w:sz w:val="16"/>
                <w:szCs w:val="16"/>
              </w:rPr>
            </w:pPr>
            <w:r w:rsidRPr="00037BA2">
              <w:rPr>
                <w:rFonts w:ascii="Arial Narrow" w:hAnsi="Arial Narrow"/>
                <w:bCs/>
                <w:sz w:val="16"/>
                <w:szCs w:val="16"/>
              </w:rPr>
              <w:t>[Έσοδα από μισθώσεις των αναψυκτηρίων 2019-Έσοδα από μισθώσεις των αναψυκτηρίων 2018]</w:t>
            </w:r>
          </w:p>
          <w:p w:rsidR="00B55027" w:rsidRPr="00037BA2" w:rsidRDefault="00B55027" w:rsidP="00A81EED">
            <w:pPr>
              <w:tabs>
                <w:tab w:val="left" w:pos="284"/>
              </w:tabs>
              <w:jc w:val="both"/>
              <w:cnfStyle w:val="000000000000"/>
              <w:rPr>
                <w:rFonts w:ascii="Arial Narrow" w:hAnsi="Arial Narrow"/>
                <w:bCs/>
                <w:sz w:val="16"/>
                <w:szCs w:val="16"/>
              </w:rPr>
            </w:pPr>
            <w:r w:rsidRPr="00037BA2">
              <w:rPr>
                <w:rFonts w:ascii="Arial Narrow" w:hAnsi="Arial Narrow"/>
                <w:bCs/>
                <w:sz w:val="16"/>
                <w:szCs w:val="16"/>
              </w:rPr>
              <w:t>Ή</w:t>
            </w:r>
          </w:p>
          <w:p w:rsidR="00B55027" w:rsidRPr="00037BA2" w:rsidRDefault="00B55027" w:rsidP="00A81EED">
            <w:pPr>
              <w:tabs>
                <w:tab w:val="left" w:pos="284"/>
              </w:tabs>
              <w:jc w:val="both"/>
              <w:cnfStyle w:val="000000000000"/>
              <w:rPr>
                <w:rFonts w:ascii="Arial Narrow" w:hAnsi="Arial Narrow"/>
                <w:bCs/>
                <w:sz w:val="16"/>
                <w:szCs w:val="16"/>
              </w:rPr>
            </w:pPr>
            <w:r w:rsidRPr="00037BA2">
              <w:rPr>
                <w:rFonts w:ascii="Arial Narrow" w:hAnsi="Arial Narrow"/>
                <w:bCs/>
                <w:sz w:val="16"/>
                <w:szCs w:val="16"/>
              </w:rPr>
              <w:t>[Έσοδα από μισθώσεις των αναψυκτηρίων  2019/Έσοδα από μισθώσεις των αναψυκτηρίων  2018]*100</w:t>
            </w:r>
          </w:p>
          <w:p w:rsidR="00B55027" w:rsidRPr="00037BA2" w:rsidRDefault="00B55027" w:rsidP="00A81EED">
            <w:pPr>
              <w:tabs>
                <w:tab w:val="left" w:pos="284"/>
              </w:tabs>
              <w:jc w:val="both"/>
              <w:cnfStyle w:val="000000000000"/>
              <w:rPr>
                <w:rFonts w:ascii="Arial Narrow" w:hAnsi="Arial Narrow"/>
                <w:bCs/>
                <w:sz w:val="16"/>
                <w:szCs w:val="16"/>
              </w:rPr>
            </w:pPr>
            <w:r w:rsidRPr="00037BA2">
              <w:rPr>
                <w:rFonts w:ascii="Arial Narrow" w:hAnsi="Arial Narrow"/>
                <w:bCs/>
                <w:sz w:val="16"/>
                <w:szCs w:val="16"/>
              </w:rPr>
              <w:t>Σημειώνεται ότι ως έσοδα από αναψυκτήρια νοούνται τα έσοδα από μισθώματα αυτών.</w:t>
            </w:r>
          </w:p>
        </w:tc>
        <w:tc>
          <w:tcPr>
            <w:tcW w:w="2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A81EED">
            <w:pPr>
              <w:tabs>
                <w:tab w:val="left" w:pos="284"/>
              </w:tabs>
              <w:jc w:val="both"/>
              <w:cnfStyle w:val="000000000000"/>
              <w:rPr>
                <w:rFonts w:ascii="Arial Narrow" w:hAnsi="Arial Narrow"/>
                <w:bCs/>
                <w:sz w:val="16"/>
                <w:szCs w:val="16"/>
              </w:rPr>
            </w:pPr>
            <w:r w:rsidRPr="00037BA2">
              <w:rPr>
                <w:rFonts w:ascii="Arial Narrow" w:hAnsi="Arial Narrow"/>
                <w:bCs/>
                <w:sz w:val="16"/>
                <w:szCs w:val="16"/>
              </w:rPr>
              <w:t>[Μικτά κέρδη /Κύκλο εργασιών (πωλήσεις)]*100</w:t>
            </w:r>
          </w:p>
          <w:p w:rsidR="00B55027" w:rsidRPr="00037BA2" w:rsidRDefault="00B55027" w:rsidP="00A81EED">
            <w:pPr>
              <w:tabs>
                <w:tab w:val="left" w:pos="284"/>
              </w:tabs>
              <w:jc w:val="both"/>
              <w:cnfStyle w:val="000000000000"/>
              <w:rPr>
                <w:rFonts w:ascii="Arial Narrow" w:hAnsi="Arial Narrow"/>
                <w:bCs/>
                <w:sz w:val="16"/>
                <w:szCs w:val="16"/>
              </w:rPr>
            </w:pPr>
            <w:r w:rsidRPr="00037BA2">
              <w:rPr>
                <w:rFonts w:ascii="Arial Narrow" w:hAnsi="Arial Narrow"/>
                <w:bCs/>
                <w:sz w:val="16"/>
                <w:szCs w:val="16"/>
              </w:rPr>
              <w:t>Σημειώνεται ότι ως μικτά κέρδη νοούνται τα έσοδα από πωλητέα είδη μείον το κόστος πωληθέντων.</w:t>
            </w:r>
          </w:p>
        </w:tc>
      </w:tr>
      <w:tr w:rsidR="00B55027" w:rsidRPr="00037BA2" w:rsidTr="00037BA2">
        <w:trPr>
          <w:cnfStyle w:val="000000100000"/>
          <w:trHeight w:val="222"/>
        </w:trPr>
        <w:tc>
          <w:tcPr>
            <w:cnfStyle w:val="001000000000"/>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10B4" w:rsidRDefault="000E10B4" w:rsidP="00037BA2">
            <w:pPr>
              <w:tabs>
                <w:tab w:val="left" w:pos="284"/>
              </w:tabs>
              <w:jc w:val="center"/>
              <w:rPr>
                <w:rFonts w:ascii="Arial Narrow" w:hAnsi="Arial Narrow"/>
                <w:color w:val="auto"/>
                <w:sz w:val="16"/>
                <w:szCs w:val="16"/>
              </w:rPr>
            </w:pPr>
          </w:p>
          <w:p w:rsidR="00B55027" w:rsidRDefault="00B55027" w:rsidP="00037BA2">
            <w:pPr>
              <w:tabs>
                <w:tab w:val="left" w:pos="284"/>
              </w:tabs>
              <w:jc w:val="center"/>
              <w:rPr>
                <w:rFonts w:ascii="Arial Narrow" w:hAnsi="Arial Narrow"/>
                <w:color w:val="auto"/>
                <w:sz w:val="16"/>
                <w:szCs w:val="16"/>
              </w:rPr>
            </w:pPr>
            <w:r w:rsidRPr="00037BA2">
              <w:rPr>
                <w:rFonts w:ascii="Arial Narrow" w:hAnsi="Arial Narrow"/>
                <w:color w:val="auto"/>
                <w:sz w:val="16"/>
                <w:szCs w:val="16"/>
              </w:rPr>
              <w:t>Συχνότητα διεξαγωγής μέτρησης:</w:t>
            </w:r>
          </w:p>
          <w:p w:rsidR="000E10B4" w:rsidRPr="00037BA2" w:rsidRDefault="000E10B4" w:rsidP="00037BA2">
            <w:pPr>
              <w:tabs>
                <w:tab w:val="left" w:pos="284"/>
              </w:tabs>
              <w:jc w:val="center"/>
              <w:rPr>
                <w:rFonts w:ascii="Arial Narrow" w:hAnsi="Arial Narrow"/>
                <w:color w:val="auto"/>
                <w:sz w:val="16"/>
                <w:szCs w:val="16"/>
              </w:rPr>
            </w:pPr>
          </w:p>
        </w:tc>
        <w:tc>
          <w:tcPr>
            <w:tcW w:w="14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A81EED">
            <w:pPr>
              <w:tabs>
                <w:tab w:val="left" w:pos="284"/>
              </w:tabs>
              <w:jc w:val="both"/>
              <w:cnfStyle w:val="000000100000"/>
              <w:rPr>
                <w:rFonts w:ascii="Arial Narrow" w:hAnsi="Arial Narrow"/>
                <w:bCs/>
                <w:sz w:val="16"/>
                <w:szCs w:val="16"/>
              </w:rPr>
            </w:pPr>
            <w:r w:rsidRPr="00037BA2">
              <w:rPr>
                <w:rFonts w:ascii="Arial Narrow" w:hAnsi="Arial Narrow"/>
                <w:bCs/>
                <w:sz w:val="16"/>
                <w:szCs w:val="16"/>
              </w:rPr>
              <w:t>Ανά τετράμηνο</w:t>
            </w:r>
          </w:p>
        </w:tc>
        <w:tc>
          <w:tcPr>
            <w:tcW w:w="2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A81EED">
            <w:pPr>
              <w:tabs>
                <w:tab w:val="left" w:pos="284"/>
              </w:tabs>
              <w:jc w:val="both"/>
              <w:cnfStyle w:val="000000100000"/>
              <w:rPr>
                <w:rFonts w:ascii="Arial Narrow" w:hAnsi="Arial Narrow"/>
                <w:bCs/>
                <w:sz w:val="16"/>
                <w:szCs w:val="16"/>
              </w:rPr>
            </w:pPr>
            <w:r w:rsidRPr="00037BA2">
              <w:rPr>
                <w:rFonts w:ascii="Arial Narrow" w:hAnsi="Arial Narrow"/>
                <w:bCs/>
                <w:sz w:val="16"/>
                <w:szCs w:val="16"/>
              </w:rPr>
              <w:t>Ανά τετράμηνο</w:t>
            </w:r>
          </w:p>
        </w:tc>
      </w:tr>
      <w:tr w:rsidR="00B55027" w:rsidRPr="00037BA2" w:rsidTr="00037BA2">
        <w:trPr>
          <w:trHeight w:val="230"/>
        </w:trPr>
        <w:tc>
          <w:tcPr>
            <w:cnfStyle w:val="001000000000"/>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10B4" w:rsidRDefault="000E10B4" w:rsidP="00037BA2">
            <w:pPr>
              <w:tabs>
                <w:tab w:val="left" w:pos="284"/>
              </w:tabs>
              <w:jc w:val="center"/>
              <w:rPr>
                <w:rFonts w:ascii="Arial Narrow" w:hAnsi="Arial Narrow"/>
                <w:color w:val="auto"/>
                <w:sz w:val="16"/>
                <w:szCs w:val="16"/>
              </w:rPr>
            </w:pPr>
          </w:p>
          <w:p w:rsidR="00B55027" w:rsidRDefault="00B55027" w:rsidP="00037BA2">
            <w:pPr>
              <w:tabs>
                <w:tab w:val="left" w:pos="284"/>
              </w:tabs>
              <w:jc w:val="center"/>
              <w:rPr>
                <w:rFonts w:ascii="Arial Narrow" w:hAnsi="Arial Narrow"/>
                <w:color w:val="auto"/>
                <w:sz w:val="16"/>
                <w:szCs w:val="16"/>
              </w:rPr>
            </w:pPr>
            <w:r w:rsidRPr="00037BA2">
              <w:rPr>
                <w:rFonts w:ascii="Arial Narrow" w:hAnsi="Arial Narrow"/>
                <w:color w:val="auto"/>
                <w:sz w:val="16"/>
                <w:szCs w:val="16"/>
              </w:rPr>
              <w:t>Τιμή-στόχος για το 2019</w:t>
            </w:r>
          </w:p>
          <w:p w:rsidR="000E10B4" w:rsidRPr="00037BA2" w:rsidRDefault="000E10B4" w:rsidP="00037BA2">
            <w:pPr>
              <w:tabs>
                <w:tab w:val="left" w:pos="284"/>
              </w:tabs>
              <w:jc w:val="center"/>
              <w:rPr>
                <w:rFonts w:ascii="Arial Narrow" w:hAnsi="Arial Narrow"/>
                <w:color w:val="auto"/>
                <w:sz w:val="16"/>
                <w:szCs w:val="16"/>
              </w:rPr>
            </w:pPr>
          </w:p>
        </w:tc>
        <w:tc>
          <w:tcPr>
            <w:tcW w:w="14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55027" w:rsidP="00A81EED">
            <w:pPr>
              <w:tabs>
                <w:tab w:val="left" w:pos="284"/>
              </w:tabs>
              <w:jc w:val="both"/>
              <w:cnfStyle w:val="000000000000"/>
              <w:rPr>
                <w:rFonts w:ascii="Arial Narrow" w:hAnsi="Arial Narrow"/>
                <w:bCs/>
                <w:sz w:val="16"/>
                <w:szCs w:val="16"/>
              </w:rPr>
            </w:pPr>
            <w:r w:rsidRPr="00037BA2">
              <w:rPr>
                <w:rFonts w:ascii="Arial Narrow" w:hAnsi="Arial Narrow"/>
                <w:bCs/>
                <w:sz w:val="16"/>
                <w:szCs w:val="16"/>
              </w:rPr>
              <w:t>Η αύξηση των εσόδων κατά 20%  μετά από την εφαρμογή της εν λόγω δράσης.</w:t>
            </w:r>
          </w:p>
        </w:tc>
        <w:tc>
          <w:tcPr>
            <w:tcW w:w="2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027" w:rsidRPr="00037BA2" w:rsidRDefault="00B77E9F" w:rsidP="00A81EED">
            <w:pPr>
              <w:tabs>
                <w:tab w:val="left" w:pos="284"/>
              </w:tabs>
              <w:jc w:val="both"/>
              <w:cnfStyle w:val="000000000000"/>
              <w:rPr>
                <w:rFonts w:ascii="Arial Narrow" w:hAnsi="Arial Narrow"/>
                <w:bCs/>
                <w:sz w:val="16"/>
                <w:szCs w:val="16"/>
              </w:rPr>
            </w:pPr>
            <w:r>
              <w:rPr>
                <w:rFonts w:ascii="Arial Narrow" w:hAnsi="Arial Narrow"/>
                <w:bCs/>
                <w:sz w:val="16"/>
                <w:szCs w:val="16"/>
              </w:rPr>
              <w:t>Η αύξηση του μ</w:t>
            </w:r>
            <w:r w:rsidR="00B55027" w:rsidRPr="00037BA2">
              <w:rPr>
                <w:rFonts w:ascii="Arial Narrow" w:hAnsi="Arial Narrow"/>
                <w:bCs/>
                <w:sz w:val="16"/>
                <w:szCs w:val="16"/>
              </w:rPr>
              <w:t>ικτού κέρδους των πωλητηρίων κατά 10% μετά από την εφαρμογή της εν λόγω δράσης.</w:t>
            </w:r>
          </w:p>
        </w:tc>
      </w:tr>
    </w:tbl>
    <w:p w:rsidR="00B55027" w:rsidRDefault="00B55027" w:rsidP="00B55027">
      <w:pPr>
        <w:tabs>
          <w:tab w:val="left" w:pos="284"/>
        </w:tabs>
        <w:jc w:val="both"/>
        <w:rPr>
          <w:bCs/>
          <w:sz w:val="22"/>
        </w:rPr>
      </w:pPr>
    </w:p>
    <w:p w:rsidR="00E674C0" w:rsidRDefault="00E674C0" w:rsidP="00B55027">
      <w:pPr>
        <w:tabs>
          <w:tab w:val="left" w:pos="284"/>
        </w:tabs>
        <w:jc w:val="both"/>
        <w:rPr>
          <w:bCs/>
          <w:sz w:val="22"/>
        </w:rPr>
      </w:pPr>
    </w:p>
    <w:p w:rsidR="00E674C0" w:rsidRDefault="00E674C0" w:rsidP="00B55027">
      <w:pPr>
        <w:tabs>
          <w:tab w:val="left" w:pos="284"/>
        </w:tabs>
        <w:jc w:val="both"/>
        <w:rPr>
          <w:bCs/>
          <w:sz w:val="22"/>
        </w:rPr>
      </w:pPr>
    </w:p>
    <w:p w:rsidR="00304EBC" w:rsidRDefault="00304EBC" w:rsidP="00B55027">
      <w:pPr>
        <w:tabs>
          <w:tab w:val="left" w:pos="284"/>
        </w:tabs>
        <w:jc w:val="both"/>
        <w:rPr>
          <w:bCs/>
          <w:sz w:val="22"/>
        </w:rPr>
      </w:pPr>
    </w:p>
    <w:p w:rsidR="00304EBC" w:rsidRDefault="00304EBC" w:rsidP="00B55027">
      <w:pPr>
        <w:tabs>
          <w:tab w:val="left" w:pos="284"/>
        </w:tabs>
        <w:jc w:val="both"/>
        <w:rPr>
          <w:bCs/>
          <w:sz w:val="22"/>
        </w:rPr>
      </w:pPr>
    </w:p>
    <w:p w:rsidR="00304EBC" w:rsidRDefault="00304EBC" w:rsidP="00B55027">
      <w:pPr>
        <w:tabs>
          <w:tab w:val="left" w:pos="284"/>
        </w:tabs>
        <w:jc w:val="both"/>
        <w:rPr>
          <w:bCs/>
          <w:sz w:val="22"/>
        </w:rPr>
      </w:pPr>
    </w:p>
    <w:p w:rsidR="00B55027" w:rsidRDefault="00B55027" w:rsidP="00B55027">
      <w:pPr>
        <w:tabs>
          <w:tab w:val="left" w:pos="284"/>
        </w:tabs>
        <w:jc w:val="both"/>
        <w:rPr>
          <w:rFonts w:ascii="Arial Narrow" w:hAnsi="Arial Narrow"/>
          <w:b/>
          <w:bCs/>
          <w:sz w:val="22"/>
        </w:rPr>
      </w:pPr>
      <w:r w:rsidRPr="003266B4">
        <w:rPr>
          <w:rFonts w:ascii="Arial Narrow" w:hAnsi="Arial Narrow"/>
          <w:b/>
          <w:bCs/>
          <w:sz w:val="22"/>
        </w:rPr>
        <w:t>Υπουργείο Υποδομών και Μεταφορών</w:t>
      </w:r>
    </w:p>
    <w:p w:rsidR="00601A26" w:rsidRDefault="00601A26" w:rsidP="00B55027">
      <w:pPr>
        <w:tabs>
          <w:tab w:val="left" w:pos="284"/>
        </w:tabs>
        <w:jc w:val="both"/>
        <w:rPr>
          <w:rFonts w:ascii="Arial Narrow" w:hAnsi="Arial Narrow"/>
          <w:b/>
          <w:bCs/>
          <w:sz w:val="22"/>
        </w:rPr>
      </w:pPr>
    </w:p>
    <w:p w:rsidR="00304EBC" w:rsidRPr="003266B4" w:rsidRDefault="00304EBC" w:rsidP="00120B5A">
      <w:pPr>
        <w:tabs>
          <w:tab w:val="left" w:pos="284"/>
        </w:tabs>
        <w:jc w:val="center"/>
        <w:rPr>
          <w:rFonts w:ascii="Arial Narrow" w:hAnsi="Arial Narrow"/>
          <w:b/>
          <w:bCs/>
          <w:sz w:val="22"/>
        </w:rPr>
      </w:pPr>
      <w:r>
        <w:rPr>
          <w:rFonts w:ascii="Arial Narrow" w:hAnsi="Arial Narrow"/>
          <w:b/>
          <w:bCs/>
          <w:sz w:val="22"/>
        </w:rPr>
        <w:t>Διάγραμμα 3</w:t>
      </w:r>
      <w:r w:rsidR="0014719E">
        <w:rPr>
          <w:rFonts w:ascii="Arial Narrow" w:hAnsi="Arial Narrow"/>
          <w:b/>
          <w:bCs/>
          <w:sz w:val="22"/>
        </w:rPr>
        <w:t>.4</w:t>
      </w:r>
      <w:r>
        <w:rPr>
          <w:rFonts w:ascii="Arial Narrow" w:hAnsi="Arial Narrow"/>
          <w:b/>
          <w:bCs/>
          <w:sz w:val="22"/>
        </w:rPr>
        <w:t xml:space="preserve"> Ταξινόμηση λειτουργιών του Υπουργείου </w:t>
      </w:r>
      <w:r w:rsidR="00601A26">
        <w:rPr>
          <w:rFonts w:ascii="Arial Narrow" w:hAnsi="Arial Narrow"/>
          <w:b/>
          <w:bCs/>
          <w:sz w:val="22"/>
        </w:rPr>
        <w:t>Υποδομών και Μεταφορών</w:t>
      </w:r>
    </w:p>
    <w:p w:rsidR="00B55027" w:rsidRPr="00B55027" w:rsidRDefault="00B55027" w:rsidP="00B55027">
      <w:pPr>
        <w:tabs>
          <w:tab w:val="left" w:pos="284"/>
        </w:tabs>
        <w:jc w:val="both"/>
        <w:rPr>
          <w:b/>
          <w:bCs/>
          <w:sz w:val="22"/>
        </w:rPr>
      </w:pPr>
      <w:r w:rsidRPr="00B55027">
        <w:rPr>
          <w:b/>
          <w:bCs/>
          <w:noProof/>
          <w:sz w:val="22"/>
        </w:rPr>
        <w:drawing>
          <wp:inline distT="0" distB="0" distL="0" distR="0">
            <wp:extent cx="5724103" cy="3166617"/>
            <wp:effectExtent l="19050" t="0" r="0" b="0"/>
            <wp:docPr id="10"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55027" w:rsidRPr="00B55027" w:rsidRDefault="00B55027" w:rsidP="00B55027">
      <w:pPr>
        <w:tabs>
          <w:tab w:val="left" w:pos="284"/>
        </w:tabs>
        <w:jc w:val="both"/>
        <w:rPr>
          <w:b/>
          <w:bCs/>
          <w:sz w:val="22"/>
        </w:rPr>
      </w:pPr>
    </w:p>
    <w:p w:rsidR="00B55027" w:rsidRPr="00B55027" w:rsidRDefault="00B55027" w:rsidP="00B55027">
      <w:pPr>
        <w:tabs>
          <w:tab w:val="left" w:pos="284"/>
        </w:tabs>
        <w:jc w:val="both"/>
        <w:rPr>
          <w:bCs/>
          <w:sz w:val="22"/>
        </w:rPr>
      </w:pPr>
      <w:r w:rsidRPr="00B55027">
        <w:rPr>
          <w:bCs/>
          <w:sz w:val="22"/>
        </w:rPr>
        <w:t xml:space="preserve">Για την παρακολούθηση της υλοποίησης των νέων δράσεων 2018 τίθενται πιλοτικά δείκτες, οι οποίοι έχουν ως εξής: </w:t>
      </w:r>
    </w:p>
    <w:p w:rsidR="00B55027" w:rsidRDefault="00B55027" w:rsidP="00B55027">
      <w:pPr>
        <w:tabs>
          <w:tab w:val="left" w:pos="284"/>
        </w:tabs>
        <w:jc w:val="both"/>
        <w:rPr>
          <w:bCs/>
          <w:sz w:val="22"/>
        </w:rPr>
      </w:pPr>
    </w:p>
    <w:p w:rsidR="00E674C0" w:rsidRPr="00B55027" w:rsidRDefault="00E674C0" w:rsidP="00B55027">
      <w:pPr>
        <w:tabs>
          <w:tab w:val="left" w:pos="284"/>
        </w:tabs>
        <w:jc w:val="both"/>
        <w:rPr>
          <w:bCs/>
          <w:sz w:val="22"/>
        </w:rPr>
      </w:pPr>
    </w:p>
    <w:tbl>
      <w:tblPr>
        <w:tblW w:w="924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4122"/>
        <w:gridCol w:w="3686"/>
      </w:tblGrid>
      <w:tr w:rsidR="00B55027" w:rsidRPr="00037BA2" w:rsidTr="00E674C0">
        <w:trPr>
          <w:trHeight w:val="495"/>
        </w:trPr>
        <w:tc>
          <w:tcPr>
            <w:tcW w:w="1436" w:type="dxa"/>
            <w:shd w:val="clear" w:color="000000" w:fill="D9D9D9" w:themeFill="background1" w:themeFillShade="D9"/>
            <w:vAlign w:val="center"/>
            <w:hideMark/>
          </w:tcPr>
          <w:p w:rsidR="00E674C0"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α/α δείκτη</w:t>
            </w:r>
          </w:p>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μέτρησης:</w:t>
            </w:r>
          </w:p>
        </w:tc>
        <w:tc>
          <w:tcPr>
            <w:tcW w:w="4122" w:type="dxa"/>
            <w:tcBorders>
              <w:bottom w:val="single" w:sz="4" w:space="0" w:color="auto"/>
            </w:tcBorders>
            <w:shd w:val="clear" w:color="000000" w:fill="D9D9D9" w:themeFill="background1" w:themeFillShade="D9"/>
            <w:vAlign w:val="center"/>
            <w:hideMark/>
          </w:tcPr>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1</w:t>
            </w:r>
          </w:p>
        </w:tc>
        <w:tc>
          <w:tcPr>
            <w:tcW w:w="3686" w:type="dxa"/>
            <w:tcBorders>
              <w:bottom w:val="single" w:sz="4" w:space="0" w:color="auto"/>
            </w:tcBorders>
            <w:shd w:val="clear" w:color="000000" w:fill="D9D9D9" w:themeFill="background1" w:themeFillShade="D9"/>
            <w:vAlign w:val="center"/>
            <w:hideMark/>
          </w:tcPr>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2</w:t>
            </w:r>
          </w:p>
        </w:tc>
      </w:tr>
      <w:tr w:rsidR="00B55027" w:rsidRPr="00037BA2" w:rsidTr="00E674C0">
        <w:trPr>
          <w:trHeight w:val="681"/>
        </w:trPr>
        <w:tc>
          <w:tcPr>
            <w:tcW w:w="1436" w:type="dxa"/>
            <w:shd w:val="clear" w:color="000000" w:fill="D9D9D9" w:themeFill="background1" w:themeFillShade="D9"/>
            <w:vAlign w:val="center"/>
            <w:hideMark/>
          </w:tcPr>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Ονομασία:</w:t>
            </w:r>
          </w:p>
        </w:tc>
        <w:tc>
          <w:tcPr>
            <w:tcW w:w="4122"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Μέσος αριθμός ελέγχων εισιτηρίων ανά ελεγκτή</w:t>
            </w:r>
          </w:p>
        </w:tc>
        <w:tc>
          <w:tcPr>
            <w:tcW w:w="3686"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Αριθμοδείκτης πρόσθετης αύξησης εσόδων από την εφαρμογή e-ticket και την καταπολέμηση της εισιτηριοδιαφυγής.</w:t>
            </w:r>
          </w:p>
        </w:tc>
      </w:tr>
      <w:tr w:rsidR="00B55027" w:rsidRPr="00037BA2" w:rsidTr="00E674C0">
        <w:trPr>
          <w:trHeight w:val="974"/>
        </w:trPr>
        <w:tc>
          <w:tcPr>
            <w:tcW w:w="1436" w:type="dxa"/>
            <w:shd w:val="clear" w:color="000000" w:fill="D9D9D9" w:themeFill="background1" w:themeFillShade="D9"/>
            <w:vAlign w:val="center"/>
            <w:hideMark/>
          </w:tcPr>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Περιγραφή:</w:t>
            </w:r>
          </w:p>
        </w:tc>
        <w:tc>
          <w:tcPr>
            <w:tcW w:w="4122"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Με το δείκτη αυτό θα υπολογιστεί το μέσο πλήθος ελέγχων επικύρωσης των εισιτηρίων που διεξάγονται στα μέσα αστικών μεταφορών.</w:t>
            </w:r>
          </w:p>
        </w:tc>
        <w:tc>
          <w:tcPr>
            <w:tcW w:w="3686"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Με τον δείκτη αυτό θα υπολογιστεί το ποσοστό της αύξησης των εσόδων μετά από την εφαρμογή του ηλεκτρονικού εισιτηρίου στο μετρό και την καταπολέμηση της εισιτηριοδιαφυγής.</w:t>
            </w:r>
          </w:p>
        </w:tc>
      </w:tr>
      <w:tr w:rsidR="00B55027" w:rsidRPr="00037BA2" w:rsidTr="00E674C0">
        <w:trPr>
          <w:trHeight w:val="417"/>
        </w:trPr>
        <w:tc>
          <w:tcPr>
            <w:tcW w:w="1436" w:type="dxa"/>
            <w:shd w:val="clear" w:color="000000" w:fill="D9D9D9" w:themeFill="background1" w:themeFillShade="D9"/>
            <w:vAlign w:val="center"/>
            <w:hideMark/>
          </w:tcPr>
          <w:p w:rsidR="00E674C0"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Μονάδα</w:t>
            </w:r>
          </w:p>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μέτρησης:</w:t>
            </w:r>
          </w:p>
        </w:tc>
        <w:tc>
          <w:tcPr>
            <w:tcW w:w="4122"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Απόλυτος αριθμός</w:t>
            </w:r>
          </w:p>
        </w:tc>
        <w:tc>
          <w:tcPr>
            <w:tcW w:w="3686"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w:t>
            </w:r>
          </w:p>
        </w:tc>
      </w:tr>
      <w:tr w:rsidR="00B55027" w:rsidRPr="00037BA2" w:rsidTr="00E674C0">
        <w:trPr>
          <w:trHeight w:val="554"/>
        </w:trPr>
        <w:tc>
          <w:tcPr>
            <w:tcW w:w="1436" w:type="dxa"/>
            <w:shd w:val="clear" w:color="000000" w:fill="D9D9D9" w:themeFill="background1" w:themeFillShade="D9"/>
            <w:vAlign w:val="center"/>
            <w:hideMark/>
          </w:tcPr>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Τύπος:</w:t>
            </w:r>
          </w:p>
        </w:tc>
        <w:tc>
          <w:tcPr>
            <w:tcW w:w="4122"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[Σύνολο ελέγχων επικυρώσεων που έχουν διενεργηθεί/Αριθμό ελεγκτών]</w:t>
            </w:r>
          </w:p>
        </w:tc>
        <w:tc>
          <w:tcPr>
            <w:tcW w:w="3686"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[(Έσοδα από εισιτήρια έτους 2019-Έσοδα από εισιτήρια έτους 2018)/Έσοδα από εισιτήρια έτους 2018 ]*100</w:t>
            </w:r>
          </w:p>
        </w:tc>
      </w:tr>
      <w:tr w:rsidR="00B55027" w:rsidRPr="00037BA2" w:rsidTr="00E674C0">
        <w:trPr>
          <w:trHeight w:val="562"/>
        </w:trPr>
        <w:tc>
          <w:tcPr>
            <w:tcW w:w="1436" w:type="dxa"/>
            <w:shd w:val="clear" w:color="000000" w:fill="D9D9D9" w:themeFill="background1" w:themeFillShade="D9"/>
            <w:vAlign w:val="center"/>
            <w:hideMark/>
          </w:tcPr>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Συχνότητα διεξαγωγής μέτρησης:</w:t>
            </w:r>
          </w:p>
        </w:tc>
        <w:tc>
          <w:tcPr>
            <w:tcW w:w="4122"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Ανά τρίμηνο</w:t>
            </w:r>
          </w:p>
        </w:tc>
        <w:tc>
          <w:tcPr>
            <w:tcW w:w="3686"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Ανά τρίμηνο</w:t>
            </w:r>
          </w:p>
        </w:tc>
      </w:tr>
      <w:tr w:rsidR="00B55027" w:rsidRPr="00037BA2" w:rsidTr="00E674C0">
        <w:trPr>
          <w:trHeight w:val="840"/>
        </w:trPr>
        <w:tc>
          <w:tcPr>
            <w:tcW w:w="1436" w:type="dxa"/>
            <w:shd w:val="clear" w:color="000000" w:fill="D9D9D9" w:themeFill="background1" w:themeFillShade="D9"/>
            <w:vAlign w:val="center"/>
            <w:hideMark/>
          </w:tcPr>
          <w:p w:rsidR="00B55027" w:rsidRPr="00037BA2" w:rsidRDefault="00B55027" w:rsidP="00E674C0">
            <w:pPr>
              <w:tabs>
                <w:tab w:val="left" w:pos="284"/>
              </w:tabs>
              <w:jc w:val="center"/>
              <w:rPr>
                <w:rFonts w:ascii="Arial Narrow" w:hAnsi="Arial Narrow"/>
                <w:b/>
                <w:bCs/>
                <w:sz w:val="16"/>
                <w:szCs w:val="16"/>
              </w:rPr>
            </w:pPr>
            <w:r w:rsidRPr="00037BA2">
              <w:rPr>
                <w:rFonts w:ascii="Arial Narrow" w:hAnsi="Arial Narrow"/>
                <w:b/>
                <w:bCs/>
                <w:sz w:val="16"/>
                <w:szCs w:val="16"/>
              </w:rPr>
              <w:t>Τιμή-στόχος:</w:t>
            </w:r>
          </w:p>
        </w:tc>
        <w:tc>
          <w:tcPr>
            <w:tcW w:w="4122"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36.000 επικυρώσεις (χτυπήματα εισιτηρίων) ανά ελεγκτή στο τρίμηνο (δηλ. 400 περίπου οχήματα το μήνα *30 περίπου επικυρώσεις ανά όχημα *3 μήνες)</w:t>
            </w:r>
          </w:p>
        </w:tc>
        <w:tc>
          <w:tcPr>
            <w:tcW w:w="3686" w:type="dxa"/>
            <w:shd w:val="clear" w:color="auto" w:fill="FFFFFF" w:themeFill="background1"/>
            <w:vAlign w:val="center"/>
            <w:hideMark/>
          </w:tcPr>
          <w:p w:rsidR="00B55027" w:rsidRPr="00037BA2" w:rsidRDefault="00B55027" w:rsidP="00E674C0">
            <w:pPr>
              <w:tabs>
                <w:tab w:val="left" w:pos="284"/>
              </w:tabs>
              <w:jc w:val="both"/>
              <w:rPr>
                <w:rFonts w:ascii="Arial Narrow" w:hAnsi="Arial Narrow"/>
                <w:bCs/>
                <w:sz w:val="16"/>
                <w:szCs w:val="16"/>
              </w:rPr>
            </w:pPr>
            <w:r w:rsidRPr="00037BA2">
              <w:rPr>
                <w:rFonts w:ascii="Arial Narrow" w:hAnsi="Arial Narrow"/>
                <w:bCs/>
                <w:sz w:val="16"/>
                <w:szCs w:val="16"/>
              </w:rPr>
              <w:t>10%</w:t>
            </w:r>
          </w:p>
        </w:tc>
      </w:tr>
    </w:tbl>
    <w:p w:rsidR="00B55027" w:rsidRPr="00B55027" w:rsidRDefault="00B55027" w:rsidP="00B55027">
      <w:pPr>
        <w:tabs>
          <w:tab w:val="left" w:pos="284"/>
        </w:tabs>
        <w:jc w:val="both"/>
        <w:rPr>
          <w:bCs/>
          <w:sz w:val="22"/>
        </w:rPr>
      </w:pPr>
    </w:p>
    <w:p w:rsidR="00E674C0" w:rsidRDefault="00E674C0" w:rsidP="00B55027">
      <w:pPr>
        <w:tabs>
          <w:tab w:val="left" w:pos="284"/>
        </w:tabs>
        <w:jc w:val="both"/>
        <w:rPr>
          <w:bCs/>
          <w:sz w:val="22"/>
        </w:rPr>
      </w:pPr>
    </w:p>
    <w:p w:rsidR="00B55027" w:rsidRPr="00B55027" w:rsidRDefault="00B55027" w:rsidP="00B55027">
      <w:pPr>
        <w:tabs>
          <w:tab w:val="left" w:pos="284"/>
        </w:tabs>
        <w:jc w:val="both"/>
        <w:rPr>
          <w:bCs/>
          <w:sz w:val="22"/>
        </w:rPr>
      </w:pPr>
      <w:r w:rsidRPr="00B55027">
        <w:rPr>
          <w:bCs/>
          <w:sz w:val="22"/>
        </w:rPr>
        <w:t>Στόχος είναι κατά το επόμενο έτος να επεκταθεί περαιτέρω ο πιλοτικός σχεδιασμός και οι δράσεις προετοιμασίας των φορέων για την επίτευξη του στόχου της μετάβασης σε προϋπολογισμό επιδόσεων, σύμφωνα με το τεθέν χρονοδιάγραμμα.</w:t>
      </w:r>
    </w:p>
    <w:p w:rsidR="00B55027" w:rsidRDefault="00120B5A" w:rsidP="00B55027">
      <w:pPr>
        <w:tabs>
          <w:tab w:val="left" w:pos="284"/>
        </w:tabs>
        <w:jc w:val="both"/>
        <w:rPr>
          <w:bCs/>
          <w:sz w:val="22"/>
        </w:rPr>
      </w:pPr>
      <w:r>
        <w:rPr>
          <w:bCs/>
          <w:sz w:val="22"/>
        </w:rPr>
        <w:br/>
      </w:r>
    </w:p>
    <w:p w:rsidR="00B55027" w:rsidRPr="00077CC1" w:rsidRDefault="00B55027" w:rsidP="00B55027">
      <w:pPr>
        <w:tabs>
          <w:tab w:val="left" w:pos="284"/>
        </w:tabs>
        <w:jc w:val="both"/>
        <w:rPr>
          <w:rFonts w:ascii="Arial Narrow" w:hAnsi="Arial Narrow"/>
          <w:b/>
          <w:color w:val="000080"/>
          <w:szCs w:val="22"/>
        </w:rPr>
      </w:pPr>
      <w:r w:rsidRPr="00077CC1">
        <w:rPr>
          <w:rFonts w:ascii="Arial Narrow" w:hAnsi="Arial Narrow"/>
          <w:b/>
          <w:color w:val="000080"/>
          <w:szCs w:val="22"/>
        </w:rPr>
        <w:t>Παρουσίαση με στοιχεία προϋπολογισμού επίδοσης τριών κύριων κυβερνητικών πολιτικών</w:t>
      </w:r>
    </w:p>
    <w:p w:rsidR="00077CC1" w:rsidRDefault="00077CC1" w:rsidP="00B55027">
      <w:pPr>
        <w:tabs>
          <w:tab w:val="left" w:pos="284"/>
        </w:tabs>
        <w:jc w:val="both"/>
        <w:rPr>
          <w:bCs/>
          <w:sz w:val="22"/>
        </w:rPr>
      </w:pPr>
    </w:p>
    <w:p w:rsidR="00B55027" w:rsidRDefault="00B55027" w:rsidP="00B55027">
      <w:pPr>
        <w:tabs>
          <w:tab w:val="left" w:pos="284"/>
        </w:tabs>
        <w:jc w:val="both"/>
        <w:rPr>
          <w:bCs/>
          <w:sz w:val="22"/>
        </w:rPr>
      </w:pPr>
      <w:r w:rsidRPr="00B55027">
        <w:rPr>
          <w:bCs/>
          <w:sz w:val="22"/>
        </w:rPr>
        <w:t>Πέραν των δράσεων των πιλοτικών υπουργείων, επιχειρείται η παρουσίαση με στοιχεία προϋπολογισμού επίδοσης τριών πολιτικών, οι οποίες συνιστούν κύριες κυβερνητικές προτεραιότητες. Οι πολιτικές αυτές αφορούν στην:</w:t>
      </w:r>
    </w:p>
    <w:p w:rsidR="00E674C0" w:rsidRPr="00B55027" w:rsidRDefault="00E674C0" w:rsidP="00B55027">
      <w:pPr>
        <w:tabs>
          <w:tab w:val="left" w:pos="284"/>
        </w:tabs>
        <w:jc w:val="both"/>
        <w:rPr>
          <w:bCs/>
          <w:sz w:val="22"/>
        </w:rPr>
      </w:pPr>
    </w:p>
    <w:p w:rsidR="00B55027" w:rsidRPr="00B55027" w:rsidRDefault="00B55027" w:rsidP="00B55027">
      <w:pPr>
        <w:tabs>
          <w:tab w:val="left" w:pos="284"/>
        </w:tabs>
        <w:jc w:val="both"/>
        <w:rPr>
          <w:bCs/>
          <w:sz w:val="22"/>
        </w:rPr>
      </w:pPr>
      <w:r w:rsidRPr="00B55027">
        <w:rPr>
          <w:bCs/>
          <w:sz w:val="22"/>
        </w:rPr>
        <w:t>•</w:t>
      </w:r>
      <w:r w:rsidRPr="00B55027">
        <w:rPr>
          <w:bCs/>
          <w:sz w:val="22"/>
        </w:rPr>
        <w:tab/>
        <w:t xml:space="preserve"> αντιμετώπιση της παιδικής φτώχειας, </w:t>
      </w:r>
    </w:p>
    <w:p w:rsidR="00B55027" w:rsidRPr="00B55027" w:rsidRDefault="00B55027" w:rsidP="00B55027">
      <w:pPr>
        <w:tabs>
          <w:tab w:val="left" w:pos="284"/>
        </w:tabs>
        <w:jc w:val="both"/>
        <w:rPr>
          <w:bCs/>
          <w:sz w:val="22"/>
        </w:rPr>
      </w:pPr>
      <w:r w:rsidRPr="00B55027">
        <w:rPr>
          <w:bCs/>
          <w:sz w:val="22"/>
        </w:rPr>
        <w:t>•</w:t>
      </w:r>
      <w:r w:rsidRPr="00B55027">
        <w:rPr>
          <w:bCs/>
          <w:sz w:val="22"/>
        </w:rPr>
        <w:tab/>
        <w:t xml:space="preserve"> προώθηση πολιτικών για την ενίσχυση της απασχόλησης και </w:t>
      </w:r>
    </w:p>
    <w:p w:rsidR="00B55027" w:rsidRPr="00B55027" w:rsidRDefault="00B55027" w:rsidP="00B55027">
      <w:pPr>
        <w:tabs>
          <w:tab w:val="left" w:pos="284"/>
        </w:tabs>
        <w:jc w:val="both"/>
        <w:rPr>
          <w:bCs/>
          <w:sz w:val="22"/>
        </w:rPr>
      </w:pPr>
      <w:r w:rsidRPr="00B55027">
        <w:rPr>
          <w:bCs/>
          <w:sz w:val="22"/>
        </w:rPr>
        <w:t>•</w:t>
      </w:r>
      <w:r w:rsidRPr="00B55027">
        <w:rPr>
          <w:bCs/>
          <w:sz w:val="22"/>
        </w:rPr>
        <w:tab/>
        <w:t xml:space="preserve"> ενίσχυση της βασικής εκπαίδευσης στην προσχολική ηλικία.</w:t>
      </w:r>
    </w:p>
    <w:p w:rsidR="00B55027" w:rsidRPr="00B55027" w:rsidRDefault="00B55027" w:rsidP="00B55027">
      <w:pPr>
        <w:tabs>
          <w:tab w:val="left" w:pos="284"/>
        </w:tabs>
        <w:jc w:val="both"/>
        <w:rPr>
          <w:bCs/>
          <w:sz w:val="22"/>
        </w:rPr>
      </w:pPr>
    </w:p>
    <w:p w:rsidR="00B55027" w:rsidRPr="00B55027" w:rsidRDefault="00B55027" w:rsidP="00B55027">
      <w:pPr>
        <w:tabs>
          <w:tab w:val="left" w:pos="284"/>
        </w:tabs>
        <w:jc w:val="both"/>
        <w:rPr>
          <w:bCs/>
          <w:sz w:val="22"/>
        </w:rPr>
      </w:pPr>
      <w:r w:rsidRPr="00B55027">
        <w:rPr>
          <w:bCs/>
          <w:sz w:val="22"/>
        </w:rPr>
        <w:t>Από την παρουσίαση αυτή, επιχειρείται να αναδειχθεί η νέα διάσταση που εισάγεται στη δημοσιονομική διαχείριση και αφορά στην ενίσχυση της διαφάνειας και της πληροφόρησης τόσο του Ελληνικού Κοινοβουλίου όσο και των Ελλήνων πολιτών για το πού κατευθύνονται οι δημόσιοι πόροι και ποια είναι τα αποτελέσματα που επιτυγχάνονται.</w:t>
      </w:r>
    </w:p>
    <w:p w:rsidR="005C7938" w:rsidRDefault="005C7938" w:rsidP="005C7938">
      <w:pPr>
        <w:pStyle w:val="af2"/>
        <w:tabs>
          <w:tab w:val="left" w:pos="284"/>
        </w:tabs>
        <w:spacing w:after="0" w:line="240" w:lineRule="auto"/>
        <w:ind w:left="0"/>
        <w:jc w:val="both"/>
        <w:rPr>
          <w:rFonts w:ascii="Times New Roman" w:eastAsia="Times New Roman" w:hAnsi="Times New Roman"/>
          <w:bCs/>
          <w:szCs w:val="24"/>
          <w:lang w:eastAsia="el-GR"/>
        </w:rPr>
      </w:pPr>
    </w:p>
    <w:p w:rsidR="005C7938" w:rsidRPr="005C7938" w:rsidRDefault="005C7938" w:rsidP="005C7938">
      <w:pPr>
        <w:tabs>
          <w:tab w:val="left" w:pos="284"/>
        </w:tabs>
        <w:jc w:val="both"/>
        <w:rPr>
          <w:rFonts w:ascii="Arial Narrow" w:hAnsi="Arial Narrow"/>
          <w:b/>
          <w:bCs/>
          <w:sz w:val="22"/>
        </w:rPr>
      </w:pPr>
      <w:r w:rsidRPr="005C7938">
        <w:rPr>
          <w:rFonts w:ascii="Arial Narrow" w:hAnsi="Arial Narrow"/>
          <w:b/>
          <w:bCs/>
          <w:sz w:val="22"/>
        </w:rPr>
        <w:t xml:space="preserve">Αντιμετώπιση της παιδικής φτώχειας </w:t>
      </w:r>
    </w:p>
    <w:p w:rsidR="005C7938" w:rsidRDefault="005C7938" w:rsidP="005C7938">
      <w:pPr>
        <w:jc w:val="both"/>
        <w:rPr>
          <w:sz w:val="22"/>
          <w:szCs w:val="22"/>
        </w:rPr>
      </w:pPr>
    </w:p>
    <w:p w:rsidR="005C7938" w:rsidRPr="005C7938" w:rsidRDefault="005C7938" w:rsidP="005C7938">
      <w:pPr>
        <w:jc w:val="both"/>
        <w:rPr>
          <w:sz w:val="22"/>
          <w:szCs w:val="22"/>
        </w:rPr>
      </w:pPr>
      <w:r w:rsidRPr="005C7938">
        <w:rPr>
          <w:sz w:val="22"/>
          <w:szCs w:val="22"/>
        </w:rPr>
        <w:t xml:space="preserve">Η αποτελεσματική αντιμετώπιση της παιδικής φτώχειας αποτελεί βασική προτεραιότητα της κοινωνικής πολιτικής της κυβέρνησης. Ήδη καταγράφεται, με βάση τα στοιχεία που παρακολουθούνται από το Υπουργείο </w:t>
      </w:r>
      <w:r w:rsidRPr="005C7938">
        <w:rPr>
          <w:color w:val="000000"/>
          <w:sz w:val="22"/>
          <w:szCs w:val="22"/>
        </w:rPr>
        <w:t>Εργασίας, Κοινωνικής Ασφάλισης και Κοινωνικής Αλληλεγγύης,</w:t>
      </w:r>
      <w:r w:rsidRPr="005C7938">
        <w:rPr>
          <w:sz w:val="22"/>
          <w:szCs w:val="22"/>
        </w:rPr>
        <w:t xml:space="preserve"> βελτίωση των βασικών δεικτών σε σχέση με το 2016. Συγκεκριμένα, παρατηρήθηκε ότι ο κίνδυνος φτώχειας, ο κίνδυνος κοινωνικού αποκλεισμού, η παιδική φτώχεια, το βάθος της φτώχειας, η υλική στέρηση και η υλική στέρηση παιδιών μειώθηκαν. Ιδιαίτερα η παιδική φτώχεια και η υλική στέρηση των παιδιών μειώθηκαν περισσότερο από την αντίστοιχη μείωση στο γενικό πληθυσμό.      </w:t>
      </w:r>
    </w:p>
    <w:p w:rsidR="005C7938" w:rsidRDefault="005C7938" w:rsidP="005C7938">
      <w:pPr>
        <w:pStyle w:val="Web"/>
        <w:spacing w:before="0" w:beforeAutospacing="0" w:after="0"/>
        <w:jc w:val="both"/>
        <w:rPr>
          <w:sz w:val="22"/>
          <w:szCs w:val="22"/>
        </w:rPr>
      </w:pPr>
    </w:p>
    <w:p w:rsidR="005C7938" w:rsidRDefault="005C7938" w:rsidP="005C7938">
      <w:pPr>
        <w:pStyle w:val="Web"/>
        <w:spacing w:before="0" w:beforeAutospacing="0" w:after="0"/>
        <w:jc w:val="both"/>
        <w:rPr>
          <w:sz w:val="22"/>
          <w:szCs w:val="22"/>
        </w:rPr>
      </w:pPr>
      <w:r w:rsidRPr="005711CC">
        <w:rPr>
          <w:sz w:val="22"/>
          <w:szCs w:val="22"/>
        </w:rPr>
        <w:t>Προς την κατεύθυνση</w:t>
      </w:r>
      <w:r>
        <w:rPr>
          <w:sz w:val="22"/>
          <w:szCs w:val="22"/>
        </w:rPr>
        <w:t xml:space="preserve"> περαιτέρω μείωσης της παιδικής φτώχειας,</w:t>
      </w:r>
      <w:r w:rsidRPr="005711CC">
        <w:rPr>
          <w:sz w:val="22"/>
          <w:szCs w:val="22"/>
        </w:rPr>
        <w:t xml:space="preserve"> </w:t>
      </w:r>
      <w:r>
        <w:rPr>
          <w:sz w:val="22"/>
          <w:szCs w:val="22"/>
        </w:rPr>
        <w:t xml:space="preserve">μεταξύ άλλων, </w:t>
      </w:r>
      <w:r w:rsidRPr="005711CC">
        <w:rPr>
          <w:sz w:val="22"/>
          <w:szCs w:val="22"/>
        </w:rPr>
        <w:t>αναμορφώθηκε, ήδη από το 2018, το καθεστώς που διέπει τα οικογενειακά επιδόματα, µε την αντικατάστασή τους από ένα ενιαίο επίδομα παιδιού</w:t>
      </w:r>
      <w:r>
        <w:rPr>
          <w:sz w:val="22"/>
          <w:szCs w:val="22"/>
        </w:rPr>
        <w:t>,</w:t>
      </w:r>
      <w:r w:rsidRPr="005711CC">
        <w:rPr>
          <w:sz w:val="22"/>
          <w:szCs w:val="22"/>
        </w:rPr>
        <w:t xml:space="preserve"> για την ενίσχυση των κοινωνικών ομάδων που βρίσκονται σε πραγματική αδυναμία. Το ενιαίο </w:t>
      </w:r>
      <w:r>
        <w:rPr>
          <w:sz w:val="22"/>
          <w:szCs w:val="22"/>
        </w:rPr>
        <w:t xml:space="preserve">αυτό </w:t>
      </w:r>
      <w:r w:rsidRPr="005711CC">
        <w:rPr>
          <w:sz w:val="22"/>
          <w:szCs w:val="22"/>
        </w:rPr>
        <w:t>επίδομα καταβάλλεται λαμβάνοντας υπόψη τον αριθμό των εξαρτώμενων τέκνων και το ισοδύναμο οικογενειακό εισόδημα, πραγματικό ή τεκμαρτό, από κάθε πηγή ημεδαπής και αλλοδαπής προέλευσης προ φόρων.</w:t>
      </w:r>
    </w:p>
    <w:p w:rsidR="005C7938" w:rsidRPr="005711CC" w:rsidRDefault="005C7938" w:rsidP="005C7938">
      <w:pPr>
        <w:pStyle w:val="Web"/>
        <w:spacing w:before="0" w:beforeAutospacing="0" w:after="0"/>
        <w:jc w:val="both"/>
        <w:rPr>
          <w:sz w:val="22"/>
          <w:szCs w:val="22"/>
        </w:rPr>
      </w:pPr>
    </w:p>
    <w:p w:rsidR="005C7938" w:rsidRDefault="005C7938" w:rsidP="005C7938">
      <w:pPr>
        <w:pStyle w:val="Web"/>
        <w:spacing w:before="0" w:beforeAutospacing="0" w:after="0"/>
        <w:jc w:val="both"/>
        <w:rPr>
          <w:sz w:val="22"/>
          <w:szCs w:val="22"/>
        </w:rPr>
      </w:pPr>
      <w:r>
        <w:rPr>
          <w:sz w:val="22"/>
          <w:szCs w:val="22"/>
        </w:rPr>
        <w:t>Η θετική επίδραση τόσο από τη συγκεκριμένη παρέμβαση όσο και από τις λοιπές δράσεις με την ίδια στόχευση αναμένεται να αποτυπωθεί στην εξέλιξη βασικών δεικτών.</w:t>
      </w:r>
    </w:p>
    <w:p w:rsidR="005C7938" w:rsidRDefault="005C7938" w:rsidP="005C7938">
      <w:pPr>
        <w:pStyle w:val="Web"/>
        <w:spacing w:before="0" w:beforeAutospacing="0" w:after="0"/>
        <w:jc w:val="both"/>
        <w:rPr>
          <w:sz w:val="22"/>
          <w:szCs w:val="22"/>
        </w:rPr>
      </w:pPr>
    </w:p>
    <w:p w:rsidR="005C7938" w:rsidRPr="005711CC" w:rsidRDefault="005C7938" w:rsidP="005C7938">
      <w:pPr>
        <w:pStyle w:val="Web"/>
        <w:spacing w:before="0" w:beforeAutospacing="0" w:after="0"/>
        <w:jc w:val="both"/>
        <w:rPr>
          <w:sz w:val="22"/>
          <w:szCs w:val="22"/>
        </w:rPr>
      </w:pPr>
      <w:r>
        <w:rPr>
          <w:sz w:val="22"/>
          <w:szCs w:val="22"/>
        </w:rPr>
        <w:t xml:space="preserve">Αρχικά, αναφέρεται ο </w:t>
      </w:r>
      <w:r w:rsidRPr="005711CC">
        <w:rPr>
          <w:sz w:val="22"/>
          <w:szCs w:val="22"/>
        </w:rPr>
        <w:t xml:space="preserve">συντελεστής </w:t>
      </w:r>
      <w:r w:rsidRPr="005711CC">
        <w:rPr>
          <w:sz w:val="22"/>
          <w:szCs w:val="22"/>
          <w:lang w:val="en-US"/>
        </w:rPr>
        <w:t>Gini</w:t>
      </w:r>
      <w:r>
        <w:rPr>
          <w:rStyle w:val="af0"/>
          <w:sz w:val="22"/>
          <w:szCs w:val="22"/>
          <w:lang w:val="en-US"/>
        </w:rPr>
        <w:footnoteReference w:id="2"/>
      </w:r>
      <w:r>
        <w:rPr>
          <w:sz w:val="22"/>
          <w:szCs w:val="22"/>
        </w:rPr>
        <w:t xml:space="preserve"> για τη μέτρηση της ανισότητας στην κατανομή του εισοδήματος. </w:t>
      </w:r>
      <w:r w:rsidRPr="005711CC">
        <w:rPr>
          <w:sz w:val="22"/>
          <w:szCs w:val="22"/>
        </w:rPr>
        <w:t xml:space="preserve">Η εφαρμογή του εν λόγω μέτρου, αποτελεί μία από τις </w:t>
      </w:r>
      <w:r>
        <w:rPr>
          <w:sz w:val="22"/>
          <w:szCs w:val="22"/>
        </w:rPr>
        <w:t xml:space="preserve">κύριες </w:t>
      </w:r>
      <w:r w:rsidRPr="005711CC">
        <w:rPr>
          <w:sz w:val="22"/>
          <w:szCs w:val="22"/>
        </w:rPr>
        <w:t xml:space="preserve">παρεμβάσεις που συμβάλλουν στη βελτίωση του συντελεστή </w:t>
      </w:r>
      <w:r>
        <w:rPr>
          <w:sz w:val="22"/>
          <w:szCs w:val="22"/>
        </w:rPr>
        <w:t xml:space="preserve">στις οικογένειες με παιδιά </w:t>
      </w:r>
      <w:r w:rsidR="000E10B4">
        <w:rPr>
          <w:sz w:val="22"/>
          <w:szCs w:val="22"/>
        </w:rPr>
        <w:t>κατά 0,009</w:t>
      </w:r>
      <w:r w:rsidRPr="005711CC">
        <w:rPr>
          <w:sz w:val="22"/>
          <w:szCs w:val="22"/>
        </w:rPr>
        <w:t xml:space="preserve">. </w:t>
      </w:r>
    </w:p>
    <w:p w:rsidR="005C7938" w:rsidRPr="005C7938" w:rsidRDefault="005C7938" w:rsidP="005C7938">
      <w:pPr>
        <w:autoSpaceDE w:val="0"/>
        <w:autoSpaceDN w:val="0"/>
        <w:adjustRightInd w:val="0"/>
        <w:jc w:val="both"/>
        <w:rPr>
          <w:b/>
          <w:sz w:val="22"/>
          <w:szCs w:val="22"/>
        </w:rPr>
      </w:pPr>
    </w:p>
    <w:tbl>
      <w:tblPr>
        <w:tblW w:w="8613" w:type="dxa"/>
        <w:jc w:val="center"/>
        <w:tblLook w:val="04A0"/>
      </w:tblPr>
      <w:tblGrid>
        <w:gridCol w:w="3058"/>
        <w:gridCol w:w="5555"/>
      </w:tblGrid>
      <w:tr w:rsidR="005C7938" w:rsidRPr="005C7938" w:rsidTr="008931F3">
        <w:trPr>
          <w:trHeight w:val="397"/>
          <w:jc w:val="center"/>
        </w:trPr>
        <w:tc>
          <w:tcPr>
            <w:tcW w:w="3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C7938" w:rsidRPr="005C7938" w:rsidRDefault="00FC4122" w:rsidP="008931F3">
            <w:pPr>
              <w:jc w:val="both"/>
              <w:rPr>
                <w:rFonts w:ascii="Arial Narrow" w:hAnsi="Arial Narrow"/>
                <w:b/>
                <w:bCs/>
                <w:color w:val="000000"/>
                <w:sz w:val="18"/>
                <w:szCs w:val="22"/>
              </w:rPr>
            </w:pPr>
            <w:r>
              <w:rPr>
                <w:rFonts w:ascii="Arial Narrow" w:hAnsi="Arial Narrow"/>
                <w:b/>
                <w:bCs/>
                <w:color w:val="000000"/>
                <w:sz w:val="18"/>
                <w:szCs w:val="22"/>
              </w:rPr>
              <w:t>Έτος</w:t>
            </w:r>
          </w:p>
        </w:tc>
        <w:tc>
          <w:tcPr>
            <w:tcW w:w="55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2019</w:t>
            </w:r>
          </w:p>
        </w:tc>
      </w:tr>
      <w:tr w:rsidR="005C7938" w:rsidRPr="005C7938" w:rsidTr="008931F3">
        <w:trPr>
          <w:trHeight w:val="397"/>
          <w:jc w:val="center"/>
        </w:trPr>
        <w:tc>
          <w:tcPr>
            <w:tcW w:w="3058" w:type="dxa"/>
            <w:tcBorders>
              <w:top w:val="nil"/>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Υπεύθυνος Υλοποίησης Πολιτικής</w:t>
            </w:r>
          </w:p>
        </w:tc>
        <w:tc>
          <w:tcPr>
            <w:tcW w:w="5555"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Υπουργείο Εργασίας, Κοινωνικής Ασφάλισης και Κοινωνικής Αλληλεγγύης</w:t>
            </w:r>
          </w:p>
        </w:tc>
      </w:tr>
      <w:tr w:rsidR="005C7938" w:rsidRPr="005C7938" w:rsidTr="008931F3">
        <w:trPr>
          <w:trHeight w:val="397"/>
          <w:jc w:val="center"/>
        </w:trPr>
        <w:tc>
          <w:tcPr>
            <w:tcW w:w="3058" w:type="dxa"/>
            <w:tcBorders>
              <w:top w:val="nil"/>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Στόχος</w:t>
            </w:r>
          </w:p>
        </w:tc>
        <w:tc>
          <w:tcPr>
            <w:tcW w:w="5555"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Μείωση της άνισης κατανομής του εισοδήματος</w:t>
            </w:r>
          </w:p>
        </w:tc>
      </w:tr>
      <w:tr w:rsidR="005C7938" w:rsidRPr="005C7938" w:rsidTr="008931F3">
        <w:trPr>
          <w:trHeight w:val="397"/>
          <w:jc w:val="center"/>
        </w:trPr>
        <w:tc>
          <w:tcPr>
            <w:tcW w:w="3058" w:type="dxa"/>
            <w:tcBorders>
              <w:top w:val="nil"/>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Τιμή-στόχος</w:t>
            </w:r>
          </w:p>
        </w:tc>
        <w:tc>
          <w:tcPr>
            <w:tcW w:w="5555" w:type="dxa"/>
            <w:tcBorders>
              <w:top w:val="nil"/>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-0,00</w:t>
            </w:r>
            <w:r w:rsidR="000E10B4">
              <w:rPr>
                <w:rFonts w:ascii="Arial Narrow" w:hAnsi="Arial Narrow"/>
                <w:color w:val="000000"/>
                <w:sz w:val="18"/>
                <w:szCs w:val="22"/>
              </w:rPr>
              <w:t>9</w:t>
            </w:r>
          </w:p>
        </w:tc>
      </w:tr>
      <w:tr w:rsidR="005C7938" w:rsidRPr="005C7938" w:rsidTr="008931F3">
        <w:trPr>
          <w:trHeight w:val="397"/>
          <w:jc w:val="center"/>
        </w:trPr>
        <w:tc>
          <w:tcPr>
            <w:tcW w:w="3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Συχνότητα διεξαγωγής μέτρησης</w:t>
            </w:r>
          </w:p>
        </w:tc>
        <w:tc>
          <w:tcPr>
            <w:tcW w:w="5555"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Ετησίως</w:t>
            </w:r>
          </w:p>
        </w:tc>
      </w:tr>
      <w:tr w:rsidR="005C7938" w:rsidRPr="005C7938" w:rsidTr="008931F3">
        <w:trPr>
          <w:trHeight w:val="397"/>
          <w:jc w:val="center"/>
        </w:trPr>
        <w:tc>
          <w:tcPr>
            <w:tcW w:w="3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 xml:space="preserve">Μονάδα μέτρησης </w:t>
            </w:r>
          </w:p>
        </w:tc>
        <w:tc>
          <w:tcPr>
            <w:tcW w:w="5555"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Απόλυτος αριθμός</w:t>
            </w:r>
          </w:p>
        </w:tc>
      </w:tr>
      <w:tr w:rsidR="005C7938" w:rsidRPr="005C7938" w:rsidTr="008931F3">
        <w:trPr>
          <w:trHeight w:val="397"/>
          <w:jc w:val="center"/>
        </w:trPr>
        <w:tc>
          <w:tcPr>
            <w:tcW w:w="3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Πηγή</w:t>
            </w:r>
          </w:p>
        </w:tc>
        <w:tc>
          <w:tcPr>
            <w:tcW w:w="5555"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ΕΛΣΤΑΤ</w:t>
            </w:r>
          </w:p>
        </w:tc>
      </w:tr>
    </w:tbl>
    <w:p w:rsidR="005C7938" w:rsidRPr="005C7938" w:rsidRDefault="005C7938" w:rsidP="005C7938">
      <w:pPr>
        <w:autoSpaceDE w:val="0"/>
        <w:autoSpaceDN w:val="0"/>
        <w:adjustRightInd w:val="0"/>
        <w:jc w:val="both"/>
        <w:rPr>
          <w:sz w:val="22"/>
          <w:szCs w:val="22"/>
        </w:rPr>
      </w:pPr>
      <w:r w:rsidRPr="005C7938">
        <w:rPr>
          <w:sz w:val="22"/>
          <w:szCs w:val="22"/>
        </w:rPr>
        <w:t>Περαιτέρω, από τις ανωτέρω παρεμβάσεις, αναμένεται μείωση του δείκτη φτώχειας για την ηλικιακή ομάδα [0,</w:t>
      </w:r>
      <w:r w:rsidR="00BC3F7A">
        <w:rPr>
          <w:sz w:val="22"/>
          <w:szCs w:val="22"/>
        </w:rPr>
        <w:t xml:space="preserve"> </w:t>
      </w:r>
      <w:r w:rsidR="00055D37">
        <w:rPr>
          <w:sz w:val="22"/>
          <w:szCs w:val="22"/>
        </w:rPr>
        <w:t>18] κατά 1,75</w:t>
      </w:r>
      <w:r w:rsidRPr="005C7938">
        <w:rPr>
          <w:sz w:val="22"/>
          <w:szCs w:val="22"/>
        </w:rPr>
        <w:t xml:space="preserve">. </w:t>
      </w:r>
    </w:p>
    <w:p w:rsidR="005C7938" w:rsidRPr="005C7938" w:rsidRDefault="005C7938" w:rsidP="005C7938">
      <w:pPr>
        <w:autoSpaceDE w:val="0"/>
        <w:autoSpaceDN w:val="0"/>
        <w:adjustRightInd w:val="0"/>
        <w:jc w:val="both"/>
        <w:rPr>
          <w:sz w:val="22"/>
          <w:szCs w:val="22"/>
        </w:rPr>
      </w:pPr>
    </w:p>
    <w:tbl>
      <w:tblPr>
        <w:tblW w:w="8755" w:type="dxa"/>
        <w:jc w:val="center"/>
        <w:tblLook w:val="04A0"/>
      </w:tblPr>
      <w:tblGrid>
        <w:gridCol w:w="2949"/>
        <w:gridCol w:w="5806"/>
      </w:tblGrid>
      <w:tr w:rsidR="005C7938" w:rsidRPr="005C7938" w:rsidTr="008931F3">
        <w:trPr>
          <w:trHeight w:val="419"/>
          <w:jc w:val="center"/>
        </w:trPr>
        <w:tc>
          <w:tcPr>
            <w:tcW w:w="2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Έτος</w:t>
            </w:r>
          </w:p>
        </w:tc>
        <w:tc>
          <w:tcPr>
            <w:tcW w:w="58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2019</w:t>
            </w:r>
          </w:p>
        </w:tc>
      </w:tr>
      <w:tr w:rsidR="005C7938" w:rsidRPr="005C7938" w:rsidTr="008931F3">
        <w:trPr>
          <w:trHeight w:val="461"/>
          <w:jc w:val="center"/>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Υπεύθυνος Υλοποίησης Πολιτικής</w:t>
            </w:r>
          </w:p>
        </w:tc>
        <w:tc>
          <w:tcPr>
            <w:tcW w:w="5806"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Υπουργείο Εργασίας, Κοινωνικής Ασφάλισης και Κοινωνικής Αλληλεγγύης</w:t>
            </w:r>
          </w:p>
        </w:tc>
      </w:tr>
      <w:tr w:rsidR="005C7938" w:rsidRPr="005C7938" w:rsidTr="008931F3">
        <w:trPr>
          <w:trHeight w:val="556"/>
          <w:jc w:val="center"/>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Στόχος</w:t>
            </w:r>
          </w:p>
        </w:tc>
        <w:tc>
          <w:tcPr>
            <w:tcW w:w="5806"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Βελτίωση του δείκτη φτώχειας για την ηλικιακή ομάδα [0,18]</w:t>
            </w:r>
          </w:p>
        </w:tc>
      </w:tr>
      <w:tr w:rsidR="005C7938" w:rsidRPr="005C7938" w:rsidTr="008931F3">
        <w:trPr>
          <w:trHeight w:val="441"/>
          <w:jc w:val="center"/>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Τιμή-στόχος</w:t>
            </w:r>
          </w:p>
        </w:tc>
        <w:tc>
          <w:tcPr>
            <w:tcW w:w="5806" w:type="dxa"/>
            <w:tcBorders>
              <w:top w:val="nil"/>
              <w:left w:val="nil"/>
              <w:bottom w:val="single" w:sz="4" w:space="0" w:color="auto"/>
              <w:right w:val="single" w:sz="4" w:space="0" w:color="auto"/>
            </w:tcBorders>
            <w:shd w:val="clear" w:color="auto" w:fill="auto"/>
            <w:vAlign w:val="center"/>
            <w:hideMark/>
          </w:tcPr>
          <w:p w:rsidR="005C7938" w:rsidRPr="005C7938" w:rsidRDefault="002121EF" w:rsidP="008931F3">
            <w:pPr>
              <w:jc w:val="both"/>
              <w:rPr>
                <w:rFonts w:ascii="Arial Narrow" w:hAnsi="Arial Narrow"/>
                <w:color w:val="000000"/>
                <w:sz w:val="18"/>
                <w:szCs w:val="22"/>
              </w:rPr>
            </w:pPr>
            <w:r>
              <w:rPr>
                <w:rFonts w:ascii="Arial Narrow" w:hAnsi="Arial Narrow"/>
                <w:color w:val="000000"/>
                <w:sz w:val="18"/>
                <w:szCs w:val="22"/>
              </w:rPr>
              <w:t>-1</w:t>
            </w:r>
            <w:r w:rsidR="005C7938" w:rsidRPr="005C7938">
              <w:rPr>
                <w:rFonts w:ascii="Arial Narrow" w:hAnsi="Arial Narrow"/>
                <w:color w:val="000000"/>
                <w:sz w:val="18"/>
                <w:szCs w:val="22"/>
              </w:rPr>
              <w:t>,7</w:t>
            </w:r>
            <w:r>
              <w:rPr>
                <w:rFonts w:ascii="Arial Narrow" w:hAnsi="Arial Narrow"/>
                <w:color w:val="000000"/>
                <w:sz w:val="18"/>
                <w:szCs w:val="22"/>
              </w:rPr>
              <w:t>5</w:t>
            </w:r>
          </w:p>
        </w:tc>
      </w:tr>
      <w:tr w:rsidR="005C7938" w:rsidRPr="005C7938" w:rsidTr="008931F3">
        <w:trPr>
          <w:trHeight w:val="418"/>
          <w:jc w:val="center"/>
        </w:trPr>
        <w:tc>
          <w:tcPr>
            <w:tcW w:w="2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Συχνότητα διεξαγωγής μέτρησης</w:t>
            </w:r>
          </w:p>
        </w:tc>
        <w:tc>
          <w:tcPr>
            <w:tcW w:w="5806"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highlight w:val="yellow"/>
              </w:rPr>
            </w:pPr>
            <w:r w:rsidRPr="005C7938">
              <w:rPr>
                <w:rFonts w:ascii="Arial Narrow" w:hAnsi="Arial Narrow"/>
                <w:color w:val="000000"/>
                <w:sz w:val="18"/>
                <w:szCs w:val="22"/>
              </w:rPr>
              <w:t>Ετησίως</w:t>
            </w:r>
          </w:p>
        </w:tc>
      </w:tr>
      <w:tr w:rsidR="005C7938" w:rsidRPr="005C7938" w:rsidTr="008931F3">
        <w:trPr>
          <w:trHeight w:val="411"/>
          <w:jc w:val="center"/>
        </w:trPr>
        <w:tc>
          <w:tcPr>
            <w:tcW w:w="2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 xml:space="preserve">Μονάδα μέτρησης </w:t>
            </w:r>
          </w:p>
        </w:tc>
        <w:tc>
          <w:tcPr>
            <w:tcW w:w="5806"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highlight w:val="yellow"/>
              </w:rPr>
            </w:pPr>
            <w:r w:rsidRPr="005C7938">
              <w:rPr>
                <w:rFonts w:ascii="Arial Narrow" w:hAnsi="Arial Narrow"/>
                <w:color w:val="000000"/>
                <w:sz w:val="18"/>
                <w:szCs w:val="22"/>
              </w:rPr>
              <w:t>Απόλυτος αριθμός</w:t>
            </w:r>
          </w:p>
        </w:tc>
      </w:tr>
      <w:tr w:rsidR="005C7938" w:rsidRPr="005C7938" w:rsidTr="008931F3">
        <w:trPr>
          <w:trHeight w:val="412"/>
          <w:jc w:val="center"/>
        </w:trPr>
        <w:tc>
          <w:tcPr>
            <w:tcW w:w="2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5C7938" w:rsidRDefault="005C7938" w:rsidP="008931F3">
            <w:pPr>
              <w:jc w:val="both"/>
              <w:rPr>
                <w:rFonts w:ascii="Arial Narrow" w:hAnsi="Arial Narrow"/>
                <w:b/>
                <w:bCs/>
                <w:color w:val="000000"/>
                <w:sz w:val="18"/>
                <w:szCs w:val="22"/>
              </w:rPr>
            </w:pPr>
            <w:r w:rsidRPr="005C7938">
              <w:rPr>
                <w:rFonts w:ascii="Arial Narrow" w:hAnsi="Arial Narrow"/>
                <w:b/>
                <w:bCs/>
                <w:color w:val="000000"/>
                <w:sz w:val="18"/>
                <w:szCs w:val="22"/>
              </w:rPr>
              <w:t>Πηγή</w:t>
            </w:r>
          </w:p>
        </w:tc>
        <w:tc>
          <w:tcPr>
            <w:tcW w:w="5806" w:type="dxa"/>
            <w:tcBorders>
              <w:top w:val="single" w:sz="4" w:space="0" w:color="auto"/>
              <w:left w:val="nil"/>
              <w:bottom w:val="single" w:sz="4" w:space="0" w:color="auto"/>
              <w:right w:val="single" w:sz="4" w:space="0" w:color="auto"/>
            </w:tcBorders>
            <w:shd w:val="clear" w:color="auto" w:fill="auto"/>
            <w:vAlign w:val="center"/>
            <w:hideMark/>
          </w:tcPr>
          <w:p w:rsidR="005C7938" w:rsidRPr="005C7938" w:rsidRDefault="005C7938" w:rsidP="008931F3">
            <w:pPr>
              <w:jc w:val="both"/>
              <w:rPr>
                <w:rFonts w:ascii="Arial Narrow" w:hAnsi="Arial Narrow"/>
                <w:color w:val="000000"/>
                <w:sz w:val="18"/>
                <w:szCs w:val="22"/>
              </w:rPr>
            </w:pPr>
            <w:r w:rsidRPr="005C7938">
              <w:rPr>
                <w:rFonts w:ascii="Arial Narrow" w:hAnsi="Arial Narrow"/>
                <w:color w:val="000000"/>
                <w:sz w:val="18"/>
                <w:szCs w:val="22"/>
              </w:rPr>
              <w:t xml:space="preserve"> ΕΛΣΤΑΤ</w:t>
            </w:r>
          </w:p>
        </w:tc>
      </w:tr>
    </w:tbl>
    <w:p w:rsidR="005C7938" w:rsidRDefault="005C7938" w:rsidP="005C7938">
      <w:pPr>
        <w:autoSpaceDE w:val="0"/>
        <w:autoSpaceDN w:val="0"/>
        <w:adjustRightInd w:val="0"/>
        <w:jc w:val="both"/>
        <w:rPr>
          <w:b/>
          <w:i/>
          <w:sz w:val="22"/>
          <w:szCs w:val="22"/>
        </w:rPr>
      </w:pPr>
    </w:p>
    <w:p w:rsidR="000D68E2" w:rsidRPr="005C7938" w:rsidRDefault="000D68E2" w:rsidP="005C7938">
      <w:pPr>
        <w:autoSpaceDE w:val="0"/>
        <w:autoSpaceDN w:val="0"/>
        <w:adjustRightInd w:val="0"/>
        <w:jc w:val="both"/>
        <w:rPr>
          <w:b/>
          <w:i/>
          <w:sz w:val="22"/>
          <w:szCs w:val="22"/>
        </w:rPr>
      </w:pPr>
    </w:p>
    <w:p w:rsidR="005C7938" w:rsidRPr="005C7938" w:rsidRDefault="005C7938" w:rsidP="005C7938">
      <w:pPr>
        <w:tabs>
          <w:tab w:val="left" w:pos="284"/>
        </w:tabs>
        <w:jc w:val="both"/>
        <w:rPr>
          <w:rFonts w:ascii="Arial Narrow" w:hAnsi="Arial Narrow"/>
          <w:b/>
          <w:bCs/>
          <w:sz w:val="22"/>
          <w:szCs w:val="22"/>
        </w:rPr>
      </w:pPr>
      <w:r w:rsidRPr="005C7938">
        <w:rPr>
          <w:rFonts w:ascii="Arial Narrow" w:hAnsi="Arial Narrow"/>
          <w:b/>
          <w:bCs/>
          <w:sz w:val="22"/>
          <w:szCs w:val="22"/>
        </w:rPr>
        <w:t>Ενίσχυση της απασχόλησης</w:t>
      </w:r>
    </w:p>
    <w:p w:rsidR="009758C1" w:rsidRDefault="009758C1" w:rsidP="005C7938">
      <w:pPr>
        <w:pStyle w:val="Default"/>
        <w:jc w:val="both"/>
        <w:rPr>
          <w:sz w:val="22"/>
          <w:szCs w:val="22"/>
        </w:rPr>
      </w:pPr>
    </w:p>
    <w:p w:rsidR="005C7938" w:rsidRPr="005C7938" w:rsidRDefault="005C7938" w:rsidP="005C7938">
      <w:pPr>
        <w:pStyle w:val="Default"/>
        <w:jc w:val="both"/>
        <w:rPr>
          <w:sz w:val="22"/>
          <w:szCs w:val="22"/>
        </w:rPr>
      </w:pPr>
      <w:r w:rsidRPr="005C7938">
        <w:rPr>
          <w:sz w:val="22"/>
          <w:szCs w:val="22"/>
        </w:rPr>
        <w:t>Δεύτερη βασική κυβερνητική προτεραιότητα που αναλύεται αποτελεί η ενίσχυση της απασχόλησης. Μεταξύ των κύριων παρεμβάσεων προς αυτή την κατεύθυνση, περιλαμβάνεται η επιδότηση κατά 50% των εργοδοτικών εισφορών των νέων εργαζομένων έως 24 ετών. Το μέτρο αποσκοπεί στη βελτίωση της πρόσβασης των νέων στην αγορά εργασίας και θα συμβά</w:t>
      </w:r>
      <w:r w:rsidR="00DA1B3A">
        <w:rPr>
          <w:sz w:val="22"/>
          <w:szCs w:val="22"/>
        </w:rPr>
        <w:t>λ</w:t>
      </w:r>
      <w:r w:rsidRPr="005C7938">
        <w:rPr>
          <w:sz w:val="22"/>
          <w:szCs w:val="22"/>
        </w:rPr>
        <w:t xml:space="preserve">λει στη δημιουργία νέων θέσεων εργασίας. Κατά συνέπεια, το μέτρο αναμένεται να έχει θετικό αντίκτυπο και στα ποσοστά φτώχειας σε αυτή την ηλικιακή ομάδα. </w:t>
      </w:r>
    </w:p>
    <w:p w:rsidR="005C7938" w:rsidRPr="005C7938" w:rsidRDefault="005C7938" w:rsidP="005C7938">
      <w:pPr>
        <w:jc w:val="both"/>
        <w:rPr>
          <w:sz w:val="22"/>
          <w:szCs w:val="22"/>
        </w:rPr>
      </w:pPr>
    </w:p>
    <w:p w:rsidR="005C7938" w:rsidRPr="005C7938" w:rsidRDefault="00BC3F7A" w:rsidP="005C7938">
      <w:pPr>
        <w:jc w:val="both"/>
        <w:rPr>
          <w:sz w:val="22"/>
          <w:szCs w:val="22"/>
        </w:rPr>
      </w:pPr>
      <w:r>
        <w:rPr>
          <w:sz w:val="22"/>
          <w:szCs w:val="22"/>
        </w:rPr>
        <w:t>Ο προϋπολογισμός</w:t>
      </w:r>
      <w:r w:rsidR="005C7938" w:rsidRPr="005C7938">
        <w:rPr>
          <w:sz w:val="22"/>
          <w:szCs w:val="22"/>
        </w:rPr>
        <w:t xml:space="preserve"> για την υλοποίηση της εν λόγω πολιτικής ανέρχεται στα 52 εκ</w:t>
      </w:r>
      <w:r>
        <w:rPr>
          <w:sz w:val="22"/>
          <w:szCs w:val="22"/>
        </w:rPr>
        <w:t>ατ</w:t>
      </w:r>
      <w:r w:rsidR="005C7938" w:rsidRPr="005C7938">
        <w:rPr>
          <w:sz w:val="22"/>
          <w:szCs w:val="22"/>
        </w:rPr>
        <w:t>. ευρώ.</w:t>
      </w:r>
    </w:p>
    <w:p w:rsidR="005C7938" w:rsidRPr="005C7938" w:rsidRDefault="005C7938" w:rsidP="005C7938">
      <w:pPr>
        <w:jc w:val="both"/>
        <w:rPr>
          <w:rStyle w:val="notranslate"/>
          <w:sz w:val="22"/>
          <w:szCs w:val="22"/>
        </w:rPr>
      </w:pPr>
    </w:p>
    <w:tbl>
      <w:tblPr>
        <w:tblW w:w="8539" w:type="dxa"/>
        <w:jc w:val="center"/>
        <w:tblLook w:val="04A0"/>
      </w:tblPr>
      <w:tblGrid>
        <w:gridCol w:w="2666"/>
        <w:gridCol w:w="5873"/>
      </w:tblGrid>
      <w:tr w:rsidR="005C7938" w:rsidRPr="005C7938" w:rsidTr="008931F3">
        <w:trPr>
          <w:trHeight w:val="419"/>
          <w:jc w:val="center"/>
        </w:trPr>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C7938" w:rsidRPr="00D8090C" w:rsidRDefault="005C7938" w:rsidP="008931F3">
            <w:pPr>
              <w:jc w:val="both"/>
              <w:rPr>
                <w:rFonts w:ascii="Arial Narrow" w:hAnsi="Arial Narrow"/>
                <w:b/>
                <w:bCs/>
                <w:color w:val="000000"/>
                <w:sz w:val="18"/>
                <w:szCs w:val="18"/>
              </w:rPr>
            </w:pPr>
            <w:r w:rsidRPr="00D8090C">
              <w:rPr>
                <w:rFonts w:ascii="Arial Narrow" w:hAnsi="Arial Narrow"/>
                <w:b/>
                <w:bCs/>
                <w:color w:val="000000"/>
                <w:sz w:val="18"/>
                <w:szCs w:val="18"/>
              </w:rPr>
              <w:t>Έτος</w:t>
            </w:r>
          </w:p>
        </w:tc>
        <w:tc>
          <w:tcPr>
            <w:tcW w:w="58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C7938" w:rsidRPr="00D8090C" w:rsidRDefault="005C7938" w:rsidP="008931F3">
            <w:pPr>
              <w:jc w:val="both"/>
              <w:rPr>
                <w:rFonts w:ascii="Arial Narrow" w:hAnsi="Arial Narrow"/>
                <w:b/>
                <w:bCs/>
                <w:color w:val="000000"/>
                <w:sz w:val="18"/>
                <w:szCs w:val="18"/>
              </w:rPr>
            </w:pPr>
            <w:r w:rsidRPr="00D8090C">
              <w:rPr>
                <w:rFonts w:ascii="Arial Narrow" w:hAnsi="Arial Narrow"/>
                <w:b/>
                <w:bCs/>
                <w:color w:val="000000"/>
                <w:sz w:val="18"/>
                <w:szCs w:val="18"/>
              </w:rPr>
              <w:t>2019</w:t>
            </w:r>
          </w:p>
        </w:tc>
      </w:tr>
      <w:tr w:rsidR="005C7938" w:rsidRPr="005C7938" w:rsidTr="008931F3">
        <w:trPr>
          <w:trHeight w:val="461"/>
          <w:jc w:val="center"/>
        </w:trPr>
        <w:tc>
          <w:tcPr>
            <w:tcW w:w="2666" w:type="dxa"/>
            <w:tcBorders>
              <w:top w:val="nil"/>
              <w:left w:val="single" w:sz="4" w:space="0" w:color="auto"/>
              <w:bottom w:val="single" w:sz="4" w:space="0" w:color="auto"/>
              <w:right w:val="single" w:sz="4" w:space="0" w:color="auto"/>
            </w:tcBorders>
            <w:shd w:val="clear" w:color="auto" w:fill="auto"/>
            <w:noWrap/>
            <w:vAlign w:val="center"/>
            <w:hideMark/>
          </w:tcPr>
          <w:p w:rsidR="005C7938" w:rsidRPr="00D8090C" w:rsidRDefault="005C7938" w:rsidP="008931F3">
            <w:pPr>
              <w:jc w:val="both"/>
              <w:rPr>
                <w:rFonts w:ascii="Arial Narrow" w:hAnsi="Arial Narrow"/>
                <w:b/>
                <w:bCs/>
                <w:color w:val="000000"/>
                <w:sz w:val="18"/>
                <w:szCs w:val="18"/>
              </w:rPr>
            </w:pPr>
            <w:r w:rsidRPr="00D8090C">
              <w:rPr>
                <w:rFonts w:ascii="Arial Narrow" w:hAnsi="Arial Narrow"/>
                <w:b/>
                <w:bCs/>
                <w:color w:val="000000"/>
                <w:sz w:val="18"/>
                <w:szCs w:val="18"/>
              </w:rPr>
              <w:t>Υπεύθυνος Υλοποίησης Πολιτικής</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D8090C" w:rsidRDefault="005C7938" w:rsidP="008931F3">
            <w:pPr>
              <w:jc w:val="both"/>
              <w:rPr>
                <w:rFonts w:ascii="Arial Narrow" w:hAnsi="Arial Narrow"/>
                <w:color w:val="000000"/>
                <w:sz w:val="18"/>
                <w:szCs w:val="18"/>
              </w:rPr>
            </w:pPr>
            <w:r w:rsidRPr="00D8090C">
              <w:rPr>
                <w:rFonts w:ascii="Arial Narrow" w:hAnsi="Arial Narrow"/>
                <w:color w:val="000000"/>
                <w:sz w:val="18"/>
                <w:szCs w:val="18"/>
              </w:rPr>
              <w:t>Υπουργείο Εργασίας, Κοινωνικής Ασφάλισης και Κοινωνικής Αλληλεγγύης</w:t>
            </w:r>
          </w:p>
        </w:tc>
      </w:tr>
      <w:tr w:rsidR="005C7938" w:rsidRPr="005C7938" w:rsidTr="008931F3">
        <w:trPr>
          <w:trHeight w:val="556"/>
          <w:jc w:val="center"/>
        </w:trPr>
        <w:tc>
          <w:tcPr>
            <w:tcW w:w="2666" w:type="dxa"/>
            <w:tcBorders>
              <w:top w:val="nil"/>
              <w:left w:val="single" w:sz="4" w:space="0" w:color="auto"/>
              <w:bottom w:val="single" w:sz="4" w:space="0" w:color="auto"/>
              <w:right w:val="single" w:sz="4" w:space="0" w:color="auto"/>
            </w:tcBorders>
            <w:shd w:val="clear" w:color="auto" w:fill="auto"/>
            <w:noWrap/>
            <w:vAlign w:val="center"/>
            <w:hideMark/>
          </w:tcPr>
          <w:p w:rsidR="005C7938" w:rsidRPr="00D8090C" w:rsidRDefault="005C7938" w:rsidP="008931F3">
            <w:pPr>
              <w:jc w:val="both"/>
              <w:rPr>
                <w:rFonts w:ascii="Arial Narrow" w:hAnsi="Arial Narrow"/>
                <w:b/>
                <w:bCs/>
                <w:color w:val="000000"/>
                <w:sz w:val="18"/>
                <w:szCs w:val="18"/>
              </w:rPr>
            </w:pPr>
            <w:r w:rsidRPr="00D8090C">
              <w:rPr>
                <w:rFonts w:ascii="Arial Narrow" w:hAnsi="Arial Narrow"/>
                <w:b/>
                <w:bCs/>
                <w:color w:val="000000"/>
                <w:sz w:val="18"/>
                <w:szCs w:val="18"/>
              </w:rPr>
              <w:t>Στόχος</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D8090C" w:rsidRDefault="005C7938" w:rsidP="008931F3">
            <w:pPr>
              <w:jc w:val="both"/>
              <w:rPr>
                <w:rFonts w:ascii="Arial Narrow" w:hAnsi="Arial Narrow"/>
                <w:color w:val="000000"/>
                <w:sz w:val="18"/>
                <w:szCs w:val="18"/>
              </w:rPr>
            </w:pPr>
            <w:r w:rsidRPr="00D8090C">
              <w:rPr>
                <w:rFonts w:ascii="Arial Narrow" w:hAnsi="Arial Narrow"/>
                <w:color w:val="000000"/>
                <w:sz w:val="18"/>
                <w:szCs w:val="18"/>
              </w:rPr>
              <w:t>Συμβολή στη δημιουργία νέων θέσεων εργασίας για νέους απασχολούμενους</w:t>
            </w:r>
          </w:p>
        </w:tc>
      </w:tr>
      <w:tr w:rsidR="005C7938" w:rsidRPr="005C7938" w:rsidTr="008931F3">
        <w:trPr>
          <w:trHeight w:val="441"/>
          <w:jc w:val="center"/>
        </w:trPr>
        <w:tc>
          <w:tcPr>
            <w:tcW w:w="2666" w:type="dxa"/>
            <w:tcBorders>
              <w:top w:val="nil"/>
              <w:left w:val="single" w:sz="4" w:space="0" w:color="auto"/>
              <w:bottom w:val="single" w:sz="4" w:space="0" w:color="auto"/>
              <w:right w:val="single" w:sz="4" w:space="0" w:color="auto"/>
            </w:tcBorders>
            <w:shd w:val="clear" w:color="auto" w:fill="auto"/>
            <w:noWrap/>
            <w:vAlign w:val="center"/>
            <w:hideMark/>
          </w:tcPr>
          <w:p w:rsidR="005C7938" w:rsidRPr="00D8090C" w:rsidRDefault="005C7938" w:rsidP="008931F3">
            <w:pPr>
              <w:jc w:val="both"/>
              <w:rPr>
                <w:rFonts w:ascii="Arial Narrow" w:hAnsi="Arial Narrow"/>
                <w:b/>
                <w:bCs/>
                <w:color w:val="000000"/>
                <w:sz w:val="18"/>
                <w:szCs w:val="18"/>
              </w:rPr>
            </w:pPr>
            <w:r w:rsidRPr="00D8090C">
              <w:rPr>
                <w:rFonts w:ascii="Arial Narrow" w:hAnsi="Arial Narrow"/>
                <w:b/>
                <w:bCs/>
                <w:color w:val="000000"/>
                <w:sz w:val="18"/>
                <w:szCs w:val="18"/>
              </w:rPr>
              <w:t>Τιμή-στόχος</w:t>
            </w:r>
          </w:p>
        </w:tc>
        <w:tc>
          <w:tcPr>
            <w:tcW w:w="5873" w:type="dxa"/>
            <w:tcBorders>
              <w:top w:val="nil"/>
              <w:left w:val="nil"/>
              <w:bottom w:val="single" w:sz="4" w:space="0" w:color="auto"/>
              <w:right w:val="single" w:sz="4" w:space="0" w:color="auto"/>
            </w:tcBorders>
            <w:shd w:val="clear" w:color="auto" w:fill="auto"/>
            <w:vAlign w:val="center"/>
            <w:hideMark/>
          </w:tcPr>
          <w:p w:rsidR="005C7938" w:rsidRPr="00D8090C" w:rsidRDefault="005C7938" w:rsidP="008931F3">
            <w:pPr>
              <w:jc w:val="both"/>
              <w:rPr>
                <w:rFonts w:ascii="Arial Narrow" w:hAnsi="Arial Narrow"/>
                <w:color w:val="000000"/>
                <w:sz w:val="18"/>
                <w:szCs w:val="18"/>
              </w:rPr>
            </w:pPr>
            <w:r w:rsidRPr="00D8090C">
              <w:rPr>
                <w:rFonts w:ascii="Arial Narrow" w:hAnsi="Arial Narrow"/>
                <w:color w:val="000000"/>
                <w:sz w:val="18"/>
                <w:szCs w:val="18"/>
              </w:rPr>
              <w:t>1.714 θέσεις εργασίας</w:t>
            </w:r>
          </w:p>
        </w:tc>
      </w:tr>
      <w:tr w:rsidR="005C7938" w:rsidRPr="005C7938" w:rsidTr="008931F3">
        <w:trPr>
          <w:trHeight w:val="418"/>
          <w:jc w:val="center"/>
        </w:trPr>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D8090C" w:rsidRDefault="005C7938" w:rsidP="008931F3">
            <w:pPr>
              <w:jc w:val="both"/>
              <w:rPr>
                <w:rFonts w:ascii="Arial Narrow" w:hAnsi="Arial Narrow"/>
                <w:b/>
                <w:bCs/>
                <w:color w:val="000000"/>
                <w:sz w:val="18"/>
                <w:szCs w:val="18"/>
              </w:rPr>
            </w:pPr>
            <w:r w:rsidRPr="00D8090C">
              <w:rPr>
                <w:rFonts w:ascii="Arial Narrow" w:hAnsi="Arial Narrow"/>
                <w:b/>
                <w:bCs/>
                <w:color w:val="000000"/>
                <w:sz w:val="18"/>
                <w:szCs w:val="18"/>
              </w:rPr>
              <w:t>Συχνότητα διεξαγωγής μέτρησης</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D8090C" w:rsidRDefault="005C7938" w:rsidP="008931F3">
            <w:pPr>
              <w:jc w:val="both"/>
              <w:rPr>
                <w:rFonts w:ascii="Arial Narrow" w:hAnsi="Arial Narrow"/>
                <w:color w:val="000000"/>
                <w:sz w:val="18"/>
                <w:szCs w:val="18"/>
                <w:highlight w:val="yellow"/>
              </w:rPr>
            </w:pPr>
            <w:r w:rsidRPr="00D8090C">
              <w:rPr>
                <w:rFonts w:ascii="Arial Narrow" w:hAnsi="Arial Narrow"/>
                <w:color w:val="000000"/>
                <w:sz w:val="18"/>
                <w:szCs w:val="18"/>
              </w:rPr>
              <w:t>Ετησίως</w:t>
            </w:r>
          </w:p>
        </w:tc>
      </w:tr>
      <w:tr w:rsidR="005C7938" w:rsidRPr="005C7938" w:rsidTr="008931F3">
        <w:trPr>
          <w:trHeight w:val="411"/>
          <w:jc w:val="center"/>
        </w:trPr>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D8090C" w:rsidRDefault="005C7938" w:rsidP="008931F3">
            <w:pPr>
              <w:jc w:val="both"/>
              <w:rPr>
                <w:rFonts w:ascii="Arial Narrow" w:hAnsi="Arial Narrow"/>
                <w:b/>
                <w:bCs/>
                <w:color w:val="000000"/>
                <w:sz w:val="18"/>
                <w:szCs w:val="18"/>
              </w:rPr>
            </w:pPr>
            <w:r w:rsidRPr="00D8090C">
              <w:rPr>
                <w:rFonts w:ascii="Arial Narrow" w:hAnsi="Arial Narrow"/>
                <w:b/>
                <w:bCs/>
                <w:color w:val="000000"/>
                <w:sz w:val="18"/>
                <w:szCs w:val="18"/>
              </w:rPr>
              <w:t xml:space="preserve">Μονάδα μέτρησης </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D8090C" w:rsidRDefault="005C7938" w:rsidP="008931F3">
            <w:pPr>
              <w:jc w:val="both"/>
              <w:rPr>
                <w:rFonts w:ascii="Arial Narrow" w:hAnsi="Arial Narrow"/>
                <w:color w:val="000000"/>
                <w:sz w:val="18"/>
                <w:szCs w:val="18"/>
                <w:highlight w:val="yellow"/>
              </w:rPr>
            </w:pPr>
            <w:r w:rsidRPr="00D8090C">
              <w:rPr>
                <w:rFonts w:ascii="Arial Narrow" w:hAnsi="Arial Narrow"/>
                <w:color w:val="000000"/>
                <w:sz w:val="18"/>
                <w:szCs w:val="18"/>
              </w:rPr>
              <w:t>Απόλυτος αριθμός</w:t>
            </w:r>
          </w:p>
        </w:tc>
      </w:tr>
      <w:tr w:rsidR="005C7938" w:rsidRPr="005C7938" w:rsidTr="008931F3">
        <w:trPr>
          <w:trHeight w:val="412"/>
          <w:jc w:val="center"/>
        </w:trPr>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D8090C" w:rsidRDefault="005C7938" w:rsidP="008931F3">
            <w:pPr>
              <w:jc w:val="both"/>
              <w:rPr>
                <w:rFonts w:ascii="Arial Narrow" w:hAnsi="Arial Narrow"/>
                <w:b/>
                <w:bCs/>
                <w:color w:val="000000"/>
                <w:sz w:val="18"/>
                <w:szCs w:val="18"/>
              </w:rPr>
            </w:pPr>
            <w:r w:rsidRPr="00D8090C">
              <w:rPr>
                <w:rFonts w:ascii="Arial Narrow" w:hAnsi="Arial Narrow"/>
                <w:b/>
                <w:bCs/>
                <w:color w:val="000000"/>
                <w:sz w:val="18"/>
                <w:szCs w:val="18"/>
              </w:rPr>
              <w:t>Πηγή</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D8090C" w:rsidRDefault="005C7938" w:rsidP="008931F3">
            <w:pPr>
              <w:jc w:val="both"/>
              <w:rPr>
                <w:rFonts w:ascii="Arial Narrow" w:hAnsi="Arial Narrow"/>
                <w:color w:val="000000"/>
                <w:sz w:val="18"/>
                <w:szCs w:val="18"/>
              </w:rPr>
            </w:pPr>
            <w:r w:rsidRPr="00D8090C">
              <w:rPr>
                <w:rFonts w:ascii="Arial Narrow" w:hAnsi="Arial Narrow"/>
                <w:color w:val="000000"/>
                <w:sz w:val="18"/>
                <w:szCs w:val="18"/>
              </w:rPr>
              <w:t>Υπουργείο Εργασίας, Κοινωνικής Ασφάλισης και Κοινωνικής Αλληλεγγύης</w:t>
            </w:r>
          </w:p>
        </w:tc>
      </w:tr>
    </w:tbl>
    <w:p w:rsidR="005C7938" w:rsidRPr="005C7938" w:rsidRDefault="005C7938" w:rsidP="005C7938">
      <w:pPr>
        <w:jc w:val="both"/>
        <w:rPr>
          <w:b/>
          <w:sz w:val="22"/>
          <w:szCs w:val="22"/>
          <w:u w:val="single"/>
        </w:rPr>
      </w:pPr>
    </w:p>
    <w:p w:rsidR="005C7938" w:rsidRPr="005C7938" w:rsidRDefault="005C7938" w:rsidP="005C7938">
      <w:pPr>
        <w:tabs>
          <w:tab w:val="left" w:pos="284"/>
        </w:tabs>
        <w:jc w:val="both"/>
        <w:rPr>
          <w:rFonts w:ascii="Arial Narrow" w:hAnsi="Arial Narrow"/>
          <w:b/>
          <w:bCs/>
          <w:sz w:val="22"/>
          <w:szCs w:val="22"/>
        </w:rPr>
      </w:pPr>
      <w:r w:rsidRPr="005C7938">
        <w:rPr>
          <w:rFonts w:ascii="Arial Narrow" w:hAnsi="Arial Narrow"/>
          <w:b/>
          <w:bCs/>
          <w:sz w:val="22"/>
          <w:szCs w:val="22"/>
        </w:rPr>
        <w:t>Ενίσχυση της βασικής εκπαίδευσης στην προσχολική ηλικία</w:t>
      </w:r>
    </w:p>
    <w:p w:rsidR="005C7938" w:rsidRPr="005C7938" w:rsidRDefault="005C7938" w:rsidP="005C7938">
      <w:pPr>
        <w:jc w:val="both"/>
        <w:rPr>
          <w:sz w:val="22"/>
          <w:szCs w:val="22"/>
        </w:rPr>
      </w:pPr>
    </w:p>
    <w:p w:rsidR="005C7938" w:rsidRDefault="005C7938" w:rsidP="005C7938">
      <w:pPr>
        <w:jc w:val="both"/>
        <w:rPr>
          <w:sz w:val="22"/>
          <w:szCs w:val="22"/>
        </w:rPr>
      </w:pPr>
      <w:r w:rsidRPr="005C7938">
        <w:rPr>
          <w:sz w:val="22"/>
          <w:szCs w:val="22"/>
        </w:rPr>
        <w:t xml:space="preserve">Η Κυβέρνηση δίνει ιδιαίτερη βαρύτητα στην ενίσχυση της βασικής εκπαίδευσης στην προσχολική ηλικία. Στο πλαίσιο αυτό εντάσσεται η ίδρυση και λειτουργία νέων παιδικών σταθμών, προκειμένου να δοθεί η δυνατότητα τόσο σε εργαζόμενες μητέρες να ασκήσουν ελεύθερα το επάγγελμά τους, όσο και σε άνεργες μητέρες να ενταχθούν εκ νέου στην αγορά εργασίας. Δεν παραβλέπεται επίσης το γεγονός της δημιουργίας νέων θέσεων εργασίας για </w:t>
      </w:r>
      <w:r w:rsidR="00B62393">
        <w:rPr>
          <w:sz w:val="22"/>
          <w:szCs w:val="22"/>
        </w:rPr>
        <w:t>διάφορες ειδικότητες.</w:t>
      </w:r>
    </w:p>
    <w:p w:rsidR="009758C1" w:rsidRPr="005C7938" w:rsidRDefault="009758C1" w:rsidP="005C7938">
      <w:pPr>
        <w:jc w:val="both"/>
        <w:rPr>
          <w:sz w:val="22"/>
          <w:szCs w:val="22"/>
        </w:rPr>
      </w:pPr>
    </w:p>
    <w:p w:rsidR="005C7938" w:rsidRDefault="005C7938" w:rsidP="005C7938">
      <w:pPr>
        <w:jc w:val="both"/>
        <w:rPr>
          <w:color w:val="000000"/>
          <w:sz w:val="22"/>
          <w:szCs w:val="22"/>
        </w:rPr>
      </w:pPr>
      <w:r w:rsidRPr="005C7938">
        <w:rPr>
          <w:color w:val="000000"/>
          <w:sz w:val="22"/>
          <w:szCs w:val="22"/>
        </w:rPr>
        <w:t xml:space="preserve">Η εν λόγω πολιτική εντάσσεται στις παρεμβάσεις που θα υλοποιηθούν όταν υπάρξει ο απαιτούμενος δημοσιονομικός χώρος. </w:t>
      </w:r>
    </w:p>
    <w:p w:rsidR="009758C1" w:rsidRDefault="009758C1" w:rsidP="005C7938">
      <w:pPr>
        <w:jc w:val="both"/>
        <w:rPr>
          <w:b/>
          <w:color w:val="000000"/>
          <w:sz w:val="22"/>
          <w:szCs w:val="22"/>
        </w:rPr>
      </w:pPr>
    </w:p>
    <w:p w:rsidR="00FC4122" w:rsidRPr="005C7938" w:rsidRDefault="00FC4122" w:rsidP="005C7938">
      <w:pPr>
        <w:jc w:val="both"/>
        <w:rPr>
          <w:b/>
          <w:color w:val="000000"/>
          <w:sz w:val="22"/>
          <w:szCs w:val="22"/>
        </w:rPr>
      </w:pPr>
    </w:p>
    <w:tbl>
      <w:tblPr>
        <w:tblW w:w="9072" w:type="dxa"/>
        <w:jc w:val="center"/>
        <w:tblLook w:val="04A0"/>
      </w:tblPr>
      <w:tblGrid>
        <w:gridCol w:w="3199"/>
        <w:gridCol w:w="5873"/>
      </w:tblGrid>
      <w:tr w:rsidR="005C7938" w:rsidRPr="005C7938" w:rsidTr="008931F3">
        <w:trPr>
          <w:trHeight w:val="419"/>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C7938" w:rsidRPr="008A6391" w:rsidRDefault="005C7938" w:rsidP="008931F3">
            <w:pPr>
              <w:jc w:val="both"/>
              <w:rPr>
                <w:rFonts w:ascii="Arial Narrow" w:hAnsi="Arial Narrow"/>
                <w:b/>
                <w:bCs/>
                <w:color w:val="000000"/>
                <w:sz w:val="18"/>
                <w:szCs w:val="18"/>
              </w:rPr>
            </w:pPr>
            <w:r w:rsidRPr="008A6391">
              <w:rPr>
                <w:rFonts w:ascii="Arial Narrow" w:hAnsi="Arial Narrow"/>
                <w:b/>
                <w:bCs/>
                <w:color w:val="000000"/>
                <w:sz w:val="18"/>
                <w:szCs w:val="18"/>
              </w:rPr>
              <w:t>Πρώτο έτος εφαρμογής του μέτρου</w:t>
            </w:r>
          </w:p>
        </w:tc>
      </w:tr>
      <w:tr w:rsidR="005C7938" w:rsidRPr="005C7938" w:rsidTr="008931F3">
        <w:trPr>
          <w:trHeight w:val="461"/>
          <w:jc w:val="center"/>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rsidR="005C7938" w:rsidRPr="008A6391" w:rsidRDefault="005C7938" w:rsidP="008931F3">
            <w:pPr>
              <w:jc w:val="both"/>
              <w:rPr>
                <w:rFonts w:ascii="Arial Narrow" w:hAnsi="Arial Narrow"/>
                <w:b/>
                <w:bCs/>
                <w:color w:val="000000"/>
                <w:sz w:val="18"/>
                <w:szCs w:val="18"/>
              </w:rPr>
            </w:pPr>
            <w:r w:rsidRPr="008A6391">
              <w:rPr>
                <w:rFonts w:ascii="Arial Narrow" w:hAnsi="Arial Narrow"/>
                <w:b/>
                <w:bCs/>
                <w:color w:val="000000"/>
                <w:sz w:val="18"/>
                <w:szCs w:val="18"/>
              </w:rPr>
              <w:t>Υπεύθυνος Υλοποίησης Πολιτικής</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8A6391" w:rsidRDefault="005C7938" w:rsidP="008931F3">
            <w:pPr>
              <w:jc w:val="both"/>
              <w:rPr>
                <w:rFonts w:ascii="Arial Narrow" w:hAnsi="Arial Narrow"/>
                <w:color w:val="000000"/>
                <w:sz w:val="18"/>
                <w:szCs w:val="18"/>
              </w:rPr>
            </w:pPr>
            <w:r w:rsidRPr="008A6391">
              <w:rPr>
                <w:rFonts w:ascii="Arial Narrow" w:hAnsi="Arial Narrow"/>
                <w:color w:val="000000"/>
                <w:sz w:val="18"/>
                <w:szCs w:val="18"/>
              </w:rPr>
              <w:t>Υπουργείο Εργασίας, Κοινωνικής Ασφάλισης και Κοινωνικής Αλληλεγγύης</w:t>
            </w:r>
          </w:p>
        </w:tc>
      </w:tr>
      <w:tr w:rsidR="005C7938" w:rsidRPr="005C7938" w:rsidTr="008931F3">
        <w:trPr>
          <w:trHeight w:val="556"/>
          <w:jc w:val="center"/>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rsidR="005C7938" w:rsidRPr="008A6391" w:rsidRDefault="005C7938" w:rsidP="008931F3">
            <w:pPr>
              <w:jc w:val="both"/>
              <w:rPr>
                <w:rFonts w:ascii="Arial Narrow" w:hAnsi="Arial Narrow"/>
                <w:b/>
                <w:bCs/>
                <w:color w:val="000000"/>
                <w:sz w:val="18"/>
                <w:szCs w:val="18"/>
              </w:rPr>
            </w:pPr>
            <w:r w:rsidRPr="008A6391">
              <w:rPr>
                <w:rFonts w:ascii="Arial Narrow" w:hAnsi="Arial Narrow"/>
                <w:b/>
                <w:bCs/>
                <w:color w:val="000000"/>
                <w:sz w:val="18"/>
                <w:szCs w:val="18"/>
              </w:rPr>
              <w:t>Στόχος</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8A6391" w:rsidRDefault="005C7938" w:rsidP="008931F3">
            <w:pPr>
              <w:jc w:val="both"/>
              <w:rPr>
                <w:rFonts w:ascii="Arial Narrow" w:hAnsi="Arial Narrow"/>
                <w:color w:val="000000"/>
                <w:sz w:val="18"/>
                <w:szCs w:val="18"/>
              </w:rPr>
            </w:pPr>
            <w:r w:rsidRPr="008A6391">
              <w:rPr>
                <w:rFonts w:ascii="Arial Narrow" w:hAnsi="Arial Narrow"/>
                <w:color w:val="000000"/>
                <w:sz w:val="18"/>
                <w:szCs w:val="18"/>
              </w:rPr>
              <w:t>Ίδρυση νέων παιδικών σταθμών</w:t>
            </w:r>
          </w:p>
        </w:tc>
      </w:tr>
      <w:tr w:rsidR="005C7938" w:rsidRPr="005C7938" w:rsidTr="008931F3">
        <w:trPr>
          <w:trHeight w:val="441"/>
          <w:jc w:val="center"/>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rsidR="005C7938" w:rsidRPr="008A6391" w:rsidRDefault="005C7938" w:rsidP="008931F3">
            <w:pPr>
              <w:jc w:val="both"/>
              <w:rPr>
                <w:rFonts w:ascii="Arial Narrow" w:hAnsi="Arial Narrow"/>
                <w:b/>
                <w:bCs/>
                <w:color w:val="000000"/>
                <w:sz w:val="18"/>
                <w:szCs w:val="18"/>
              </w:rPr>
            </w:pPr>
            <w:r w:rsidRPr="008A6391">
              <w:rPr>
                <w:rFonts w:ascii="Arial Narrow" w:hAnsi="Arial Narrow"/>
                <w:b/>
                <w:bCs/>
                <w:color w:val="000000"/>
                <w:sz w:val="18"/>
                <w:szCs w:val="18"/>
              </w:rPr>
              <w:t>Τιμή-στόχος</w:t>
            </w:r>
          </w:p>
        </w:tc>
        <w:tc>
          <w:tcPr>
            <w:tcW w:w="5873" w:type="dxa"/>
            <w:tcBorders>
              <w:top w:val="nil"/>
              <w:left w:val="nil"/>
              <w:bottom w:val="single" w:sz="4" w:space="0" w:color="auto"/>
              <w:right w:val="single" w:sz="4" w:space="0" w:color="auto"/>
            </w:tcBorders>
            <w:shd w:val="clear" w:color="auto" w:fill="auto"/>
            <w:vAlign w:val="center"/>
            <w:hideMark/>
          </w:tcPr>
          <w:p w:rsidR="005C7938" w:rsidRPr="008A6391" w:rsidRDefault="005C7938" w:rsidP="008931F3">
            <w:pPr>
              <w:jc w:val="both"/>
              <w:rPr>
                <w:rFonts w:ascii="Arial Narrow" w:hAnsi="Arial Narrow"/>
                <w:color w:val="000000"/>
                <w:sz w:val="18"/>
                <w:szCs w:val="18"/>
              </w:rPr>
            </w:pPr>
            <w:r w:rsidRPr="008A6391">
              <w:rPr>
                <w:rFonts w:ascii="Arial Narrow" w:hAnsi="Arial Narrow"/>
                <w:color w:val="000000"/>
                <w:sz w:val="18"/>
                <w:szCs w:val="18"/>
              </w:rPr>
              <w:t>Δημιουργία 1.200 νέων παιδικών σταθμών</w:t>
            </w:r>
          </w:p>
        </w:tc>
      </w:tr>
      <w:tr w:rsidR="005C7938" w:rsidRPr="005C7938" w:rsidTr="008931F3">
        <w:trPr>
          <w:trHeight w:val="418"/>
          <w:jc w:val="center"/>
        </w:trPr>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8A6391" w:rsidRDefault="005C7938" w:rsidP="008931F3">
            <w:pPr>
              <w:jc w:val="both"/>
              <w:rPr>
                <w:rFonts w:ascii="Arial Narrow" w:hAnsi="Arial Narrow"/>
                <w:b/>
                <w:bCs/>
                <w:color w:val="000000"/>
                <w:sz w:val="18"/>
                <w:szCs w:val="18"/>
              </w:rPr>
            </w:pPr>
            <w:r w:rsidRPr="008A6391">
              <w:rPr>
                <w:rFonts w:ascii="Arial Narrow" w:hAnsi="Arial Narrow"/>
                <w:b/>
                <w:bCs/>
                <w:color w:val="000000"/>
                <w:sz w:val="18"/>
                <w:szCs w:val="18"/>
              </w:rPr>
              <w:t>Συχνότητα διεξαγωγής μέτρησης</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8A6391" w:rsidRDefault="005C7938" w:rsidP="008931F3">
            <w:pPr>
              <w:jc w:val="both"/>
              <w:rPr>
                <w:rFonts w:ascii="Arial Narrow" w:hAnsi="Arial Narrow"/>
                <w:color w:val="000000"/>
                <w:sz w:val="18"/>
                <w:szCs w:val="18"/>
              </w:rPr>
            </w:pPr>
            <w:r w:rsidRPr="008A6391">
              <w:rPr>
                <w:rFonts w:ascii="Arial Narrow" w:hAnsi="Arial Narrow"/>
                <w:color w:val="000000"/>
                <w:sz w:val="18"/>
                <w:szCs w:val="18"/>
              </w:rPr>
              <w:t>Ετησίως</w:t>
            </w:r>
          </w:p>
        </w:tc>
      </w:tr>
      <w:tr w:rsidR="005C7938" w:rsidRPr="005C7938" w:rsidTr="008931F3">
        <w:trPr>
          <w:trHeight w:val="411"/>
          <w:jc w:val="center"/>
        </w:trPr>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8A6391" w:rsidRDefault="005C7938" w:rsidP="008931F3">
            <w:pPr>
              <w:jc w:val="both"/>
              <w:rPr>
                <w:rFonts w:ascii="Arial Narrow" w:hAnsi="Arial Narrow"/>
                <w:b/>
                <w:bCs/>
                <w:color w:val="000000"/>
                <w:sz w:val="18"/>
                <w:szCs w:val="18"/>
              </w:rPr>
            </w:pPr>
            <w:r w:rsidRPr="008A6391">
              <w:rPr>
                <w:rFonts w:ascii="Arial Narrow" w:hAnsi="Arial Narrow"/>
                <w:b/>
                <w:bCs/>
                <w:color w:val="000000"/>
                <w:sz w:val="18"/>
                <w:szCs w:val="18"/>
              </w:rPr>
              <w:t xml:space="preserve">Μονάδα μέτρησης </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8A6391" w:rsidRDefault="005C7938" w:rsidP="008931F3">
            <w:pPr>
              <w:jc w:val="both"/>
              <w:rPr>
                <w:rFonts w:ascii="Arial Narrow" w:hAnsi="Arial Narrow"/>
                <w:color w:val="000000"/>
                <w:sz w:val="18"/>
                <w:szCs w:val="18"/>
              </w:rPr>
            </w:pPr>
            <w:r w:rsidRPr="008A6391">
              <w:rPr>
                <w:rFonts w:ascii="Arial Narrow" w:hAnsi="Arial Narrow"/>
                <w:color w:val="000000"/>
                <w:sz w:val="18"/>
                <w:szCs w:val="18"/>
              </w:rPr>
              <w:t>Απόλυτος αριθμός</w:t>
            </w:r>
          </w:p>
        </w:tc>
      </w:tr>
      <w:tr w:rsidR="005C7938" w:rsidRPr="005C7938" w:rsidTr="008931F3">
        <w:trPr>
          <w:trHeight w:val="412"/>
          <w:jc w:val="center"/>
        </w:trPr>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938" w:rsidRPr="008A6391" w:rsidRDefault="005C7938" w:rsidP="008931F3">
            <w:pPr>
              <w:jc w:val="both"/>
              <w:rPr>
                <w:rFonts w:ascii="Arial Narrow" w:hAnsi="Arial Narrow"/>
                <w:b/>
                <w:bCs/>
                <w:color w:val="000000"/>
                <w:sz w:val="18"/>
                <w:szCs w:val="18"/>
              </w:rPr>
            </w:pPr>
            <w:r w:rsidRPr="008A6391">
              <w:rPr>
                <w:rFonts w:ascii="Arial Narrow" w:hAnsi="Arial Narrow"/>
                <w:b/>
                <w:bCs/>
                <w:color w:val="000000"/>
                <w:sz w:val="18"/>
                <w:szCs w:val="18"/>
              </w:rPr>
              <w:t>Πηγή</w:t>
            </w:r>
          </w:p>
        </w:tc>
        <w:tc>
          <w:tcPr>
            <w:tcW w:w="5873" w:type="dxa"/>
            <w:tcBorders>
              <w:top w:val="single" w:sz="4" w:space="0" w:color="auto"/>
              <w:left w:val="nil"/>
              <w:bottom w:val="single" w:sz="4" w:space="0" w:color="auto"/>
              <w:right w:val="single" w:sz="4" w:space="0" w:color="auto"/>
            </w:tcBorders>
            <w:shd w:val="clear" w:color="auto" w:fill="auto"/>
            <w:vAlign w:val="center"/>
            <w:hideMark/>
          </w:tcPr>
          <w:p w:rsidR="005C7938" w:rsidRPr="008A6391" w:rsidRDefault="005C7938" w:rsidP="008931F3">
            <w:pPr>
              <w:jc w:val="both"/>
              <w:rPr>
                <w:rFonts w:ascii="Arial Narrow" w:hAnsi="Arial Narrow"/>
                <w:color w:val="000000"/>
                <w:sz w:val="18"/>
                <w:szCs w:val="18"/>
              </w:rPr>
            </w:pPr>
            <w:r w:rsidRPr="008A6391">
              <w:rPr>
                <w:rFonts w:ascii="Arial Narrow" w:hAnsi="Arial Narrow"/>
                <w:color w:val="000000"/>
                <w:sz w:val="18"/>
                <w:szCs w:val="18"/>
              </w:rPr>
              <w:t>Υπουργείο Εργασίας, Κοινωνικής Ασφάλισης και Κοινωνικής Αλληλεγγύης</w:t>
            </w:r>
          </w:p>
        </w:tc>
      </w:tr>
    </w:tbl>
    <w:p w:rsidR="005C7938" w:rsidRPr="005C7938" w:rsidRDefault="005C7938" w:rsidP="005C7938">
      <w:pPr>
        <w:jc w:val="both"/>
        <w:rPr>
          <w:color w:val="000000"/>
          <w:sz w:val="22"/>
          <w:szCs w:val="22"/>
        </w:rPr>
      </w:pPr>
    </w:p>
    <w:p w:rsidR="005C7938" w:rsidRPr="005C7938" w:rsidRDefault="005C7938" w:rsidP="005C7938">
      <w:pPr>
        <w:jc w:val="both"/>
        <w:rPr>
          <w:sz w:val="22"/>
          <w:szCs w:val="22"/>
        </w:rPr>
      </w:pPr>
    </w:p>
    <w:p w:rsidR="00B55027" w:rsidRPr="005C7938" w:rsidRDefault="00B55027" w:rsidP="00B55027">
      <w:pPr>
        <w:tabs>
          <w:tab w:val="left" w:pos="284"/>
        </w:tabs>
        <w:jc w:val="both"/>
        <w:rPr>
          <w:bCs/>
          <w:sz w:val="22"/>
          <w:szCs w:val="22"/>
        </w:rPr>
      </w:pPr>
    </w:p>
    <w:p w:rsidR="00B55027" w:rsidRPr="005C7938" w:rsidRDefault="00B55027" w:rsidP="00B55027">
      <w:pPr>
        <w:tabs>
          <w:tab w:val="left" w:pos="284"/>
        </w:tabs>
        <w:jc w:val="both"/>
        <w:rPr>
          <w:bCs/>
          <w:sz w:val="22"/>
          <w:szCs w:val="22"/>
        </w:rPr>
      </w:pPr>
    </w:p>
    <w:p w:rsidR="00B55027" w:rsidRPr="005C7938" w:rsidRDefault="00B55027" w:rsidP="000B0280">
      <w:pPr>
        <w:tabs>
          <w:tab w:val="left" w:pos="284"/>
        </w:tabs>
        <w:jc w:val="both"/>
        <w:rPr>
          <w:bCs/>
          <w:sz w:val="22"/>
          <w:szCs w:val="22"/>
        </w:rPr>
      </w:pPr>
    </w:p>
    <w:p w:rsidR="006219F0" w:rsidRDefault="006219F0">
      <w:pPr>
        <w:rPr>
          <w:bCs/>
          <w:sz w:val="20"/>
        </w:rPr>
      </w:pPr>
      <w:r>
        <w:rPr>
          <w:bCs/>
          <w:sz w:val="20"/>
        </w:rPr>
        <w:br w:type="page"/>
      </w:r>
    </w:p>
    <w:p w:rsidR="006219F0" w:rsidRPr="00771939" w:rsidRDefault="006219F0" w:rsidP="006219F0">
      <w:pPr>
        <w:shd w:val="clear" w:color="auto" w:fill="595959"/>
        <w:jc w:val="both"/>
        <w:rPr>
          <w:rFonts w:ascii="Arial Narrow" w:hAnsi="Arial Narrow"/>
          <w:b/>
          <w:color w:val="FFFFFF"/>
          <w:sz w:val="26"/>
          <w:szCs w:val="22"/>
        </w:rPr>
      </w:pPr>
      <w:r>
        <w:rPr>
          <w:rFonts w:ascii="Arial Narrow" w:hAnsi="Arial Narrow"/>
          <w:b/>
          <w:color w:val="FFFFFF"/>
          <w:sz w:val="26"/>
          <w:szCs w:val="22"/>
        </w:rPr>
        <w:t>10</w:t>
      </w:r>
      <w:r w:rsidRPr="00E741C4">
        <w:rPr>
          <w:rFonts w:ascii="Arial Narrow" w:hAnsi="Arial Narrow"/>
          <w:b/>
          <w:color w:val="FFFFFF"/>
          <w:sz w:val="26"/>
          <w:szCs w:val="22"/>
        </w:rPr>
        <w:t>.</w:t>
      </w:r>
      <w:r w:rsidRPr="00E741C4">
        <w:rPr>
          <w:rFonts w:ascii="Arial Narrow" w:hAnsi="Arial Narrow"/>
          <w:b/>
          <w:color w:val="FFFFFF"/>
          <w:sz w:val="26"/>
          <w:szCs w:val="22"/>
        </w:rPr>
        <w:tab/>
      </w:r>
      <w:r>
        <w:rPr>
          <w:rFonts w:ascii="Arial Narrow" w:hAnsi="Arial Narrow"/>
          <w:b/>
          <w:color w:val="FFFFFF"/>
          <w:sz w:val="26"/>
          <w:szCs w:val="22"/>
        </w:rPr>
        <w:t>Νέο λογιστικό Πλαίσιο της Γενικής Κυβέρνησης</w:t>
      </w:r>
    </w:p>
    <w:p w:rsidR="00B55027" w:rsidRPr="00A447E8" w:rsidRDefault="00B55027" w:rsidP="00A447E8">
      <w:pPr>
        <w:tabs>
          <w:tab w:val="left" w:pos="284"/>
        </w:tabs>
        <w:jc w:val="both"/>
        <w:rPr>
          <w:bCs/>
          <w:sz w:val="22"/>
          <w:szCs w:val="22"/>
        </w:rPr>
      </w:pPr>
    </w:p>
    <w:p w:rsidR="00A71D70" w:rsidRDefault="00A71D70" w:rsidP="00A71D70">
      <w:pPr>
        <w:tabs>
          <w:tab w:val="left" w:pos="284"/>
        </w:tabs>
        <w:jc w:val="both"/>
        <w:rPr>
          <w:bCs/>
          <w:sz w:val="22"/>
          <w:szCs w:val="22"/>
        </w:rPr>
      </w:pPr>
    </w:p>
    <w:p w:rsidR="00A71D70" w:rsidRPr="00A71D70" w:rsidRDefault="00A71D70" w:rsidP="00A71D70">
      <w:pPr>
        <w:tabs>
          <w:tab w:val="left" w:pos="284"/>
        </w:tabs>
        <w:jc w:val="both"/>
        <w:rPr>
          <w:bCs/>
          <w:sz w:val="22"/>
          <w:szCs w:val="22"/>
        </w:rPr>
      </w:pPr>
      <w:r w:rsidRPr="00A71D70">
        <w:rPr>
          <w:bCs/>
          <w:sz w:val="22"/>
          <w:szCs w:val="22"/>
        </w:rPr>
        <w:t>Ο στόχος της εν λόγω μεταρρύθμισης είναι η δημιουργία ενός ενιαίου λογιστικού σχεδίου για όλους τους φορείς της Γενικής Κυβέρνησης, έτσι ώστε να ξεπεραστεί ο κατακερματισμός που ισχύει σήμερα (πέντε επιμέρους κλαδικά λογιστικά σχέδια που εφαρμόζονται στον δημόσιο τομέα, με τα ΠΔ 80/1997, 205/1998, 315/1999, 146/2003 και 15/2011) και να βελτιωθεί περαιτέρω η ποιότητα και η αξιοπιστία των δημοσιονομικών στοιχείων.</w:t>
      </w:r>
    </w:p>
    <w:p w:rsidR="00A71D70" w:rsidRPr="00A71D70" w:rsidRDefault="00A71D70" w:rsidP="00A71D70">
      <w:pPr>
        <w:tabs>
          <w:tab w:val="left" w:pos="284"/>
        </w:tabs>
        <w:jc w:val="both"/>
        <w:rPr>
          <w:bCs/>
          <w:sz w:val="22"/>
          <w:szCs w:val="22"/>
        </w:rPr>
      </w:pPr>
    </w:p>
    <w:p w:rsidR="00A71D70" w:rsidRPr="00A71D70" w:rsidRDefault="00A71D70" w:rsidP="00A71D70">
      <w:pPr>
        <w:tabs>
          <w:tab w:val="left" w:pos="284"/>
        </w:tabs>
        <w:jc w:val="both"/>
        <w:rPr>
          <w:bCs/>
          <w:sz w:val="22"/>
          <w:szCs w:val="22"/>
        </w:rPr>
      </w:pPr>
      <w:r w:rsidRPr="00A71D70">
        <w:rPr>
          <w:bCs/>
          <w:sz w:val="22"/>
          <w:szCs w:val="22"/>
        </w:rPr>
        <w:t xml:space="preserve">Τον Ιούνιο του 2018, με το ΠΔ 54/2018 δημοσιεύθηκε το νέο Λογιστικό Πλαίσιο, με το οποίο εισάγεται ως πρώτο βήμα της λογιστικής μεταρρύθμισης, νέα οικονομική και διοικητική ταξινόμηση για την Κεντρική Διοίκηση, με πρώτη εφαρμογή το οικονομικό έτος 2019. Η οικονομική ταξινόμηση θα είναι πλέον κοινή τόσο για την κατάρτιση του προϋπολογισμού όσο και για τη λογιστική, ενώ η χρήση της θα επεκταθεί σταδιακά και στους υπόλοιπους φορείς της Γενικής Κυβέρνησης μέχρι το 2023. </w:t>
      </w:r>
    </w:p>
    <w:p w:rsidR="00A71D70" w:rsidRPr="00A71D70" w:rsidRDefault="00A71D70" w:rsidP="00A71D70">
      <w:pPr>
        <w:tabs>
          <w:tab w:val="left" w:pos="284"/>
        </w:tabs>
        <w:jc w:val="both"/>
        <w:rPr>
          <w:bCs/>
          <w:sz w:val="22"/>
          <w:szCs w:val="22"/>
        </w:rPr>
      </w:pPr>
    </w:p>
    <w:p w:rsidR="00A71D70" w:rsidRPr="00A71D70" w:rsidRDefault="00A71D70" w:rsidP="00A71D70">
      <w:pPr>
        <w:tabs>
          <w:tab w:val="left" w:pos="284"/>
        </w:tabs>
        <w:jc w:val="both"/>
        <w:rPr>
          <w:bCs/>
          <w:sz w:val="22"/>
          <w:szCs w:val="22"/>
        </w:rPr>
      </w:pPr>
      <w:r w:rsidRPr="00A71D70">
        <w:rPr>
          <w:bCs/>
          <w:sz w:val="22"/>
          <w:szCs w:val="22"/>
        </w:rPr>
        <w:t xml:space="preserve">Το νέο λογιστικό πλαίσιο, με τη σταδιακή υιοθέτηση των αρχών της δεδουλευμένης λογιστικής και των διεθνών προτύπων λογιστικής δημόσιου τομέα, θα διασφαλίσει την </w:t>
      </w:r>
      <w:r w:rsidR="000D68E2">
        <w:rPr>
          <w:bCs/>
          <w:sz w:val="22"/>
          <w:szCs w:val="22"/>
        </w:rPr>
        <w:t>ακριβέστερη</w:t>
      </w:r>
      <w:r w:rsidRPr="00A71D70">
        <w:rPr>
          <w:bCs/>
          <w:sz w:val="22"/>
          <w:szCs w:val="22"/>
        </w:rPr>
        <w:t xml:space="preserve"> απεικόνιση των οικονομικών μεγεθών του κράτους και θα βοηθήσει να ξεπεραστούν οι όποιες στρεβλώσεις δημιουργούνται από τη χρήση της ταμειακής λογιστικής. Παράλληλα, στο πλαίσιο της λογιστικής μεταρρύθμισης θα καταρτιστεί λειτουργική ταξινόμηση των δαπανών, η οποία θα αποτελέσει τη βάση για τη μετάβαση σε προϋπολογισμό επιδόσεων.</w:t>
      </w:r>
    </w:p>
    <w:p w:rsidR="006219F0" w:rsidRPr="00A447E8" w:rsidRDefault="006219F0" w:rsidP="00A447E8">
      <w:pPr>
        <w:tabs>
          <w:tab w:val="left" w:pos="284"/>
        </w:tabs>
        <w:jc w:val="both"/>
        <w:rPr>
          <w:bCs/>
          <w:sz w:val="22"/>
          <w:szCs w:val="22"/>
        </w:rPr>
      </w:pPr>
    </w:p>
    <w:p w:rsidR="00B55027" w:rsidRPr="00A447E8" w:rsidRDefault="00B55027" w:rsidP="00A447E8">
      <w:pPr>
        <w:tabs>
          <w:tab w:val="left" w:pos="284"/>
        </w:tabs>
        <w:jc w:val="both"/>
        <w:rPr>
          <w:bCs/>
          <w:sz w:val="22"/>
          <w:szCs w:val="22"/>
        </w:rPr>
      </w:pPr>
    </w:p>
    <w:p w:rsidR="00B55027" w:rsidRPr="00A447E8" w:rsidRDefault="00B55027" w:rsidP="00A447E8">
      <w:pPr>
        <w:tabs>
          <w:tab w:val="left" w:pos="284"/>
        </w:tabs>
        <w:jc w:val="both"/>
        <w:rPr>
          <w:bCs/>
          <w:sz w:val="22"/>
          <w:szCs w:val="22"/>
        </w:rPr>
      </w:pPr>
    </w:p>
    <w:p w:rsidR="000B0280" w:rsidRPr="00A447E8" w:rsidRDefault="000B0280" w:rsidP="00A447E8">
      <w:pPr>
        <w:tabs>
          <w:tab w:val="left" w:pos="284"/>
        </w:tabs>
        <w:jc w:val="both"/>
        <w:rPr>
          <w:bCs/>
          <w:sz w:val="22"/>
          <w:szCs w:val="22"/>
        </w:rPr>
      </w:pPr>
    </w:p>
    <w:sectPr w:rsidR="000B0280" w:rsidRPr="00A447E8" w:rsidSect="005427F9">
      <w:headerReference w:type="even" r:id="rId26"/>
      <w:headerReference w:type="default" r:id="rId27"/>
      <w:footerReference w:type="even" r:id="rId28"/>
      <w:footerReference w:type="default" r:id="rId29"/>
      <w:pgSz w:w="11906" w:h="16838" w:code="9"/>
      <w:pgMar w:top="1418" w:right="1247" w:bottom="1418" w:left="1588" w:header="709" w:footer="709"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093" w:rsidRDefault="00055093">
      <w:r>
        <w:separator/>
      </w:r>
    </w:p>
  </w:endnote>
  <w:endnote w:type="continuationSeparator" w:id="0">
    <w:p w:rsidR="00055093" w:rsidRDefault="00055093">
      <w:r>
        <w:continuationSeparator/>
      </w:r>
    </w:p>
  </w:endnote>
  <w:endnote w:type="continuationNotice" w:id="1">
    <w:p w:rsidR="00055093" w:rsidRDefault="0005509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C2" w:rsidRPr="00DB665D" w:rsidRDefault="00B45152" w:rsidP="00F85CFF">
    <w:pPr>
      <w:pStyle w:val="a4"/>
      <w:jc w:val="both"/>
      <w:rPr>
        <w:color w:val="333333"/>
        <w:lang w:val="en-US"/>
      </w:rPr>
    </w:pPr>
    <w:r w:rsidRPr="00715F2C">
      <w:rPr>
        <w:rStyle w:val="a5"/>
        <w:b/>
        <w:sz w:val="28"/>
      </w:rPr>
      <w:fldChar w:fldCharType="begin"/>
    </w:r>
    <w:r w:rsidR="002061C2" w:rsidRPr="00715F2C">
      <w:rPr>
        <w:rStyle w:val="a5"/>
        <w:b/>
        <w:sz w:val="28"/>
      </w:rPr>
      <w:instrText xml:space="preserve"> PAGE </w:instrText>
    </w:r>
    <w:r w:rsidRPr="00715F2C">
      <w:rPr>
        <w:rStyle w:val="a5"/>
        <w:b/>
        <w:sz w:val="28"/>
      </w:rPr>
      <w:fldChar w:fldCharType="separate"/>
    </w:r>
    <w:r w:rsidR="00EA63AB">
      <w:rPr>
        <w:rStyle w:val="a5"/>
        <w:b/>
        <w:noProof/>
        <w:sz w:val="28"/>
      </w:rPr>
      <w:t>80</w:t>
    </w:r>
    <w:r w:rsidRPr="00715F2C">
      <w:rPr>
        <w:rStyle w:val="a5"/>
        <w:b/>
        <w:sz w:val="28"/>
      </w:rPr>
      <w:fldChar w:fldCharType="end"/>
    </w:r>
    <w:r w:rsidR="002061C2">
      <w:rPr>
        <w:rStyle w:val="a5"/>
        <w:b/>
        <w:color w:val="000080"/>
        <w:sz w:val="28"/>
      </w:rPr>
      <w:t xml:space="preserve">  </w:t>
    </w:r>
    <w:r w:rsidR="002061C2">
      <w:rPr>
        <w:rFonts w:ascii="Arial Narrow" w:hAnsi="Arial Narrow"/>
        <w:color w:val="333333"/>
        <w:sz w:val="22"/>
      </w:rPr>
      <w:t>ΚΡΑΤΙΚΟΣ ΠΡΟΫΠΟΛΟΓΙΣΜΟΣ 201</w:t>
    </w:r>
    <w:r w:rsidR="002061C2">
      <w:rPr>
        <w:rFonts w:ascii="Arial Narrow" w:hAnsi="Arial Narrow"/>
        <w:color w:val="333333"/>
        <w:sz w:val="22"/>
        <w:lang w:val="en-US"/>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C2" w:rsidRPr="00D40E4A" w:rsidRDefault="002061C2" w:rsidP="00D40E4A">
    <w:pPr>
      <w:pStyle w:val="a4"/>
      <w:jc w:val="right"/>
      <w:rPr>
        <w:rFonts w:ascii="Arial Narrow" w:hAnsi="Arial Narrow"/>
        <w:sz w:val="22"/>
      </w:rPr>
    </w:pPr>
    <w:r>
      <w:rPr>
        <w:rFonts w:ascii="Arial Narrow" w:hAnsi="Arial Narrow"/>
        <w:color w:val="333333"/>
        <w:sz w:val="22"/>
      </w:rPr>
      <w:t>ΚΡΑΤΙΚΟΣ ΠΡΟΫΠΟΛΟΓΙΣΜΟΣ 201</w:t>
    </w:r>
    <w:r>
      <w:rPr>
        <w:rFonts w:ascii="Arial Narrow" w:hAnsi="Arial Narrow"/>
        <w:color w:val="333333"/>
        <w:sz w:val="22"/>
        <w:lang w:val="en-US"/>
      </w:rPr>
      <w:t>9</w:t>
    </w:r>
    <w:r>
      <w:rPr>
        <w:rFonts w:ascii="Arial Narrow" w:hAnsi="Arial Narrow"/>
        <w:color w:val="333333"/>
        <w:sz w:val="22"/>
      </w:rPr>
      <w:t xml:space="preserve"> </w:t>
    </w:r>
    <w:r w:rsidRPr="008857CA">
      <w:rPr>
        <w:rFonts w:ascii="Arial Narrow" w:hAnsi="Arial Narrow"/>
        <w:color w:val="333333"/>
        <w:sz w:val="22"/>
      </w:rPr>
      <w:t xml:space="preserve">  </w:t>
    </w:r>
    <w:r w:rsidR="00B45152" w:rsidRPr="00715F2C">
      <w:rPr>
        <w:rStyle w:val="a5"/>
        <w:b/>
        <w:sz w:val="28"/>
      </w:rPr>
      <w:fldChar w:fldCharType="begin"/>
    </w:r>
    <w:r w:rsidRPr="00715F2C">
      <w:rPr>
        <w:rStyle w:val="a5"/>
        <w:b/>
        <w:sz w:val="28"/>
      </w:rPr>
      <w:instrText xml:space="preserve"> PAGE </w:instrText>
    </w:r>
    <w:r w:rsidR="00B45152" w:rsidRPr="00715F2C">
      <w:rPr>
        <w:rStyle w:val="a5"/>
        <w:b/>
        <w:sz w:val="28"/>
      </w:rPr>
      <w:fldChar w:fldCharType="separate"/>
    </w:r>
    <w:r w:rsidR="00EA63AB">
      <w:rPr>
        <w:rStyle w:val="a5"/>
        <w:b/>
        <w:noProof/>
        <w:sz w:val="28"/>
      </w:rPr>
      <w:t>79</w:t>
    </w:r>
    <w:r w:rsidR="00B45152" w:rsidRPr="00715F2C">
      <w:rPr>
        <w:rStyle w:val="a5"/>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093" w:rsidRDefault="00055093">
      <w:r>
        <w:separator/>
      </w:r>
    </w:p>
  </w:footnote>
  <w:footnote w:type="continuationSeparator" w:id="0">
    <w:p w:rsidR="00055093" w:rsidRDefault="00055093">
      <w:r>
        <w:continuationSeparator/>
      </w:r>
    </w:p>
  </w:footnote>
  <w:footnote w:type="continuationNotice" w:id="1">
    <w:p w:rsidR="00055093" w:rsidRDefault="00055093"/>
  </w:footnote>
  <w:footnote w:id="2">
    <w:p w:rsidR="002061C2" w:rsidRPr="002C3953" w:rsidRDefault="002061C2" w:rsidP="005C7938">
      <w:pPr>
        <w:pStyle w:val="af"/>
      </w:pPr>
      <w:r>
        <w:rPr>
          <w:rStyle w:val="af0"/>
        </w:rPr>
        <w:footnoteRef/>
      </w:r>
      <w:r>
        <w:t xml:space="preserve"> Ο συντελεστής Gini κυμαίνεται μεταξύ 0 (όταν όλα τα εισοδήματα είναι ίσα) και 1 (ένα άτομο έχει όλο το εισόδημα). Είναι πιο ευαίσθητος σε αλλαγές στη μέση της κατανομής του εισοδήματος.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C2" w:rsidRPr="00D40E4A" w:rsidRDefault="002061C2" w:rsidP="00D40E4A">
    <w:pPr>
      <w:pStyle w:val="a3"/>
      <w:jc w:val="both"/>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Pr>
        <w:rFonts w:ascii="Arial Narrow" w:hAnsi="Arial Narrow"/>
        <w:b/>
        <w:color w:val="808080"/>
        <w:sz w:val="22"/>
      </w:rPr>
      <w:t>ΚΕΦΑΛΑΙΟ 3</w:t>
    </w:r>
    <w:r w:rsidRPr="00D40E4A">
      <w:rPr>
        <w:rFonts w:ascii="Arial Narrow" w:hAnsi="Arial Narrow"/>
        <w:b/>
        <w:color w:val="808080"/>
        <w:sz w:val="22"/>
      </w:rPr>
      <w:t xml:space="preserve">   </w:t>
    </w:r>
  </w:p>
  <w:p w:rsidR="002061C2" w:rsidRDefault="002061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C2" w:rsidRPr="00D40E4A" w:rsidRDefault="002061C2" w:rsidP="00D40E4A">
    <w:pPr>
      <w:pStyle w:val="a3"/>
      <w:jc w:val="right"/>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Pr>
        <w:rFonts w:ascii="Arial Narrow" w:hAnsi="Arial Narrow"/>
        <w:b/>
        <w:color w:val="808080"/>
        <w:sz w:val="22"/>
      </w:rPr>
      <w:t>ΚΕΦΑΛΑΙΟ 3</w:t>
    </w:r>
    <w:r w:rsidRPr="00D40E4A">
      <w:rPr>
        <w:rFonts w:ascii="Arial Narrow" w:hAnsi="Arial Narrow"/>
        <w:b/>
        <w:color w:val="808080"/>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41B"/>
    <w:multiLevelType w:val="hybridMultilevel"/>
    <w:tmpl w:val="CCB255A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19528A"/>
    <w:multiLevelType w:val="hybridMultilevel"/>
    <w:tmpl w:val="11F8A8A6"/>
    <w:lvl w:ilvl="0" w:tplc="DA5A451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BF02CA"/>
    <w:multiLevelType w:val="hybridMultilevel"/>
    <w:tmpl w:val="44606F76"/>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
    <w:nsid w:val="073F32CF"/>
    <w:multiLevelType w:val="hybridMultilevel"/>
    <w:tmpl w:val="CCB4B4B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C27963"/>
    <w:multiLevelType w:val="hybridMultilevel"/>
    <w:tmpl w:val="2AA2E7C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35478C3"/>
    <w:multiLevelType w:val="hybridMultilevel"/>
    <w:tmpl w:val="2DBCDE1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AB29E9"/>
    <w:multiLevelType w:val="hybridMultilevel"/>
    <w:tmpl w:val="D42EA3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B14125"/>
    <w:multiLevelType w:val="hybridMultilevel"/>
    <w:tmpl w:val="B254C044"/>
    <w:lvl w:ilvl="0" w:tplc="A6E8A16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5F7739B"/>
    <w:multiLevelType w:val="hybridMultilevel"/>
    <w:tmpl w:val="B33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AAC168F"/>
    <w:multiLevelType w:val="multilevel"/>
    <w:tmpl w:val="7D8618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E515CEF"/>
    <w:multiLevelType w:val="hybridMultilevel"/>
    <w:tmpl w:val="ECF4F8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24A53A7"/>
    <w:multiLevelType w:val="hybridMultilevel"/>
    <w:tmpl w:val="8766F45E"/>
    <w:lvl w:ilvl="0" w:tplc="1864268E">
      <w:numFmt w:val="bullet"/>
      <w:lvlText w:val="-"/>
      <w:lvlJc w:val="left"/>
      <w:pPr>
        <w:ind w:left="720" w:hanging="360"/>
      </w:pPr>
      <w:rPr>
        <w:rFonts w:ascii="Arial" w:eastAsia="Times New Roman"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36D7081"/>
    <w:multiLevelType w:val="hybridMultilevel"/>
    <w:tmpl w:val="B5EA4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5A929F7"/>
    <w:multiLevelType w:val="hybridMultilevel"/>
    <w:tmpl w:val="649885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7391A8B"/>
    <w:multiLevelType w:val="hybridMultilevel"/>
    <w:tmpl w:val="E610BB3E"/>
    <w:lvl w:ilvl="0" w:tplc="5E8ECB4A">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A613326"/>
    <w:multiLevelType w:val="hybridMultilevel"/>
    <w:tmpl w:val="F8BAC40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2802E50"/>
    <w:multiLevelType w:val="hybridMultilevel"/>
    <w:tmpl w:val="D35E71F0"/>
    <w:lvl w:ilvl="0" w:tplc="04090001">
      <w:start w:val="1"/>
      <w:numFmt w:val="bullet"/>
      <w:lvlText w:val=""/>
      <w:lvlJc w:val="left"/>
      <w:pPr>
        <w:tabs>
          <w:tab w:val="num" w:pos="644"/>
        </w:tabs>
        <w:ind w:left="644"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1440"/>
        </w:tabs>
        <w:ind w:left="144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552650D"/>
    <w:multiLevelType w:val="hybridMultilevel"/>
    <w:tmpl w:val="E1225B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59A3843"/>
    <w:multiLevelType w:val="hybridMultilevel"/>
    <w:tmpl w:val="1354CCEE"/>
    <w:lvl w:ilvl="0" w:tplc="A5AC56D2">
      <w:start w:val="1"/>
      <w:numFmt w:val="decimal"/>
      <w:lvlText w:val="(%1)"/>
      <w:lvlJc w:val="left"/>
      <w:pPr>
        <w:ind w:left="435" w:hanging="43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BA06136"/>
    <w:multiLevelType w:val="hybridMultilevel"/>
    <w:tmpl w:val="53428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C915DE4"/>
    <w:multiLevelType w:val="multilevel"/>
    <w:tmpl w:val="927C2D6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E047EB0"/>
    <w:multiLevelType w:val="hybridMultilevel"/>
    <w:tmpl w:val="13389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F1024AD"/>
    <w:multiLevelType w:val="hybridMultilevel"/>
    <w:tmpl w:val="73004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A9C421B"/>
    <w:multiLevelType w:val="hybridMultilevel"/>
    <w:tmpl w:val="3034A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AF46304"/>
    <w:multiLevelType w:val="hybridMultilevel"/>
    <w:tmpl w:val="A880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796290"/>
    <w:multiLevelType w:val="hybridMultilevel"/>
    <w:tmpl w:val="0FAA7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4216A73"/>
    <w:multiLevelType w:val="hybridMultilevel"/>
    <w:tmpl w:val="27EAC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B74FCD"/>
    <w:multiLevelType w:val="hybridMultilevel"/>
    <w:tmpl w:val="648A6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B4B3D8C"/>
    <w:multiLevelType w:val="hybridMultilevel"/>
    <w:tmpl w:val="C7EC279A"/>
    <w:lvl w:ilvl="0" w:tplc="04080009">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9">
    <w:nsid w:val="7E2E01D6"/>
    <w:multiLevelType w:val="hybridMultilevel"/>
    <w:tmpl w:val="267234E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0">
    <w:nsid w:val="7E3B74D1"/>
    <w:multiLevelType w:val="hybridMultilevel"/>
    <w:tmpl w:val="1354CCEE"/>
    <w:lvl w:ilvl="0" w:tplc="A5AC56D2">
      <w:start w:val="1"/>
      <w:numFmt w:val="decimal"/>
      <w:lvlText w:val="(%1)"/>
      <w:lvlJc w:val="left"/>
      <w:pPr>
        <w:ind w:left="1428" w:hanging="435"/>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num w:numId="1">
    <w:abstractNumId w:val="22"/>
  </w:num>
  <w:num w:numId="2">
    <w:abstractNumId w:val="16"/>
  </w:num>
  <w:num w:numId="3">
    <w:abstractNumId w:val="25"/>
  </w:num>
  <w:num w:numId="4">
    <w:abstractNumId w:val="29"/>
  </w:num>
  <w:num w:numId="5">
    <w:abstractNumId w:val="13"/>
  </w:num>
  <w:num w:numId="6">
    <w:abstractNumId w:val="26"/>
  </w:num>
  <w:num w:numId="7">
    <w:abstractNumId w:val="30"/>
  </w:num>
  <w:num w:numId="8">
    <w:abstractNumId w:val="12"/>
  </w:num>
  <w:num w:numId="9">
    <w:abstractNumId w:val="11"/>
  </w:num>
  <w:num w:numId="10">
    <w:abstractNumId w:val="1"/>
  </w:num>
  <w:num w:numId="11">
    <w:abstractNumId w:val="1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1"/>
  </w:num>
  <w:num w:numId="15">
    <w:abstractNumId w:val="19"/>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0"/>
  </w:num>
  <w:num w:numId="20">
    <w:abstractNumId w:val="3"/>
  </w:num>
  <w:num w:numId="21">
    <w:abstractNumId w:val="6"/>
  </w:num>
  <w:num w:numId="22">
    <w:abstractNumId w:val="27"/>
  </w:num>
  <w:num w:numId="23">
    <w:abstractNumId w:val="8"/>
  </w:num>
  <w:num w:numId="24">
    <w:abstractNumId w:val="15"/>
  </w:num>
  <w:num w:numId="25">
    <w:abstractNumId w:val="14"/>
  </w:num>
  <w:num w:numId="26">
    <w:abstractNumId w:val="20"/>
  </w:num>
  <w:num w:numId="27">
    <w:abstractNumId w:val="28"/>
  </w:num>
  <w:num w:numId="28">
    <w:abstractNumId w:val="5"/>
  </w:num>
  <w:num w:numId="29">
    <w:abstractNumId w:val="4"/>
  </w:num>
  <w:num w:numId="30">
    <w:abstractNumId w:val="18"/>
  </w:num>
  <w:num w:numId="31">
    <w:abstractNumId w:val="9"/>
  </w:num>
  <w:num w:numId="32">
    <w:abstractNumId w:val="10"/>
  </w:num>
  <w:num w:numId="33">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mirrorMargins/>
  <w:hideGrammaticalErrors/>
  <w:attachedTemplate r:id="rId1"/>
  <w:stylePaneFormatFilter w:val="3F01"/>
  <w:defaultTabStop w:val="720"/>
  <w:autoHyphenation/>
  <w:hyphenationZone w:val="284"/>
  <w:doNotHyphenateCaps/>
  <w:evenAndOddHeaders/>
  <w:noPunctuationKerning/>
  <w:characterSpacingControl w:val="doNotCompress"/>
  <w:footnotePr>
    <w:footnote w:id="-1"/>
    <w:footnote w:id="0"/>
    <w:footnote w:id="1"/>
  </w:footnotePr>
  <w:endnotePr>
    <w:endnote w:id="-1"/>
    <w:endnote w:id="0"/>
    <w:endnote w:id="1"/>
  </w:endnotePr>
  <w:compat/>
  <w:rsids>
    <w:rsidRoot w:val="00D40E4A"/>
    <w:rsid w:val="00000E7F"/>
    <w:rsid w:val="0000191B"/>
    <w:rsid w:val="00001979"/>
    <w:rsid w:val="00001B80"/>
    <w:rsid w:val="0000202D"/>
    <w:rsid w:val="00002691"/>
    <w:rsid w:val="00002780"/>
    <w:rsid w:val="00002E06"/>
    <w:rsid w:val="00002F45"/>
    <w:rsid w:val="0000327E"/>
    <w:rsid w:val="00003351"/>
    <w:rsid w:val="0000337D"/>
    <w:rsid w:val="00003438"/>
    <w:rsid w:val="000039AA"/>
    <w:rsid w:val="00003F4B"/>
    <w:rsid w:val="00004244"/>
    <w:rsid w:val="00004326"/>
    <w:rsid w:val="0000442E"/>
    <w:rsid w:val="000045FD"/>
    <w:rsid w:val="000054A8"/>
    <w:rsid w:val="00005AC0"/>
    <w:rsid w:val="000060B5"/>
    <w:rsid w:val="00006293"/>
    <w:rsid w:val="000067ED"/>
    <w:rsid w:val="00006AD5"/>
    <w:rsid w:val="000074CC"/>
    <w:rsid w:val="00007FCB"/>
    <w:rsid w:val="000105DB"/>
    <w:rsid w:val="0001090A"/>
    <w:rsid w:val="00011064"/>
    <w:rsid w:val="0001130A"/>
    <w:rsid w:val="000118BF"/>
    <w:rsid w:val="00011A34"/>
    <w:rsid w:val="00011A48"/>
    <w:rsid w:val="00011C6A"/>
    <w:rsid w:val="00011F9E"/>
    <w:rsid w:val="00012457"/>
    <w:rsid w:val="000124AA"/>
    <w:rsid w:val="0001256E"/>
    <w:rsid w:val="000125F1"/>
    <w:rsid w:val="00012755"/>
    <w:rsid w:val="000130BC"/>
    <w:rsid w:val="0001319E"/>
    <w:rsid w:val="00013241"/>
    <w:rsid w:val="0001350B"/>
    <w:rsid w:val="00013626"/>
    <w:rsid w:val="000138F7"/>
    <w:rsid w:val="00013A09"/>
    <w:rsid w:val="00014281"/>
    <w:rsid w:val="00014353"/>
    <w:rsid w:val="0001442D"/>
    <w:rsid w:val="00014E23"/>
    <w:rsid w:val="00015E30"/>
    <w:rsid w:val="00016550"/>
    <w:rsid w:val="000165C7"/>
    <w:rsid w:val="00016C55"/>
    <w:rsid w:val="00017056"/>
    <w:rsid w:val="00017096"/>
    <w:rsid w:val="000178C5"/>
    <w:rsid w:val="00017C78"/>
    <w:rsid w:val="00020143"/>
    <w:rsid w:val="00021035"/>
    <w:rsid w:val="0002124A"/>
    <w:rsid w:val="00021997"/>
    <w:rsid w:val="00021AB4"/>
    <w:rsid w:val="00021B0C"/>
    <w:rsid w:val="00021F01"/>
    <w:rsid w:val="00022171"/>
    <w:rsid w:val="00022501"/>
    <w:rsid w:val="0002273A"/>
    <w:rsid w:val="000228C8"/>
    <w:rsid w:val="0002297E"/>
    <w:rsid w:val="00022E48"/>
    <w:rsid w:val="000238F9"/>
    <w:rsid w:val="00023AF6"/>
    <w:rsid w:val="00023D94"/>
    <w:rsid w:val="00023EFF"/>
    <w:rsid w:val="00024596"/>
    <w:rsid w:val="000246CD"/>
    <w:rsid w:val="00024B44"/>
    <w:rsid w:val="00024E55"/>
    <w:rsid w:val="000250ED"/>
    <w:rsid w:val="00025ADB"/>
    <w:rsid w:val="00025AFB"/>
    <w:rsid w:val="00025DB9"/>
    <w:rsid w:val="00025DE2"/>
    <w:rsid w:val="000267CB"/>
    <w:rsid w:val="00026CA6"/>
    <w:rsid w:val="00026EC2"/>
    <w:rsid w:val="000271BF"/>
    <w:rsid w:val="000271D7"/>
    <w:rsid w:val="000271E3"/>
    <w:rsid w:val="000279A2"/>
    <w:rsid w:val="00027FDC"/>
    <w:rsid w:val="0003013A"/>
    <w:rsid w:val="000302FC"/>
    <w:rsid w:val="000306FC"/>
    <w:rsid w:val="00030C7A"/>
    <w:rsid w:val="00031376"/>
    <w:rsid w:val="00031CB9"/>
    <w:rsid w:val="00031F0A"/>
    <w:rsid w:val="00032BA2"/>
    <w:rsid w:val="00032DA8"/>
    <w:rsid w:val="00032EE0"/>
    <w:rsid w:val="0003308B"/>
    <w:rsid w:val="00033CF7"/>
    <w:rsid w:val="00034183"/>
    <w:rsid w:val="000341C7"/>
    <w:rsid w:val="00034289"/>
    <w:rsid w:val="00034693"/>
    <w:rsid w:val="000346C2"/>
    <w:rsid w:val="00034A5D"/>
    <w:rsid w:val="000358BB"/>
    <w:rsid w:val="00035936"/>
    <w:rsid w:val="00035DC4"/>
    <w:rsid w:val="00036271"/>
    <w:rsid w:val="0003634E"/>
    <w:rsid w:val="000364C6"/>
    <w:rsid w:val="000367BD"/>
    <w:rsid w:val="00036803"/>
    <w:rsid w:val="00037BA2"/>
    <w:rsid w:val="00037F13"/>
    <w:rsid w:val="00040481"/>
    <w:rsid w:val="000417F5"/>
    <w:rsid w:val="00041E64"/>
    <w:rsid w:val="00041F10"/>
    <w:rsid w:val="000422C0"/>
    <w:rsid w:val="00042374"/>
    <w:rsid w:val="0004253D"/>
    <w:rsid w:val="0004281C"/>
    <w:rsid w:val="00042B68"/>
    <w:rsid w:val="0004308B"/>
    <w:rsid w:val="00043154"/>
    <w:rsid w:val="0004389F"/>
    <w:rsid w:val="00043E1D"/>
    <w:rsid w:val="0004408E"/>
    <w:rsid w:val="000443D6"/>
    <w:rsid w:val="00044888"/>
    <w:rsid w:val="00044A21"/>
    <w:rsid w:val="000456CE"/>
    <w:rsid w:val="00045742"/>
    <w:rsid w:val="000459AE"/>
    <w:rsid w:val="00045F21"/>
    <w:rsid w:val="0004605A"/>
    <w:rsid w:val="0004633A"/>
    <w:rsid w:val="00046378"/>
    <w:rsid w:val="00046473"/>
    <w:rsid w:val="0004658B"/>
    <w:rsid w:val="00046741"/>
    <w:rsid w:val="0004677F"/>
    <w:rsid w:val="00046B94"/>
    <w:rsid w:val="00046BA4"/>
    <w:rsid w:val="000471D9"/>
    <w:rsid w:val="00047240"/>
    <w:rsid w:val="000473DE"/>
    <w:rsid w:val="00047445"/>
    <w:rsid w:val="00047996"/>
    <w:rsid w:val="0005023F"/>
    <w:rsid w:val="000505BB"/>
    <w:rsid w:val="00050E12"/>
    <w:rsid w:val="00050E4F"/>
    <w:rsid w:val="000510FC"/>
    <w:rsid w:val="00051116"/>
    <w:rsid w:val="00051B8B"/>
    <w:rsid w:val="00052258"/>
    <w:rsid w:val="00052A45"/>
    <w:rsid w:val="000532DE"/>
    <w:rsid w:val="0005338D"/>
    <w:rsid w:val="00053B41"/>
    <w:rsid w:val="00054F64"/>
    <w:rsid w:val="00055093"/>
    <w:rsid w:val="0005567A"/>
    <w:rsid w:val="00055741"/>
    <w:rsid w:val="00055D37"/>
    <w:rsid w:val="00055DF4"/>
    <w:rsid w:val="00055E83"/>
    <w:rsid w:val="00055F0E"/>
    <w:rsid w:val="00055F4D"/>
    <w:rsid w:val="00056306"/>
    <w:rsid w:val="0005656B"/>
    <w:rsid w:val="000565DE"/>
    <w:rsid w:val="00056834"/>
    <w:rsid w:val="00056F64"/>
    <w:rsid w:val="000574DA"/>
    <w:rsid w:val="00057905"/>
    <w:rsid w:val="0005798B"/>
    <w:rsid w:val="000600C3"/>
    <w:rsid w:val="000603A9"/>
    <w:rsid w:val="000603C4"/>
    <w:rsid w:val="00060825"/>
    <w:rsid w:val="00060AA3"/>
    <w:rsid w:val="000610B4"/>
    <w:rsid w:val="00061BCC"/>
    <w:rsid w:val="000625F6"/>
    <w:rsid w:val="000630B0"/>
    <w:rsid w:val="00063853"/>
    <w:rsid w:val="00063994"/>
    <w:rsid w:val="00063AAC"/>
    <w:rsid w:val="00063E27"/>
    <w:rsid w:val="00064257"/>
    <w:rsid w:val="000646BA"/>
    <w:rsid w:val="00064A32"/>
    <w:rsid w:val="00064BC0"/>
    <w:rsid w:val="00064C09"/>
    <w:rsid w:val="00065156"/>
    <w:rsid w:val="00065914"/>
    <w:rsid w:val="00066017"/>
    <w:rsid w:val="00066063"/>
    <w:rsid w:val="000663DB"/>
    <w:rsid w:val="00066754"/>
    <w:rsid w:val="00066860"/>
    <w:rsid w:val="00066A96"/>
    <w:rsid w:val="000677B4"/>
    <w:rsid w:val="00067C6A"/>
    <w:rsid w:val="00067CFB"/>
    <w:rsid w:val="00070E38"/>
    <w:rsid w:val="00071132"/>
    <w:rsid w:val="00071218"/>
    <w:rsid w:val="000714F1"/>
    <w:rsid w:val="000716AD"/>
    <w:rsid w:val="000716EA"/>
    <w:rsid w:val="00071ED5"/>
    <w:rsid w:val="000724D7"/>
    <w:rsid w:val="0007323C"/>
    <w:rsid w:val="000733D2"/>
    <w:rsid w:val="000735C1"/>
    <w:rsid w:val="000739F5"/>
    <w:rsid w:val="00073DEF"/>
    <w:rsid w:val="00074096"/>
    <w:rsid w:val="00074A5C"/>
    <w:rsid w:val="00074B73"/>
    <w:rsid w:val="000750C6"/>
    <w:rsid w:val="000758BF"/>
    <w:rsid w:val="000759E7"/>
    <w:rsid w:val="00075A26"/>
    <w:rsid w:val="00075EE7"/>
    <w:rsid w:val="0007699F"/>
    <w:rsid w:val="00076A2E"/>
    <w:rsid w:val="00076B4F"/>
    <w:rsid w:val="00076BD2"/>
    <w:rsid w:val="00076C7F"/>
    <w:rsid w:val="000775B1"/>
    <w:rsid w:val="000776C5"/>
    <w:rsid w:val="000778F1"/>
    <w:rsid w:val="000779D9"/>
    <w:rsid w:val="00077C02"/>
    <w:rsid w:val="00077CC1"/>
    <w:rsid w:val="00080048"/>
    <w:rsid w:val="000809C7"/>
    <w:rsid w:val="00080B24"/>
    <w:rsid w:val="000811A0"/>
    <w:rsid w:val="0008183D"/>
    <w:rsid w:val="00081923"/>
    <w:rsid w:val="00081B7E"/>
    <w:rsid w:val="00081C2B"/>
    <w:rsid w:val="00081E60"/>
    <w:rsid w:val="000822D0"/>
    <w:rsid w:val="000822FB"/>
    <w:rsid w:val="000823EA"/>
    <w:rsid w:val="000824A8"/>
    <w:rsid w:val="00082A43"/>
    <w:rsid w:val="00082EB5"/>
    <w:rsid w:val="00082F09"/>
    <w:rsid w:val="00082F54"/>
    <w:rsid w:val="000833FE"/>
    <w:rsid w:val="00083D48"/>
    <w:rsid w:val="000842AD"/>
    <w:rsid w:val="0008441E"/>
    <w:rsid w:val="00084459"/>
    <w:rsid w:val="00084585"/>
    <w:rsid w:val="00084713"/>
    <w:rsid w:val="00084BD6"/>
    <w:rsid w:val="00084F72"/>
    <w:rsid w:val="000850CE"/>
    <w:rsid w:val="000854BF"/>
    <w:rsid w:val="000855D4"/>
    <w:rsid w:val="00085743"/>
    <w:rsid w:val="0008593B"/>
    <w:rsid w:val="000860BC"/>
    <w:rsid w:val="00086C12"/>
    <w:rsid w:val="00086E3B"/>
    <w:rsid w:val="00086FAB"/>
    <w:rsid w:val="00087408"/>
    <w:rsid w:val="00087A28"/>
    <w:rsid w:val="00087F4D"/>
    <w:rsid w:val="0009063D"/>
    <w:rsid w:val="00090979"/>
    <w:rsid w:val="00090BBD"/>
    <w:rsid w:val="00091C75"/>
    <w:rsid w:val="00091C95"/>
    <w:rsid w:val="00091D38"/>
    <w:rsid w:val="00091ED8"/>
    <w:rsid w:val="00092563"/>
    <w:rsid w:val="000925EB"/>
    <w:rsid w:val="00092662"/>
    <w:rsid w:val="00092A3E"/>
    <w:rsid w:val="00092D06"/>
    <w:rsid w:val="00093265"/>
    <w:rsid w:val="000932E2"/>
    <w:rsid w:val="00093A9B"/>
    <w:rsid w:val="00093B89"/>
    <w:rsid w:val="00093FCB"/>
    <w:rsid w:val="0009408B"/>
    <w:rsid w:val="0009493E"/>
    <w:rsid w:val="00094B87"/>
    <w:rsid w:val="00094BC0"/>
    <w:rsid w:val="00094C23"/>
    <w:rsid w:val="00094D6F"/>
    <w:rsid w:val="00094FE4"/>
    <w:rsid w:val="00095122"/>
    <w:rsid w:val="000954A4"/>
    <w:rsid w:val="0009576B"/>
    <w:rsid w:val="00095AAD"/>
    <w:rsid w:val="0009604B"/>
    <w:rsid w:val="000961E8"/>
    <w:rsid w:val="0009638C"/>
    <w:rsid w:val="00096C99"/>
    <w:rsid w:val="00097610"/>
    <w:rsid w:val="000976EF"/>
    <w:rsid w:val="000977CA"/>
    <w:rsid w:val="000A0B59"/>
    <w:rsid w:val="000A0BC0"/>
    <w:rsid w:val="000A148A"/>
    <w:rsid w:val="000A14D9"/>
    <w:rsid w:val="000A193D"/>
    <w:rsid w:val="000A1C3E"/>
    <w:rsid w:val="000A20F6"/>
    <w:rsid w:val="000A237F"/>
    <w:rsid w:val="000A2381"/>
    <w:rsid w:val="000A2B3E"/>
    <w:rsid w:val="000A2E12"/>
    <w:rsid w:val="000A3A24"/>
    <w:rsid w:val="000A3B33"/>
    <w:rsid w:val="000A3FDF"/>
    <w:rsid w:val="000A41CF"/>
    <w:rsid w:val="000A4661"/>
    <w:rsid w:val="000A495A"/>
    <w:rsid w:val="000A4982"/>
    <w:rsid w:val="000A4993"/>
    <w:rsid w:val="000A4ABE"/>
    <w:rsid w:val="000A5121"/>
    <w:rsid w:val="000A5296"/>
    <w:rsid w:val="000A552D"/>
    <w:rsid w:val="000A558B"/>
    <w:rsid w:val="000A5A0B"/>
    <w:rsid w:val="000A5D36"/>
    <w:rsid w:val="000A6210"/>
    <w:rsid w:val="000A6840"/>
    <w:rsid w:val="000A6DE0"/>
    <w:rsid w:val="000A6EFE"/>
    <w:rsid w:val="000A7087"/>
    <w:rsid w:val="000A71E6"/>
    <w:rsid w:val="000A783C"/>
    <w:rsid w:val="000A7AF2"/>
    <w:rsid w:val="000A7EB9"/>
    <w:rsid w:val="000B0280"/>
    <w:rsid w:val="000B03A8"/>
    <w:rsid w:val="000B0509"/>
    <w:rsid w:val="000B05C4"/>
    <w:rsid w:val="000B0898"/>
    <w:rsid w:val="000B1483"/>
    <w:rsid w:val="000B1842"/>
    <w:rsid w:val="000B25E9"/>
    <w:rsid w:val="000B27AC"/>
    <w:rsid w:val="000B27B0"/>
    <w:rsid w:val="000B2924"/>
    <w:rsid w:val="000B2A60"/>
    <w:rsid w:val="000B2C2D"/>
    <w:rsid w:val="000B3582"/>
    <w:rsid w:val="000B35AB"/>
    <w:rsid w:val="000B3D58"/>
    <w:rsid w:val="000B4981"/>
    <w:rsid w:val="000B4CB6"/>
    <w:rsid w:val="000B4F20"/>
    <w:rsid w:val="000B4FF0"/>
    <w:rsid w:val="000B5D94"/>
    <w:rsid w:val="000B63B7"/>
    <w:rsid w:val="000B6406"/>
    <w:rsid w:val="000B6550"/>
    <w:rsid w:val="000B6618"/>
    <w:rsid w:val="000B66E8"/>
    <w:rsid w:val="000B6945"/>
    <w:rsid w:val="000B69DB"/>
    <w:rsid w:val="000B6A5A"/>
    <w:rsid w:val="000B71B8"/>
    <w:rsid w:val="000B734E"/>
    <w:rsid w:val="000B75A5"/>
    <w:rsid w:val="000B7ABB"/>
    <w:rsid w:val="000B7BF4"/>
    <w:rsid w:val="000B7CFB"/>
    <w:rsid w:val="000B7E91"/>
    <w:rsid w:val="000C02A6"/>
    <w:rsid w:val="000C0D0E"/>
    <w:rsid w:val="000C0EBB"/>
    <w:rsid w:val="000C1425"/>
    <w:rsid w:val="000C1C28"/>
    <w:rsid w:val="000C253F"/>
    <w:rsid w:val="000C25F4"/>
    <w:rsid w:val="000C27FE"/>
    <w:rsid w:val="000C3640"/>
    <w:rsid w:val="000C3D02"/>
    <w:rsid w:val="000C4A39"/>
    <w:rsid w:val="000C5120"/>
    <w:rsid w:val="000C5E2C"/>
    <w:rsid w:val="000C6228"/>
    <w:rsid w:val="000C625F"/>
    <w:rsid w:val="000C627F"/>
    <w:rsid w:val="000C6811"/>
    <w:rsid w:val="000C6AAB"/>
    <w:rsid w:val="000C6D23"/>
    <w:rsid w:val="000C7501"/>
    <w:rsid w:val="000C7681"/>
    <w:rsid w:val="000C7BFC"/>
    <w:rsid w:val="000D097F"/>
    <w:rsid w:val="000D0AD6"/>
    <w:rsid w:val="000D0D74"/>
    <w:rsid w:val="000D1219"/>
    <w:rsid w:val="000D1890"/>
    <w:rsid w:val="000D284B"/>
    <w:rsid w:val="000D2DC2"/>
    <w:rsid w:val="000D2DE5"/>
    <w:rsid w:val="000D2ED8"/>
    <w:rsid w:val="000D3368"/>
    <w:rsid w:val="000D3894"/>
    <w:rsid w:val="000D3994"/>
    <w:rsid w:val="000D3ABA"/>
    <w:rsid w:val="000D3D43"/>
    <w:rsid w:val="000D3EEC"/>
    <w:rsid w:val="000D40E9"/>
    <w:rsid w:val="000D4290"/>
    <w:rsid w:val="000D44BA"/>
    <w:rsid w:val="000D50F4"/>
    <w:rsid w:val="000D5514"/>
    <w:rsid w:val="000D56F7"/>
    <w:rsid w:val="000D6126"/>
    <w:rsid w:val="000D649B"/>
    <w:rsid w:val="000D66E5"/>
    <w:rsid w:val="000D68E2"/>
    <w:rsid w:val="000D6BF1"/>
    <w:rsid w:val="000D6E27"/>
    <w:rsid w:val="000D6F37"/>
    <w:rsid w:val="000D6FF5"/>
    <w:rsid w:val="000D6FFB"/>
    <w:rsid w:val="000D71F8"/>
    <w:rsid w:val="000D770A"/>
    <w:rsid w:val="000D7870"/>
    <w:rsid w:val="000D790E"/>
    <w:rsid w:val="000D7BE5"/>
    <w:rsid w:val="000E0657"/>
    <w:rsid w:val="000E10B4"/>
    <w:rsid w:val="000E208A"/>
    <w:rsid w:val="000E2EB5"/>
    <w:rsid w:val="000E3CE8"/>
    <w:rsid w:val="000E5314"/>
    <w:rsid w:val="000E6269"/>
    <w:rsid w:val="000E629A"/>
    <w:rsid w:val="000E69E1"/>
    <w:rsid w:val="000E6ADB"/>
    <w:rsid w:val="000E6B70"/>
    <w:rsid w:val="000E6BAF"/>
    <w:rsid w:val="000E7053"/>
    <w:rsid w:val="000E7288"/>
    <w:rsid w:val="000E72B0"/>
    <w:rsid w:val="000E7978"/>
    <w:rsid w:val="000E7D91"/>
    <w:rsid w:val="000F0823"/>
    <w:rsid w:val="000F082D"/>
    <w:rsid w:val="000F0EBB"/>
    <w:rsid w:val="000F1010"/>
    <w:rsid w:val="000F2533"/>
    <w:rsid w:val="000F297B"/>
    <w:rsid w:val="000F3989"/>
    <w:rsid w:val="000F40E4"/>
    <w:rsid w:val="000F4288"/>
    <w:rsid w:val="000F4437"/>
    <w:rsid w:val="000F443E"/>
    <w:rsid w:val="000F44A6"/>
    <w:rsid w:val="000F4512"/>
    <w:rsid w:val="000F4D21"/>
    <w:rsid w:val="000F4DB1"/>
    <w:rsid w:val="000F5117"/>
    <w:rsid w:val="000F551C"/>
    <w:rsid w:val="000F5616"/>
    <w:rsid w:val="000F56BF"/>
    <w:rsid w:val="000F5A38"/>
    <w:rsid w:val="000F5C59"/>
    <w:rsid w:val="000F5E2A"/>
    <w:rsid w:val="000F608D"/>
    <w:rsid w:val="000F6126"/>
    <w:rsid w:val="000F6D4B"/>
    <w:rsid w:val="000F6E08"/>
    <w:rsid w:val="000F73CF"/>
    <w:rsid w:val="000F74A3"/>
    <w:rsid w:val="000F7634"/>
    <w:rsid w:val="000F77DC"/>
    <w:rsid w:val="00100059"/>
    <w:rsid w:val="001003C2"/>
    <w:rsid w:val="00100514"/>
    <w:rsid w:val="001005DA"/>
    <w:rsid w:val="0010068D"/>
    <w:rsid w:val="00100891"/>
    <w:rsid w:val="0010090C"/>
    <w:rsid w:val="00101148"/>
    <w:rsid w:val="00101366"/>
    <w:rsid w:val="00101553"/>
    <w:rsid w:val="00101844"/>
    <w:rsid w:val="001022F6"/>
    <w:rsid w:val="00102B19"/>
    <w:rsid w:val="00102CF4"/>
    <w:rsid w:val="00103347"/>
    <w:rsid w:val="00103451"/>
    <w:rsid w:val="0010349C"/>
    <w:rsid w:val="001036C7"/>
    <w:rsid w:val="00103A33"/>
    <w:rsid w:val="00103F55"/>
    <w:rsid w:val="00104336"/>
    <w:rsid w:val="00104429"/>
    <w:rsid w:val="001044FC"/>
    <w:rsid w:val="00104E5F"/>
    <w:rsid w:val="00105340"/>
    <w:rsid w:val="00105796"/>
    <w:rsid w:val="00105952"/>
    <w:rsid w:val="00105C42"/>
    <w:rsid w:val="00105FA1"/>
    <w:rsid w:val="00106D3E"/>
    <w:rsid w:val="00107278"/>
    <w:rsid w:val="00107FB5"/>
    <w:rsid w:val="0011067E"/>
    <w:rsid w:val="00111971"/>
    <w:rsid w:val="00111AAD"/>
    <w:rsid w:val="00111C80"/>
    <w:rsid w:val="00111FC8"/>
    <w:rsid w:val="00113147"/>
    <w:rsid w:val="00113DA5"/>
    <w:rsid w:val="00114120"/>
    <w:rsid w:val="001143D5"/>
    <w:rsid w:val="00115015"/>
    <w:rsid w:val="001157DF"/>
    <w:rsid w:val="00116A45"/>
    <w:rsid w:val="00116C21"/>
    <w:rsid w:val="00117303"/>
    <w:rsid w:val="00117789"/>
    <w:rsid w:val="001178F9"/>
    <w:rsid w:val="00117933"/>
    <w:rsid w:val="00117D58"/>
    <w:rsid w:val="001200DF"/>
    <w:rsid w:val="00120977"/>
    <w:rsid w:val="001209F8"/>
    <w:rsid w:val="00120B5A"/>
    <w:rsid w:val="00120EA0"/>
    <w:rsid w:val="001212B2"/>
    <w:rsid w:val="001212DD"/>
    <w:rsid w:val="00121309"/>
    <w:rsid w:val="00121BEF"/>
    <w:rsid w:val="00121C04"/>
    <w:rsid w:val="00121C8D"/>
    <w:rsid w:val="00121E53"/>
    <w:rsid w:val="001226D2"/>
    <w:rsid w:val="00122B08"/>
    <w:rsid w:val="00122D3F"/>
    <w:rsid w:val="001233E8"/>
    <w:rsid w:val="00123E4B"/>
    <w:rsid w:val="0012422B"/>
    <w:rsid w:val="001244BB"/>
    <w:rsid w:val="0012464D"/>
    <w:rsid w:val="00124A78"/>
    <w:rsid w:val="00124F5E"/>
    <w:rsid w:val="001250CA"/>
    <w:rsid w:val="00125FFE"/>
    <w:rsid w:val="001260D9"/>
    <w:rsid w:val="00126181"/>
    <w:rsid w:val="00126268"/>
    <w:rsid w:val="0012659E"/>
    <w:rsid w:val="00126AE1"/>
    <w:rsid w:val="00127538"/>
    <w:rsid w:val="00127BAB"/>
    <w:rsid w:val="00130049"/>
    <w:rsid w:val="001300BF"/>
    <w:rsid w:val="00130502"/>
    <w:rsid w:val="00130F1A"/>
    <w:rsid w:val="00131475"/>
    <w:rsid w:val="001314F8"/>
    <w:rsid w:val="00131C63"/>
    <w:rsid w:val="00131EF0"/>
    <w:rsid w:val="00132280"/>
    <w:rsid w:val="00132352"/>
    <w:rsid w:val="0013248B"/>
    <w:rsid w:val="00132565"/>
    <w:rsid w:val="00132672"/>
    <w:rsid w:val="00132B8E"/>
    <w:rsid w:val="00132E3C"/>
    <w:rsid w:val="00133DD0"/>
    <w:rsid w:val="00134459"/>
    <w:rsid w:val="0013462D"/>
    <w:rsid w:val="0013511B"/>
    <w:rsid w:val="001354BA"/>
    <w:rsid w:val="00135622"/>
    <w:rsid w:val="001359E4"/>
    <w:rsid w:val="00135C5D"/>
    <w:rsid w:val="00135EDB"/>
    <w:rsid w:val="0013654E"/>
    <w:rsid w:val="00136683"/>
    <w:rsid w:val="00136686"/>
    <w:rsid w:val="00136B8A"/>
    <w:rsid w:val="00136C9E"/>
    <w:rsid w:val="00136DD5"/>
    <w:rsid w:val="00136DEE"/>
    <w:rsid w:val="0013705A"/>
    <w:rsid w:val="001374E3"/>
    <w:rsid w:val="00137527"/>
    <w:rsid w:val="0013775B"/>
    <w:rsid w:val="0013796F"/>
    <w:rsid w:val="0014040C"/>
    <w:rsid w:val="00140717"/>
    <w:rsid w:val="00140C19"/>
    <w:rsid w:val="00140E1C"/>
    <w:rsid w:val="00141CD6"/>
    <w:rsid w:val="001422B3"/>
    <w:rsid w:val="00142458"/>
    <w:rsid w:val="00142539"/>
    <w:rsid w:val="00142E5C"/>
    <w:rsid w:val="00143414"/>
    <w:rsid w:val="0014356E"/>
    <w:rsid w:val="001436F0"/>
    <w:rsid w:val="001439AA"/>
    <w:rsid w:val="00143E34"/>
    <w:rsid w:val="001446A7"/>
    <w:rsid w:val="00144A36"/>
    <w:rsid w:val="00145118"/>
    <w:rsid w:val="00145E8B"/>
    <w:rsid w:val="0014623D"/>
    <w:rsid w:val="001463E5"/>
    <w:rsid w:val="00146BDF"/>
    <w:rsid w:val="00146D89"/>
    <w:rsid w:val="0014719E"/>
    <w:rsid w:val="001476C2"/>
    <w:rsid w:val="00147961"/>
    <w:rsid w:val="0014796F"/>
    <w:rsid w:val="00147979"/>
    <w:rsid w:val="00147DC1"/>
    <w:rsid w:val="00150229"/>
    <w:rsid w:val="00150D1F"/>
    <w:rsid w:val="0015134D"/>
    <w:rsid w:val="001515B3"/>
    <w:rsid w:val="00151806"/>
    <w:rsid w:val="00151871"/>
    <w:rsid w:val="00151A8D"/>
    <w:rsid w:val="00151B71"/>
    <w:rsid w:val="00151EF9"/>
    <w:rsid w:val="001520C6"/>
    <w:rsid w:val="00152146"/>
    <w:rsid w:val="001528EA"/>
    <w:rsid w:val="00152F87"/>
    <w:rsid w:val="00153229"/>
    <w:rsid w:val="0015367B"/>
    <w:rsid w:val="00153A29"/>
    <w:rsid w:val="00153B38"/>
    <w:rsid w:val="0015466F"/>
    <w:rsid w:val="001546F1"/>
    <w:rsid w:val="001554F4"/>
    <w:rsid w:val="00156075"/>
    <w:rsid w:val="001561CD"/>
    <w:rsid w:val="00156522"/>
    <w:rsid w:val="001565CD"/>
    <w:rsid w:val="001567E0"/>
    <w:rsid w:val="00156DD9"/>
    <w:rsid w:val="00156E94"/>
    <w:rsid w:val="00156EC3"/>
    <w:rsid w:val="0015764E"/>
    <w:rsid w:val="00157EA6"/>
    <w:rsid w:val="0016075B"/>
    <w:rsid w:val="001608F9"/>
    <w:rsid w:val="00160F2E"/>
    <w:rsid w:val="00161333"/>
    <w:rsid w:val="00161906"/>
    <w:rsid w:val="00161920"/>
    <w:rsid w:val="00161AA5"/>
    <w:rsid w:val="001625F9"/>
    <w:rsid w:val="0016260A"/>
    <w:rsid w:val="0016264B"/>
    <w:rsid w:val="00162AC5"/>
    <w:rsid w:val="00163C6F"/>
    <w:rsid w:val="00163FA7"/>
    <w:rsid w:val="00164DB6"/>
    <w:rsid w:val="001657DD"/>
    <w:rsid w:val="001659CB"/>
    <w:rsid w:val="00165EB2"/>
    <w:rsid w:val="00166094"/>
    <w:rsid w:val="00166224"/>
    <w:rsid w:val="00166A87"/>
    <w:rsid w:val="00166E31"/>
    <w:rsid w:val="0016731B"/>
    <w:rsid w:val="001673CD"/>
    <w:rsid w:val="001675A8"/>
    <w:rsid w:val="00167B76"/>
    <w:rsid w:val="00167FC4"/>
    <w:rsid w:val="0017041D"/>
    <w:rsid w:val="00170BE6"/>
    <w:rsid w:val="00170CBC"/>
    <w:rsid w:val="00170E32"/>
    <w:rsid w:val="00171115"/>
    <w:rsid w:val="001715C3"/>
    <w:rsid w:val="00171655"/>
    <w:rsid w:val="00171890"/>
    <w:rsid w:val="001718F4"/>
    <w:rsid w:val="00171921"/>
    <w:rsid w:val="00171DED"/>
    <w:rsid w:val="00171E53"/>
    <w:rsid w:val="00172566"/>
    <w:rsid w:val="001725E0"/>
    <w:rsid w:val="00173660"/>
    <w:rsid w:val="00173792"/>
    <w:rsid w:val="00174516"/>
    <w:rsid w:val="00174CCA"/>
    <w:rsid w:val="00175205"/>
    <w:rsid w:val="001753CE"/>
    <w:rsid w:val="00175730"/>
    <w:rsid w:val="001757B7"/>
    <w:rsid w:val="00175A16"/>
    <w:rsid w:val="00175B20"/>
    <w:rsid w:val="00175D66"/>
    <w:rsid w:val="0017614E"/>
    <w:rsid w:val="001769DA"/>
    <w:rsid w:val="00177136"/>
    <w:rsid w:val="00177305"/>
    <w:rsid w:val="001773CB"/>
    <w:rsid w:val="001778DD"/>
    <w:rsid w:val="00177EEC"/>
    <w:rsid w:val="001804E8"/>
    <w:rsid w:val="001805B6"/>
    <w:rsid w:val="001809F3"/>
    <w:rsid w:val="00180BD3"/>
    <w:rsid w:val="00180E5B"/>
    <w:rsid w:val="00180E7E"/>
    <w:rsid w:val="001818D9"/>
    <w:rsid w:val="00181B2F"/>
    <w:rsid w:val="001821DB"/>
    <w:rsid w:val="00182281"/>
    <w:rsid w:val="0018277F"/>
    <w:rsid w:val="00182790"/>
    <w:rsid w:val="001830EF"/>
    <w:rsid w:val="001834CA"/>
    <w:rsid w:val="00183C25"/>
    <w:rsid w:val="00184213"/>
    <w:rsid w:val="0018439B"/>
    <w:rsid w:val="00185151"/>
    <w:rsid w:val="00185230"/>
    <w:rsid w:val="0018537E"/>
    <w:rsid w:val="00185817"/>
    <w:rsid w:val="00185B9E"/>
    <w:rsid w:val="001862B1"/>
    <w:rsid w:val="0018636C"/>
    <w:rsid w:val="001866E5"/>
    <w:rsid w:val="0018684F"/>
    <w:rsid w:val="00186E49"/>
    <w:rsid w:val="00186FCF"/>
    <w:rsid w:val="0018703C"/>
    <w:rsid w:val="0018743C"/>
    <w:rsid w:val="001876FF"/>
    <w:rsid w:val="0018787A"/>
    <w:rsid w:val="0019094D"/>
    <w:rsid w:val="00190AA5"/>
    <w:rsid w:val="00190E65"/>
    <w:rsid w:val="00191067"/>
    <w:rsid w:val="00191F24"/>
    <w:rsid w:val="001921A0"/>
    <w:rsid w:val="0019241B"/>
    <w:rsid w:val="00192B1E"/>
    <w:rsid w:val="00193E02"/>
    <w:rsid w:val="0019439D"/>
    <w:rsid w:val="00194521"/>
    <w:rsid w:val="001945B9"/>
    <w:rsid w:val="00194D43"/>
    <w:rsid w:val="00194E79"/>
    <w:rsid w:val="00195062"/>
    <w:rsid w:val="001952B5"/>
    <w:rsid w:val="00195356"/>
    <w:rsid w:val="0019537B"/>
    <w:rsid w:val="001954AA"/>
    <w:rsid w:val="00195772"/>
    <w:rsid w:val="0019610E"/>
    <w:rsid w:val="00196F95"/>
    <w:rsid w:val="00197A52"/>
    <w:rsid w:val="00197B90"/>
    <w:rsid w:val="001A0368"/>
    <w:rsid w:val="001A044E"/>
    <w:rsid w:val="001A060A"/>
    <w:rsid w:val="001A0A25"/>
    <w:rsid w:val="001A10BD"/>
    <w:rsid w:val="001A12FE"/>
    <w:rsid w:val="001A1563"/>
    <w:rsid w:val="001A159A"/>
    <w:rsid w:val="001A1679"/>
    <w:rsid w:val="001A19E2"/>
    <w:rsid w:val="001A1A4D"/>
    <w:rsid w:val="001A1C71"/>
    <w:rsid w:val="001A1CBD"/>
    <w:rsid w:val="001A2169"/>
    <w:rsid w:val="001A27FF"/>
    <w:rsid w:val="001A2C74"/>
    <w:rsid w:val="001A377C"/>
    <w:rsid w:val="001A3D1B"/>
    <w:rsid w:val="001A4194"/>
    <w:rsid w:val="001A4741"/>
    <w:rsid w:val="001A481D"/>
    <w:rsid w:val="001A4A6C"/>
    <w:rsid w:val="001A5015"/>
    <w:rsid w:val="001A53CF"/>
    <w:rsid w:val="001A5408"/>
    <w:rsid w:val="001A586C"/>
    <w:rsid w:val="001A59B7"/>
    <w:rsid w:val="001A5A43"/>
    <w:rsid w:val="001A5B0E"/>
    <w:rsid w:val="001A6126"/>
    <w:rsid w:val="001A63B1"/>
    <w:rsid w:val="001A63FC"/>
    <w:rsid w:val="001A6A0A"/>
    <w:rsid w:val="001A6F68"/>
    <w:rsid w:val="001A78C0"/>
    <w:rsid w:val="001A796F"/>
    <w:rsid w:val="001A7999"/>
    <w:rsid w:val="001A79D7"/>
    <w:rsid w:val="001A7C58"/>
    <w:rsid w:val="001B01CD"/>
    <w:rsid w:val="001B01DE"/>
    <w:rsid w:val="001B063B"/>
    <w:rsid w:val="001B0B4A"/>
    <w:rsid w:val="001B191F"/>
    <w:rsid w:val="001B1D50"/>
    <w:rsid w:val="001B2582"/>
    <w:rsid w:val="001B27DB"/>
    <w:rsid w:val="001B2911"/>
    <w:rsid w:val="001B2945"/>
    <w:rsid w:val="001B2C6A"/>
    <w:rsid w:val="001B2D31"/>
    <w:rsid w:val="001B332D"/>
    <w:rsid w:val="001B35F8"/>
    <w:rsid w:val="001B3884"/>
    <w:rsid w:val="001B38B8"/>
    <w:rsid w:val="001B4526"/>
    <w:rsid w:val="001B4685"/>
    <w:rsid w:val="001B49C9"/>
    <w:rsid w:val="001B52AA"/>
    <w:rsid w:val="001B5490"/>
    <w:rsid w:val="001B5874"/>
    <w:rsid w:val="001B59CB"/>
    <w:rsid w:val="001B5AB0"/>
    <w:rsid w:val="001B5B85"/>
    <w:rsid w:val="001B5F66"/>
    <w:rsid w:val="001B60E5"/>
    <w:rsid w:val="001B6893"/>
    <w:rsid w:val="001B69A7"/>
    <w:rsid w:val="001B6E67"/>
    <w:rsid w:val="001B6F7A"/>
    <w:rsid w:val="001B75E9"/>
    <w:rsid w:val="001B773D"/>
    <w:rsid w:val="001B7AFF"/>
    <w:rsid w:val="001B7D61"/>
    <w:rsid w:val="001B7EBC"/>
    <w:rsid w:val="001C09DC"/>
    <w:rsid w:val="001C0D0A"/>
    <w:rsid w:val="001C11E2"/>
    <w:rsid w:val="001C12FA"/>
    <w:rsid w:val="001C1B83"/>
    <w:rsid w:val="001C1C5C"/>
    <w:rsid w:val="001C1F9A"/>
    <w:rsid w:val="001C20F6"/>
    <w:rsid w:val="001C2190"/>
    <w:rsid w:val="001C225C"/>
    <w:rsid w:val="001C24EA"/>
    <w:rsid w:val="001C2531"/>
    <w:rsid w:val="001C25DE"/>
    <w:rsid w:val="001C281B"/>
    <w:rsid w:val="001C31B8"/>
    <w:rsid w:val="001C333F"/>
    <w:rsid w:val="001C337C"/>
    <w:rsid w:val="001C389C"/>
    <w:rsid w:val="001C3F33"/>
    <w:rsid w:val="001C42E5"/>
    <w:rsid w:val="001C464E"/>
    <w:rsid w:val="001C4A4E"/>
    <w:rsid w:val="001C4E55"/>
    <w:rsid w:val="001C5137"/>
    <w:rsid w:val="001C5941"/>
    <w:rsid w:val="001C5AAD"/>
    <w:rsid w:val="001C5B62"/>
    <w:rsid w:val="001C5BDF"/>
    <w:rsid w:val="001C5C74"/>
    <w:rsid w:val="001C5C75"/>
    <w:rsid w:val="001C62DA"/>
    <w:rsid w:val="001C6A3E"/>
    <w:rsid w:val="001C73F5"/>
    <w:rsid w:val="001C7593"/>
    <w:rsid w:val="001C7953"/>
    <w:rsid w:val="001C7DFC"/>
    <w:rsid w:val="001D0044"/>
    <w:rsid w:val="001D0295"/>
    <w:rsid w:val="001D037D"/>
    <w:rsid w:val="001D047F"/>
    <w:rsid w:val="001D0689"/>
    <w:rsid w:val="001D071A"/>
    <w:rsid w:val="001D094F"/>
    <w:rsid w:val="001D0B81"/>
    <w:rsid w:val="001D14C9"/>
    <w:rsid w:val="001D1782"/>
    <w:rsid w:val="001D1C54"/>
    <w:rsid w:val="001D23A9"/>
    <w:rsid w:val="001D269E"/>
    <w:rsid w:val="001D2CEE"/>
    <w:rsid w:val="001D329D"/>
    <w:rsid w:val="001D35B5"/>
    <w:rsid w:val="001D37F6"/>
    <w:rsid w:val="001D3D3C"/>
    <w:rsid w:val="001D417D"/>
    <w:rsid w:val="001D4597"/>
    <w:rsid w:val="001D4976"/>
    <w:rsid w:val="001D4E40"/>
    <w:rsid w:val="001D4F10"/>
    <w:rsid w:val="001D50A1"/>
    <w:rsid w:val="001D54E9"/>
    <w:rsid w:val="001D567C"/>
    <w:rsid w:val="001D583D"/>
    <w:rsid w:val="001D5AC2"/>
    <w:rsid w:val="001D5BC0"/>
    <w:rsid w:val="001D5D00"/>
    <w:rsid w:val="001D61F6"/>
    <w:rsid w:val="001D65E8"/>
    <w:rsid w:val="001D6659"/>
    <w:rsid w:val="001D6846"/>
    <w:rsid w:val="001D75D4"/>
    <w:rsid w:val="001E06DB"/>
    <w:rsid w:val="001E0B7A"/>
    <w:rsid w:val="001E1281"/>
    <w:rsid w:val="001E1347"/>
    <w:rsid w:val="001E1AAE"/>
    <w:rsid w:val="001E1C2D"/>
    <w:rsid w:val="001E208C"/>
    <w:rsid w:val="001E2848"/>
    <w:rsid w:val="001E2B76"/>
    <w:rsid w:val="001E312F"/>
    <w:rsid w:val="001E3430"/>
    <w:rsid w:val="001E371F"/>
    <w:rsid w:val="001E3A1F"/>
    <w:rsid w:val="001E3AFF"/>
    <w:rsid w:val="001E3DF7"/>
    <w:rsid w:val="001E3E4C"/>
    <w:rsid w:val="001E4265"/>
    <w:rsid w:val="001E46AF"/>
    <w:rsid w:val="001E4928"/>
    <w:rsid w:val="001E4CC1"/>
    <w:rsid w:val="001E4D17"/>
    <w:rsid w:val="001E5675"/>
    <w:rsid w:val="001E5E3C"/>
    <w:rsid w:val="001E5F0D"/>
    <w:rsid w:val="001E6533"/>
    <w:rsid w:val="001E6E3E"/>
    <w:rsid w:val="001E75B3"/>
    <w:rsid w:val="001E75ED"/>
    <w:rsid w:val="001E7B22"/>
    <w:rsid w:val="001E7CB8"/>
    <w:rsid w:val="001F0119"/>
    <w:rsid w:val="001F082F"/>
    <w:rsid w:val="001F0937"/>
    <w:rsid w:val="001F125D"/>
    <w:rsid w:val="001F16CC"/>
    <w:rsid w:val="001F1E10"/>
    <w:rsid w:val="001F1ED3"/>
    <w:rsid w:val="001F21B1"/>
    <w:rsid w:val="001F2972"/>
    <w:rsid w:val="001F32E3"/>
    <w:rsid w:val="001F343E"/>
    <w:rsid w:val="001F39A8"/>
    <w:rsid w:val="001F3B4A"/>
    <w:rsid w:val="001F3E95"/>
    <w:rsid w:val="001F444C"/>
    <w:rsid w:val="001F46F2"/>
    <w:rsid w:val="001F47F1"/>
    <w:rsid w:val="001F48C4"/>
    <w:rsid w:val="001F4FAB"/>
    <w:rsid w:val="001F60BA"/>
    <w:rsid w:val="001F6119"/>
    <w:rsid w:val="001F66AB"/>
    <w:rsid w:val="001F67A2"/>
    <w:rsid w:val="001F715B"/>
    <w:rsid w:val="001F7326"/>
    <w:rsid w:val="001F7DD7"/>
    <w:rsid w:val="001F7F57"/>
    <w:rsid w:val="00200212"/>
    <w:rsid w:val="00200354"/>
    <w:rsid w:val="00200564"/>
    <w:rsid w:val="00200B94"/>
    <w:rsid w:val="00200C79"/>
    <w:rsid w:val="00200DDE"/>
    <w:rsid w:val="00201096"/>
    <w:rsid w:val="0020170A"/>
    <w:rsid w:val="0020190F"/>
    <w:rsid w:val="00201A51"/>
    <w:rsid w:val="00202514"/>
    <w:rsid w:val="00202BC1"/>
    <w:rsid w:val="00202E49"/>
    <w:rsid w:val="00202F08"/>
    <w:rsid w:val="002030AC"/>
    <w:rsid w:val="0020331D"/>
    <w:rsid w:val="00203404"/>
    <w:rsid w:val="0020470C"/>
    <w:rsid w:val="00204AC4"/>
    <w:rsid w:val="00204D94"/>
    <w:rsid w:val="002053C5"/>
    <w:rsid w:val="0020561C"/>
    <w:rsid w:val="002058B1"/>
    <w:rsid w:val="002061C2"/>
    <w:rsid w:val="002061E6"/>
    <w:rsid w:val="002062CC"/>
    <w:rsid w:val="002063BA"/>
    <w:rsid w:val="00206BBB"/>
    <w:rsid w:val="00206DF7"/>
    <w:rsid w:val="00206FD0"/>
    <w:rsid w:val="002075F4"/>
    <w:rsid w:val="00207AA9"/>
    <w:rsid w:val="0021046B"/>
    <w:rsid w:val="002104E3"/>
    <w:rsid w:val="00210BB9"/>
    <w:rsid w:val="002113F5"/>
    <w:rsid w:val="00211494"/>
    <w:rsid w:val="002120F6"/>
    <w:rsid w:val="002121EF"/>
    <w:rsid w:val="0021236B"/>
    <w:rsid w:val="0021237F"/>
    <w:rsid w:val="002130BD"/>
    <w:rsid w:val="0021332C"/>
    <w:rsid w:val="002133A8"/>
    <w:rsid w:val="00213A0A"/>
    <w:rsid w:val="002147CD"/>
    <w:rsid w:val="002148EB"/>
    <w:rsid w:val="00214B03"/>
    <w:rsid w:val="00214C3F"/>
    <w:rsid w:val="00214FAA"/>
    <w:rsid w:val="00215212"/>
    <w:rsid w:val="002163A9"/>
    <w:rsid w:val="0021735F"/>
    <w:rsid w:val="0022046F"/>
    <w:rsid w:val="00220872"/>
    <w:rsid w:val="00220E47"/>
    <w:rsid w:val="0022123F"/>
    <w:rsid w:val="002217A2"/>
    <w:rsid w:val="00221A73"/>
    <w:rsid w:val="00221A99"/>
    <w:rsid w:val="00221E18"/>
    <w:rsid w:val="0022201B"/>
    <w:rsid w:val="0022210D"/>
    <w:rsid w:val="0022298D"/>
    <w:rsid w:val="00222A57"/>
    <w:rsid w:val="00222CF2"/>
    <w:rsid w:val="00222EFA"/>
    <w:rsid w:val="002236CE"/>
    <w:rsid w:val="00224070"/>
    <w:rsid w:val="002241C2"/>
    <w:rsid w:val="00224303"/>
    <w:rsid w:val="00224558"/>
    <w:rsid w:val="0022482F"/>
    <w:rsid w:val="0022494D"/>
    <w:rsid w:val="00224BA6"/>
    <w:rsid w:val="00224E94"/>
    <w:rsid w:val="00224F0E"/>
    <w:rsid w:val="0022502F"/>
    <w:rsid w:val="00225039"/>
    <w:rsid w:val="0022549F"/>
    <w:rsid w:val="0022569E"/>
    <w:rsid w:val="002257D2"/>
    <w:rsid w:val="00225D52"/>
    <w:rsid w:val="002263CA"/>
    <w:rsid w:val="00226852"/>
    <w:rsid w:val="00226DCF"/>
    <w:rsid w:val="002271ED"/>
    <w:rsid w:val="00227950"/>
    <w:rsid w:val="00227E68"/>
    <w:rsid w:val="002303D6"/>
    <w:rsid w:val="0023046D"/>
    <w:rsid w:val="00230564"/>
    <w:rsid w:val="00230E6B"/>
    <w:rsid w:val="0023113C"/>
    <w:rsid w:val="002313AE"/>
    <w:rsid w:val="00231A6C"/>
    <w:rsid w:val="00231B46"/>
    <w:rsid w:val="00231C32"/>
    <w:rsid w:val="00232090"/>
    <w:rsid w:val="00232440"/>
    <w:rsid w:val="002329F3"/>
    <w:rsid w:val="00232EE9"/>
    <w:rsid w:val="002330CD"/>
    <w:rsid w:val="00233219"/>
    <w:rsid w:val="00233629"/>
    <w:rsid w:val="00234A2D"/>
    <w:rsid w:val="00234AAC"/>
    <w:rsid w:val="00234DE4"/>
    <w:rsid w:val="00234F00"/>
    <w:rsid w:val="0023508C"/>
    <w:rsid w:val="002352A6"/>
    <w:rsid w:val="00235527"/>
    <w:rsid w:val="002356AF"/>
    <w:rsid w:val="002356BD"/>
    <w:rsid w:val="00235A3C"/>
    <w:rsid w:val="00235CC1"/>
    <w:rsid w:val="00235E4C"/>
    <w:rsid w:val="00235EF9"/>
    <w:rsid w:val="0023601E"/>
    <w:rsid w:val="002361C2"/>
    <w:rsid w:val="00236900"/>
    <w:rsid w:val="0023792F"/>
    <w:rsid w:val="002403FE"/>
    <w:rsid w:val="0024082E"/>
    <w:rsid w:val="00240956"/>
    <w:rsid w:val="002409EA"/>
    <w:rsid w:val="00240D07"/>
    <w:rsid w:val="00240E2D"/>
    <w:rsid w:val="002413CA"/>
    <w:rsid w:val="00241D38"/>
    <w:rsid w:val="00241DF9"/>
    <w:rsid w:val="00242091"/>
    <w:rsid w:val="002422FD"/>
    <w:rsid w:val="002423DF"/>
    <w:rsid w:val="00242500"/>
    <w:rsid w:val="002427E6"/>
    <w:rsid w:val="0024304C"/>
    <w:rsid w:val="002430E0"/>
    <w:rsid w:val="0024322C"/>
    <w:rsid w:val="00243EF0"/>
    <w:rsid w:val="00244E79"/>
    <w:rsid w:val="002452E0"/>
    <w:rsid w:val="002454D8"/>
    <w:rsid w:val="002454E2"/>
    <w:rsid w:val="002457A5"/>
    <w:rsid w:val="00245B4B"/>
    <w:rsid w:val="00246113"/>
    <w:rsid w:val="00246311"/>
    <w:rsid w:val="00247F64"/>
    <w:rsid w:val="0025016C"/>
    <w:rsid w:val="00250A3F"/>
    <w:rsid w:val="00250B10"/>
    <w:rsid w:val="00250B22"/>
    <w:rsid w:val="002512EF"/>
    <w:rsid w:val="002519C6"/>
    <w:rsid w:val="00252F91"/>
    <w:rsid w:val="0025341A"/>
    <w:rsid w:val="002537C0"/>
    <w:rsid w:val="002540C2"/>
    <w:rsid w:val="00254551"/>
    <w:rsid w:val="00254C86"/>
    <w:rsid w:val="00255039"/>
    <w:rsid w:val="0025538A"/>
    <w:rsid w:val="00255530"/>
    <w:rsid w:val="00255EB4"/>
    <w:rsid w:val="002566ED"/>
    <w:rsid w:val="00256726"/>
    <w:rsid w:val="00256965"/>
    <w:rsid w:val="002572B7"/>
    <w:rsid w:val="00257976"/>
    <w:rsid w:val="00257EB0"/>
    <w:rsid w:val="002600EB"/>
    <w:rsid w:val="0026037F"/>
    <w:rsid w:val="00260EB6"/>
    <w:rsid w:val="0026119D"/>
    <w:rsid w:val="002619D5"/>
    <w:rsid w:val="00262343"/>
    <w:rsid w:val="00262A30"/>
    <w:rsid w:val="002633CC"/>
    <w:rsid w:val="002638DC"/>
    <w:rsid w:val="002638DD"/>
    <w:rsid w:val="00263F72"/>
    <w:rsid w:val="00263FD9"/>
    <w:rsid w:val="002641FB"/>
    <w:rsid w:val="002657DE"/>
    <w:rsid w:val="00266474"/>
    <w:rsid w:val="002664F3"/>
    <w:rsid w:val="00266723"/>
    <w:rsid w:val="002668BB"/>
    <w:rsid w:val="00266AB0"/>
    <w:rsid w:val="00266ADF"/>
    <w:rsid w:val="00266EA1"/>
    <w:rsid w:val="00266ED7"/>
    <w:rsid w:val="00267240"/>
    <w:rsid w:val="002676F9"/>
    <w:rsid w:val="00267B5D"/>
    <w:rsid w:val="00267BD0"/>
    <w:rsid w:val="00267F32"/>
    <w:rsid w:val="002700FA"/>
    <w:rsid w:val="0027038C"/>
    <w:rsid w:val="00270962"/>
    <w:rsid w:val="00271450"/>
    <w:rsid w:val="00271BFF"/>
    <w:rsid w:val="00271D01"/>
    <w:rsid w:val="002721EE"/>
    <w:rsid w:val="002722DF"/>
    <w:rsid w:val="00272571"/>
    <w:rsid w:val="0027277C"/>
    <w:rsid w:val="00273242"/>
    <w:rsid w:val="00273481"/>
    <w:rsid w:val="00273CDF"/>
    <w:rsid w:val="0027401D"/>
    <w:rsid w:val="00274191"/>
    <w:rsid w:val="002745EA"/>
    <w:rsid w:val="00274881"/>
    <w:rsid w:val="00274ECA"/>
    <w:rsid w:val="00275351"/>
    <w:rsid w:val="002759E5"/>
    <w:rsid w:val="00275A6D"/>
    <w:rsid w:val="0027646C"/>
    <w:rsid w:val="002766D8"/>
    <w:rsid w:val="002767E3"/>
    <w:rsid w:val="0027693B"/>
    <w:rsid w:val="00276A15"/>
    <w:rsid w:val="00277DB0"/>
    <w:rsid w:val="002806A9"/>
    <w:rsid w:val="00280740"/>
    <w:rsid w:val="0028079A"/>
    <w:rsid w:val="00281131"/>
    <w:rsid w:val="0028176D"/>
    <w:rsid w:val="00281CF9"/>
    <w:rsid w:val="00282521"/>
    <w:rsid w:val="00282660"/>
    <w:rsid w:val="002828FD"/>
    <w:rsid w:val="002829AB"/>
    <w:rsid w:val="00282C26"/>
    <w:rsid w:val="00283065"/>
    <w:rsid w:val="00283072"/>
    <w:rsid w:val="00283103"/>
    <w:rsid w:val="00283154"/>
    <w:rsid w:val="0028327B"/>
    <w:rsid w:val="00283288"/>
    <w:rsid w:val="002834F9"/>
    <w:rsid w:val="00283A26"/>
    <w:rsid w:val="00283AAC"/>
    <w:rsid w:val="00284406"/>
    <w:rsid w:val="00284D95"/>
    <w:rsid w:val="0028557B"/>
    <w:rsid w:val="00285640"/>
    <w:rsid w:val="0028576B"/>
    <w:rsid w:val="00285D21"/>
    <w:rsid w:val="002866B5"/>
    <w:rsid w:val="0028686E"/>
    <w:rsid w:val="00286915"/>
    <w:rsid w:val="00286A62"/>
    <w:rsid w:val="00287312"/>
    <w:rsid w:val="00287AF3"/>
    <w:rsid w:val="00287F9C"/>
    <w:rsid w:val="00290A6B"/>
    <w:rsid w:val="00290C14"/>
    <w:rsid w:val="00290E41"/>
    <w:rsid w:val="00292BD3"/>
    <w:rsid w:val="00292C2F"/>
    <w:rsid w:val="00292C72"/>
    <w:rsid w:val="00292D0C"/>
    <w:rsid w:val="00293667"/>
    <w:rsid w:val="00294617"/>
    <w:rsid w:val="00294686"/>
    <w:rsid w:val="00294811"/>
    <w:rsid w:val="0029512F"/>
    <w:rsid w:val="002954B8"/>
    <w:rsid w:val="00295B61"/>
    <w:rsid w:val="0029663B"/>
    <w:rsid w:val="002967D0"/>
    <w:rsid w:val="002967F3"/>
    <w:rsid w:val="002968B9"/>
    <w:rsid w:val="00296BCC"/>
    <w:rsid w:val="002971E6"/>
    <w:rsid w:val="002973AB"/>
    <w:rsid w:val="00297E72"/>
    <w:rsid w:val="002A0095"/>
    <w:rsid w:val="002A0F9E"/>
    <w:rsid w:val="002A15DA"/>
    <w:rsid w:val="002A1967"/>
    <w:rsid w:val="002A1A7D"/>
    <w:rsid w:val="002A1B24"/>
    <w:rsid w:val="002A1CFC"/>
    <w:rsid w:val="002A1DFB"/>
    <w:rsid w:val="002A1FA2"/>
    <w:rsid w:val="002A24E0"/>
    <w:rsid w:val="002A27F2"/>
    <w:rsid w:val="002A3032"/>
    <w:rsid w:val="002A303C"/>
    <w:rsid w:val="002A407F"/>
    <w:rsid w:val="002A4736"/>
    <w:rsid w:val="002A4F8B"/>
    <w:rsid w:val="002A50BA"/>
    <w:rsid w:val="002A58B9"/>
    <w:rsid w:val="002A5B18"/>
    <w:rsid w:val="002A5E3F"/>
    <w:rsid w:val="002A63A6"/>
    <w:rsid w:val="002A67B8"/>
    <w:rsid w:val="002A6842"/>
    <w:rsid w:val="002A6AD4"/>
    <w:rsid w:val="002A6ADB"/>
    <w:rsid w:val="002A6D19"/>
    <w:rsid w:val="002A7208"/>
    <w:rsid w:val="002A73D5"/>
    <w:rsid w:val="002A75F7"/>
    <w:rsid w:val="002A7997"/>
    <w:rsid w:val="002B06CD"/>
    <w:rsid w:val="002B0933"/>
    <w:rsid w:val="002B0CC2"/>
    <w:rsid w:val="002B0DD7"/>
    <w:rsid w:val="002B130A"/>
    <w:rsid w:val="002B1756"/>
    <w:rsid w:val="002B17BB"/>
    <w:rsid w:val="002B1830"/>
    <w:rsid w:val="002B25D3"/>
    <w:rsid w:val="002B25E6"/>
    <w:rsid w:val="002B2C08"/>
    <w:rsid w:val="002B2F9D"/>
    <w:rsid w:val="002B3120"/>
    <w:rsid w:val="002B3312"/>
    <w:rsid w:val="002B3A08"/>
    <w:rsid w:val="002B3F1F"/>
    <w:rsid w:val="002B464A"/>
    <w:rsid w:val="002B4A31"/>
    <w:rsid w:val="002B5531"/>
    <w:rsid w:val="002B5DC3"/>
    <w:rsid w:val="002B5DF0"/>
    <w:rsid w:val="002B63E6"/>
    <w:rsid w:val="002B64EF"/>
    <w:rsid w:val="002B6702"/>
    <w:rsid w:val="002B690B"/>
    <w:rsid w:val="002B7067"/>
    <w:rsid w:val="002B7722"/>
    <w:rsid w:val="002C0B73"/>
    <w:rsid w:val="002C1439"/>
    <w:rsid w:val="002C18BE"/>
    <w:rsid w:val="002C1949"/>
    <w:rsid w:val="002C24B4"/>
    <w:rsid w:val="002C2511"/>
    <w:rsid w:val="002C2579"/>
    <w:rsid w:val="002C2B99"/>
    <w:rsid w:val="002C2C61"/>
    <w:rsid w:val="002C2D97"/>
    <w:rsid w:val="002C31FB"/>
    <w:rsid w:val="002C3762"/>
    <w:rsid w:val="002C408D"/>
    <w:rsid w:val="002C4202"/>
    <w:rsid w:val="002C4225"/>
    <w:rsid w:val="002C4657"/>
    <w:rsid w:val="002C4E97"/>
    <w:rsid w:val="002C4F8A"/>
    <w:rsid w:val="002C580F"/>
    <w:rsid w:val="002C5EF9"/>
    <w:rsid w:val="002C61F9"/>
    <w:rsid w:val="002C638B"/>
    <w:rsid w:val="002C6D5C"/>
    <w:rsid w:val="002C7363"/>
    <w:rsid w:val="002C76A2"/>
    <w:rsid w:val="002C76E1"/>
    <w:rsid w:val="002C7CEC"/>
    <w:rsid w:val="002D00A1"/>
    <w:rsid w:val="002D0121"/>
    <w:rsid w:val="002D047D"/>
    <w:rsid w:val="002D0491"/>
    <w:rsid w:val="002D0941"/>
    <w:rsid w:val="002D0F0F"/>
    <w:rsid w:val="002D1FF7"/>
    <w:rsid w:val="002D20E9"/>
    <w:rsid w:val="002D2310"/>
    <w:rsid w:val="002D2616"/>
    <w:rsid w:val="002D2C13"/>
    <w:rsid w:val="002D2D38"/>
    <w:rsid w:val="002D2EB5"/>
    <w:rsid w:val="002D3A56"/>
    <w:rsid w:val="002D3B0D"/>
    <w:rsid w:val="002D43B9"/>
    <w:rsid w:val="002D447C"/>
    <w:rsid w:val="002D4E59"/>
    <w:rsid w:val="002D4FF0"/>
    <w:rsid w:val="002D52EC"/>
    <w:rsid w:val="002D56CE"/>
    <w:rsid w:val="002D59BA"/>
    <w:rsid w:val="002D69A7"/>
    <w:rsid w:val="002D6A7D"/>
    <w:rsid w:val="002D6B97"/>
    <w:rsid w:val="002D6C7D"/>
    <w:rsid w:val="002D6D28"/>
    <w:rsid w:val="002D6E7E"/>
    <w:rsid w:val="002D713E"/>
    <w:rsid w:val="002D7A86"/>
    <w:rsid w:val="002D7FD9"/>
    <w:rsid w:val="002E00CC"/>
    <w:rsid w:val="002E024D"/>
    <w:rsid w:val="002E16E6"/>
    <w:rsid w:val="002E187D"/>
    <w:rsid w:val="002E18C9"/>
    <w:rsid w:val="002E1B83"/>
    <w:rsid w:val="002E1F60"/>
    <w:rsid w:val="002E20EE"/>
    <w:rsid w:val="002E2821"/>
    <w:rsid w:val="002E2995"/>
    <w:rsid w:val="002E2A4F"/>
    <w:rsid w:val="002E2CB0"/>
    <w:rsid w:val="002E3459"/>
    <w:rsid w:val="002E3479"/>
    <w:rsid w:val="002E3BE3"/>
    <w:rsid w:val="002E59A6"/>
    <w:rsid w:val="002E5C23"/>
    <w:rsid w:val="002E604D"/>
    <w:rsid w:val="002E62A4"/>
    <w:rsid w:val="002E6705"/>
    <w:rsid w:val="002E678C"/>
    <w:rsid w:val="002E6AD5"/>
    <w:rsid w:val="002E6D09"/>
    <w:rsid w:val="002E709B"/>
    <w:rsid w:val="002E7677"/>
    <w:rsid w:val="002E792F"/>
    <w:rsid w:val="002E7D11"/>
    <w:rsid w:val="002E7E98"/>
    <w:rsid w:val="002E7F3A"/>
    <w:rsid w:val="002F010D"/>
    <w:rsid w:val="002F020E"/>
    <w:rsid w:val="002F14F9"/>
    <w:rsid w:val="002F1C34"/>
    <w:rsid w:val="002F1E74"/>
    <w:rsid w:val="002F201B"/>
    <w:rsid w:val="002F22B0"/>
    <w:rsid w:val="002F2377"/>
    <w:rsid w:val="002F23C0"/>
    <w:rsid w:val="002F23D6"/>
    <w:rsid w:val="002F246B"/>
    <w:rsid w:val="002F256A"/>
    <w:rsid w:val="002F25EE"/>
    <w:rsid w:val="002F2822"/>
    <w:rsid w:val="002F2D02"/>
    <w:rsid w:val="002F2E03"/>
    <w:rsid w:val="002F2F4F"/>
    <w:rsid w:val="002F3926"/>
    <w:rsid w:val="002F39BB"/>
    <w:rsid w:val="002F3BF7"/>
    <w:rsid w:val="002F46A8"/>
    <w:rsid w:val="002F4952"/>
    <w:rsid w:val="002F4F77"/>
    <w:rsid w:val="002F5AAE"/>
    <w:rsid w:val="002F5ACA"/>
    <w:rsid w:val="002F5D91"/>
    <w:rsid w:val="002F60D5"/>
    <w:rsid w:val="002F69B0"/>
    <w:rsid w:val="002F6B06"/>
    <w:rsid w:val="002F6B2B"/>
    <w:rsid w:val="002F7406"/>
    <w:rsid w:val="002F78E6"/>
    <w:rsid w:val="002F7BA1"/>
    <w:rsid w:val="002F7BDA"/>
    <w:rsid w:val="003001C3"/>
    <w:rsid w:val="003001D6"/>
    <w:rsid w:val="003002BB"/>
    <w:rsid w:val="0030135A"/>
    <w:rsid w:val="00301426"/>
    <w:rsid w:val="00301741"/>
    <w:rsid w:val="003017C2"/>
    <w:rsid w:val="0030202A"/>
    <w:rsid w:val="00302704"/>
    <w:rsid w:val="003029DB"/>
    <w:rsid w:val="00302E92"/>
    <w:rsid w:val="00303393"/>
    <w:rsid w:val="00303D4F"/>
    <w:rsid w:val="00303ED3"/>
    <w:rsid w:val="00304303"/>
    <w:rsid w:val="00304436"/>
    <w:rsid w:val="00304EBC"/>
    <w:rsid w:val="003050E0"/>
    <w:rsid w:val="00305104"/>
    <w:rsid w:val="00305C34"/>
    <w:rsid w:val="00305F89"/>
    <w:rsid w:val="003060F8"/>
    <w:rsid w:val="00306166"/>
    <w:rsid w:val="0030661C"/>
    <w:rsid w:val="00307583"/>
    <w:rsid w:val="003077A6"/>
    <w:rsid w:val="0030785C"/>
    <w:rsid w:val="00307F6E"/>
    <w:rsid w:val="003100D9"/>
    <w:rsid w:val="003109B5"/>
    <w:rsid w:val="00311074"/>
    <w:rsid w:val="0031188B"/>
    <w:rsid w:val="00311D69"/>
    <w:rsid w:val="003120E1"/>
    <w:rsid w:val="00312538"/>
    <w:rsid w:val="00312A50"/>
    <w:rsid w:val="00312DEF"/>
    <w:rsid w:val="00313333"/>
    <w:rsid w:val="003139E7"/>
    <w:rsid w:val="00313AE7"/>
    <w:rsid w:val="00313BA1"/>
    <w:rsid w:val="00313D90"/>
    <w:rsid w:val="0031402D"/>
    <w:rsid w:val="003141AE"/>
    <w:rsid w:val="003147A6"/>
    <w:rsid w:val="00314A3E"/>
    <w:rsid w:val="00314D87"/>
    <w:rsid w:val="00314DF6"/>
    <w:rsid w:val="00316093"/>
    <w:rsid w:val="003160DB"/>
    <w:rsid w:val="00316BC4"/>
    <w:rsid w:val="00317438"/>
    <w:rsid w:val="0031749B"/>
    <w:rsid w:val="0031763F"/>
    <w:rsid w:val="003178F6"/>
    <w:rsid w:val="0032096A"/>
    <w:rsid w:val="00320CEF"/>
    <w:rsid w:val="00320D7B"/>
    <w:rsid w:val="0032122C"/>
    <w:rsid w:val="0032142D"/>
    <w:rsid w:val="00321442"/>
    <w:rsid w:val="00321C39"/>
    <w:rsid w:val="0032219F"/>
    <w:rsid w:val="0032255A"/>
    <w:rsid w:val="003228A6"/>
    <w:rsid w:val="00322A51"/>
    <w:rsid w:val="00322AFD"/>
    <w:rsid w:val="00322C21"/>
    <w:rsid w:val="00322D95"/>
    <w:rsid w:val="00322DB0"/>
    <w:rsid w:val="00322EBB"/>
    <w:rsid w:val="0032302B"/>
    <w:rsid w:val="00323268"/>
    <w:rsid w:val="003237FC"/>
    <w:rsid w:val="00323BE4"/>
    <w:rsid w:val="00323D6F"/>
    <w:rsid w:val="00323DC7"/>
    <w:rsid w:val="003247AF"/>
    <w:rsid w:val="0032645D"/>
    <w:rsid w:val="003266B4"/>
    <w:rsid w:val="00326960"/>
    <w:rsid w:val="00326BB9"/>
    <w:rsid w:val="00326ECB"/>
    <w:rsid w:val="00327AE5"/>
    <w:rsid w:val="00330074"/>
    <w:rsid w:val="00330BEF"/>
    <w:rsid w:val="003317F4"/>
    <w:rsid w:val="003318DE"/>
    <w:rsid w:val="00331B0B"/>
    <w:rsid w:val="00332B19"/>
    <w:rsid w:val="00332C9E"/>
    <w:rsid w:val="003330FD"/>
    <w:rsid w:val="00333180"/>
    <w:rsid w:val="003331A6"/>
    <w:rsid w:val="003336C5"/>
    <w:rsid w:val="00334145"/>
    <w:rsid w:val="00334810"/>
    <w:rsid w:val="003351D0"/>
    <w:rsid w:val="0033541C"/>
    <w:rsid w:val="0033543D"/>
    <w:rsid w:val="003358DA"/>
    <w:rsid w:val="003359A2"/>
    <w:rsid w:val="00335A0E"/>
    <w:rsid w:val="00335B15"/>
    <w:rsid w:val="00335EF2"/>
    <w:rsid w:val="003362B3"/>
    <w:rsid w:val="00336B09"/>
    <w:rsid w:val="00336E1B"/>
    <w:rsid w:val="00336E30"/>
    <w:rsid w:val="00336FD5"/>
    <w:rsid w:val="0033711A"/>
    <w:rsid w:val="0033730A"/>
    <w:rsid w:val="0033788C"/>
    <w:rsid w:val="00340DAF"/>
    <w:rsid w:val="003412C8"/>
    <w:rsid w:val="003412ED"/>
    <w:rsid w:val="003414B6"/>
    <w:rsid w:val="003417BA"/>
    <w:rsid w:val="00341F1F"/>
    <w:rsid w:val="00342533"/>
    <w:rsid w:val="00344567"/>
    <w:rsid w:val="0034470D"/>
    <w:rsid w:val="0034482B"/>
    <w:rsid w:val="00344F0A"/>
    <w:rsid w:val="00344FE6"/>
    <w:rsid w:val="00345181"/>
    <w:rsid w:val="003456B4"/>
    <w:rsid w:val="00345794"/>
    <w:rsid w:val="00345BFB"/>
    <w:rsid w:val="00345C2C"/>
    <w:rsid w:val="003464BE"/>
    <w:rsid w:val="00346779"/>
    <w:rsid w:val="00346CCD"/>
    <w:rsid w:val="00347383"/>
    <w:rsid w:val="003474B7"/>
    <w:rsid w:val="00347F1B"/>
    <w:rsid w:val="003501BC"/>
    <w:rsid w:val="0035111E"/>
    <w:rsid w:val="003516D4"/>
    <w:rsid w:val="00351784"/>
    <w:rsid w:val="00351F4C"/>
    <w:rsid w:val="003521EC"/>
    <w:rsid w:val="00352AAF"/>
    <w:rsid w:val="00352C7D"/>
    <w:rsid w:val="003532EC"/>
    <w:rsid w:val="0035343F"/>
    <w:rsid w:val="003534B4"/>
    <w:rsid w:val="00353D4B"/>
    <w:rsid w:val="00353E17"/>
    <w:rsid w:val="00354005"/>
    <w:rsid w:val="00354107"/>
    <w:rsid w:val="00354BC9"/>
    <w:rsid w:val="00355779"/>
    <w:rsid w:val="003557BC"/>
    <w:rsid w:val="00355894"/>
    <w:rsid w:val="00355938"/>
    <w:rsid w:val="00355999"/>
    <w:rsid w:val="00355CB8"/>
    <w:rsid w:val="00355D50"/>
    <w:rsid w:val="003563E1"/>
    <w:rsid w:val="003564CF"/>
    <w:rsid w:val="0035683D"/>
    <w:rsid w:val="00356918"/>
    <w:rsid w:val="00356C4A"/>
    <w:rsid w:val="00356DA9"/>
    <w:rsid w:val="003571C7"/>
    <w:rsid w:val="003572D1"/>
    <w:rsid w:val="0035774D"/>
    <w:rsid w:val="003577D9"/>
    <w:rsid w:val="00357A00"/>
    <w:rsid w:val="00357F33"/>
    <w:rsid w:val="003600C6"/>
    <w:rsid w:val="00360B9C"/>
    <w:rsid w:val="00360D0B"/>
    <w:rsid w:val="00360ECE"/>
    <w:rsid w:val="00360F49"/>
    <w:rsid w:val="00361227"/>
    <w:rsid w:val="0036139B"/>
    <w:rsid w:val="00361715"/>
    <w:rsid w:val="00361C96"/>
    <w:rsid w:val="00361D75"/>
    <w:rsid w:val="00361E08"/>
    <w:rsid w:val="00361E47"/>
    <w:rsid w:val="003621BC"/>
    <w:rsid w:val="0036240A"/>
    <w:rsid w:val="003625C5"/>
    <w:rsid w:val="00362D40"/>
    <w:rsid w:val="00362E5E"/>
    <w:rsid w:val="0036338E"/>
    <w:rsid w:val="003633BF"/>
    <w:rsid w:val="003633F4"/>
    <w:rsid w:val="00363589"/>
    <w:rsid w:val="003635E5"/>
    <w:rsid w:val="00363CD0"/>
    <w:rsid w:val="00363E0C"/>
    <w:rsid w:val="00363FAE"/>
    <w:rsid w:val="00364253"/>
    <w:rsid w:val="00364530"/>
    <w:rsid w:val="003646DE"/>
    <w:rsid w:val="00364D36"/>
    <w:rsid w:val="00364EF1"/>
    <w:rsid w:val="003655E1"/>
    <w:rsid w:val="00365AE3"/>
    <w:rsid w:val="00365EF0"/>
    <w:rsid w:val="003660E9"/>
    <w:rsid w:val="003663D5"/>
    <w:rsid w:val="00366933"/>
    <w:rsid w:val="00366982"/>
    <w:rsid w:val="003677B5"/>
    <w:rsid w:val="00367E06"/>
    <w:rsid w:val="003700EF"/>
    <w:rsid w:val="003702FF"/>
    <w:rsid w:val="00370AF6"/>
    <w:rsid w:val="00370DEA"/>
    <w:rsid w:val="003710DC"/>
    <w:rsid w:val="0037130B"/>
    <w:rsid w:val="00371360"/>
    <w:rsid w:val="003713D6"/>
    <w:rsid w:val="003715FB"/>
    <w:rsid w:val="00372D7E"/>
    <w:rsid w:val="00373E3D"/>
    <w:rsid w:val="00374809"/>
    <w:rsid w:val="00374D1E"/>
    <w:rsid w:val="0037504E"/>
    <w:rsid w:val="0037609F"/>
    <w:rsid w:val="00376375"/>
    <w:rsid w:val="003763E1"/>
    <w:rsid w:val="0037682F"/>
    <w:rsid w:val="003769D2"/>
    <w:rsid w:val="00376E7F"/>
    <w:rsid w:val="00377096"/>
    <w:rsid w:val="003770B6"/>
    <w:rsid w:val="00377206"/>
    <w:rsid w:val="003779E6"/>
    <w:rsid w:val="00377A82"/>
    <w:rsid w:val="00380411"/>
    <w:rsid w:val="003805FF"/>
    <w:rsid w:val="00380AF1"/>
    <w:rsid w:val="00380BD2"/>
    <w:rsid w:val="00380F20"/>
    <w:rsid w:val="003810AA"/>
    <w:rsid w:val="003811B8"/>
    <w:rsid w:val="003815DF"/>
    <w:rsid w:val="003815FE"/>
    <w:rsid w:val="00381BA9"/>
    <w:rsid w:val="003829A2"/>
    <w:rsid w:val="00382E71"/>
    <w:rsid w:val="003832E8"/>
    <w:rsid w:val="0038340B"/>
    <w:rsid w:val="00383521"/>
    <w:rsid w:val="00383823"/>
    <w:rsid w:val="0038489E"/>
    <w:rsid w:val="00384A69"/>
    <w:rsid w:val="0038518E"/>
    <w:rsid w:val="0038560D"/>
    <w:rsid w:val="00385A0F"/>
    <w:rsid w:val="003862F8"/>
    <w:rsid w:val="0038634F"/>
    <w:rsid w:val="00386FE8"/>
    <w:rsid w:val="0038747B"/>
    <w:rsid w:val="00387750"/>
    <w:rsid w:val="00387803"/>
    <w:rsid w:val="00387FCB"/>
    <w:rsid w:val="0039004E"/>
    <w:rsid w:val="003900A4"/>
    <w:rsid w:val="00390209"/>
    <w:rsid w:val="0039058C"/>
    <w:rsid w:val="00390967"/>
    <w:rsid w:val="00390E50"/>
    <w:rsid w:val="00390EE6"/>
    <w:rsid w:val="003910E9"/>
    <w:rsid w:val="00391700"/>
    <w:rsid w:val="003923CA"/>
    <w:rsid w:val="00392557"/>
    <w:rsid w:val="0039299D"/>
    <w:rsid w:val="00392A14"/>
    <w:rsid w:val="00392A63"/>
    <w:rsid w:val="00392CB6"/>
    <w:rsid w:val="00392FEB"/>
    <w:rsid w:val="00393327"/>
    <w:rsid w:val="00393347"/>
    <w:rsid w:val="003935C9"/>
    <w:rsid w:val="00393A67"/>
    <w:rsid w:val="00393B16"/>
    <w:rsid w:val="00394EF4"/>
    <w:rsid w:val="00395360"/>
    <w:rsid w:val="00395772"/>
    <w:rsid w:val="003959E4"/>
    <w:rsid w:val="00395A7D"/>
    <w:rsid w:val="00395C2C"/>
    <w:rsid w:val="00395D5E"/>
    <w:rsid w:val="00396689"/>
    <w:rsid w:val="00396D43"/>
    <w:rsid w:val="00397567"/>
    <w:rsid w:val="00397620"/>
    <w:rsid w:val="003976C4"/>
    <w:rsid w:val="00397A22"/>
    <w:rsid w:val="00397B7B"/>
    <w:rsid w:val="003A0A7E"/>
    <w:rsid w:val="003A0DE4"/>
    <w:rsid w:val="003A0EDE"/>
    <w:rsid w:val="003A101B"/>
    <w:rsid w:val="003A156E"/>
    <w:rsid w:val="003A1743"/>
    <w:rsid w:val="003A17B9"/>
    <w:rsid w:val="003A1903"/>
    <w:rsid w:val="003A1C6D"/>
    <w:rsid w:val="003A2948"/>
    <w:rsid w:val="003A29B6"/>
    <w:rsid w:val="003A367C"/>
    <w:rsid w:val="003A3719"/>
    <w:rsid w:val="003A44DA"/>
    <w:rsid w:val="003A463A"/>
    <w:rsid w:val="003A51A1"/>
    <w:rsid w:val="003A56DC"/>
    <w:rsid w:val="003A573C"/>
    <w:rsid w:val="003A583A"/>
    <w:rsid w:val="003A5F35"/>
    <w:rsid w:val="003A6110"/>
    <w:rsid w:val="003A6AF7"/>
    <w:rsid w:val="003A6B48"/>
    <w:rsid w:val="003A711B"/>
    <w:rsid w:val="003A73DA"/>
    <w:rsid w:val="003A7EF0"/>
    <w:rsid w:val="003B0194"/>
    <w:rsid w:val="003B03C4"/>
    <w:rsid w:val="003B0FCA"/>
    <w:rsid w:val="003B0FCD"/>
    <w:rsid w:val="003B1140"/>
    <w:rsid w:val="003B13C3"/>
    <w:rsid w:val="003B18F9"/>
    <w:rsid w:val="003B1EEB"/>
    <w:rsid w:val="003B3764"/>
    <w:rsid w:val="003B39B7"/>
    <w:rsid w:val="003B4017"/>
    <w:rsid w:val="003B408C"/>
    <w:rsid w:val="003B4455"/>
    <w:rsid w:val="003B44C5"/>
    <w:rsid w:val="003B59B0"/>
    <w:rsid w:val="003B5B55"/>
    <w:rsid w:val="003B5EA5"/>
    <w:rsid w:val="003B6A65"/>
    <w:rsid w:val="003B6B5B"/>
    <w:rsid w:val="003B6FEA"/>
    <w:rsid w:val="003B74D8"/>
    <w:rsid w:val="003B77DE"/>
    <w:rsid w:val="003B7992"/>
    <w:rsid w:val="003B7AF3"/>
    <w:rsid w:val="003B7B7D"/>
    <w:rsid w:val="003C0F94"/>
    <w:rsid w:val="003C1783"/>
    <w:rsid w:val="003C1C59"/>
    <w:rsid w:val="003C1DD2"/>
    <w:rsid w:val="003C286D"/>
    <w:rsid w:val="003C2987"/>
    <w:rsid w:val="003C2BC2"/>
    <w:rsid w:val="003C2FC0"/>
    <w:rsid w:val="003C2FF0"/>
    <w:rsid w:val="003C35D8"/>
    <w:rsid w:val="003C361D"/>
    <w:rsid w:val="003C3B4E"/>
    <w:rsid w:val="003C3C33"/>
    <w:rsid w:val="003C3EBE"/>
    <w:rsid w:val="003C3FEE"/>
    <w:rsid w:val="003C40CD"/>
    <w:rsid w:val="003C43AA"/>
    <w:rsid w:val="003C44EE"/>
    <w:rsid w:val="003C55FD"/>
    <w:rsid w:val="003C56E6"/>
    <w:rsid w:val="003C59FA"/>
    <w:rsid w:val="003C5C18"/>
    <w:rsid w:val="003C5E17"/>
    <w:rsid w:val="003C5F95"/>
    <w:rsid w:val="003C6307"/>
    <w:rsid w:val="003C634B"/>
    <w:rsid w:val="003C6DDF"/>
    <w:rsid w:val="003C7217"/>
    <w:rsid w:val="003C77D4"/>
    <w:rsid w:val="003C7B7F"/>
    <w:rsid w:val="003C7C82"/>
    <w:rsid w:val="003C7D4E"/>
    <w:rsid w:val="003C7FC6"/>
    <w:rsid w:val="003D00CA"/>
    <w:rsid w:val="003D095E"/>
    <w:rsid w:val="003D0EDC"/>
    <w:rsid w:val="003D1235"/>
    <w:rsid w:val="003D128E"/>
    <w:rsid w:val="003D12A7"/>
    <w:rsid w:val="003D156F"/>
    <w:rsid w:val="003D18F1"/>
    <w:rsid w:val="003D1E36"/>
    <w:rsid w:val="003D2B12"/>
    <w:rsid w:val="003D2EA3"/>
    <w:rsid w:val="003D3165"/>
    <w:rsid w:val="003D31E7"/>
    <w:rsid w:val="003D332B"/>
    <w:rsid w:val="003D38DE"/>
    <w:rsid w:val="003D3B02"/>
    <w:rsid w:val="003D3D47"/>
    <w:rsid w:val="003D3E3C"/>
    <w:rsid w:val="003D4344"/>
    <w:rsid w:val="003D4669"/>
    <w:rsid w:val="003D4C12"/>
    <w:rsid w:val="003D54EC"/>
    <w:rsid w:val="003D5B53"/>
    <w:rsid w:val="003D5F9A"/>
    <w:rsid w:val="003D61AE"/>
    <w:rsid w:val="003D6DC1"/>
    <w:rsid w:val="003D6EED"/>
    <w:rsid w:val="003D71A1"/>
    <w:rsid w:val="003D7493"/>
    <w:rsid w:val="003D7661"/>
    <w:rsid w:val="003D7714"/>
    <w:rsid w:val="003D791D"/>
    <w:rsid w:val="003D7AF4"/>
    <w:rsid w:val="003E0313"/>
    <w:rsid w:val="003E1644"/>
    <w:rsid w:val="003E1749"/>
    <w:rsid w:val="003E195D"/>
    <w:rsid w:val="003E1D8B"/>
    <w:rsid w:val="003E2BF6"/>
    <w:rsid w:val="003E2C69"/>
    <w:rsid w:val="003E2E39"/>
    <w:rsid w:val="003E2F09"/>
    <w:rsid w:val="003E30DC"/>
    <w:rsid w:val="003E3264"/>
    <w:rsid w:val="003E33C5"/>
    <w:rsid w:val="003E35A5"/>
    <w:rsid w:val="003E3835"/>
    <w:rsid w:val="003E3DA1"/>
    <w:rsid w:val="003E3E0A"/>
    <w:rsid w:val="003E3E23"/>
    <w:rsid w:val="003E3F87"/>
    <w:rsid w:val="003E4C76"/>
    <w:rsid w:val="003E4E78"/>
    <w:rsid w:val="003E530F"/>
    <w:rsid w:val="003E54D7"/>
    <w:rsid w:val="003E59B4"/>
    <w:rsid w:val="003E5EBF"/>
    <w:rsid w:val="003E64DF"/>
    <w:rsid w:val="003E7B62"/>
    <w:rsid w:val="003F0108"/>
    <w:rsid w:val="003F068F"/>
    <w:rsid w:val="003F07CC"/>
    <w:rsid w:val="003F0858"/>
    <w:rsid w:val="003F160E"/>
    <w:rsid w:val="003F1A0F"/>
    <w:rsid w:val="003F1E0A"/>
    <w:rsid w:val="003F220B"/>
    <w:rsid w:val="003F2492"/>
    <w:rsid w:val="003F24F3"/>
    <w:rsid w:val="003F2DC2"/>
    <w:rsid w:val="003F2E44"/>
    <w:rsid w:val="003F324B"/>
    <w:rsid w:val="003F35D4"/>
    <w:rsid w:val="003F3DF4"/>
    <w:rsid w:val="003F4538"/>
    <w:rsid w:val="003F458E"/>
    <w:rsid w:val="003F4912"/>
    <w:rsid w:val="003F553D"/>
    <w:rsid w:val="003F5A94"/>
    <w:rsid w:val="003F5EE4"/>
    <w:rsid w:val="003F64BD"/>
    <w:rsid w:val="003F7271"/>
    <w:rsid w:val="003F7735"/>
    <w:rsid w:val="003F7BF6"/>
    <w:rsid w:val="003F7D24"/>
    <w:rsid w:val="003F7F88"/>
    <w:rsid w:val="004000D6"/>
    <w:rsid w:val="0040096B"/>
    <w:rsid w:val="00400A98"/>
    <w:rsid w:val="00400E61"/>
    <w:rsid w:val="0040174A"/>
    <w:rsid w:val="004018BF"/>
    <w:rsid w:val="00401E33"/>
    <w:rsid w:val="0040251E"/>
    <w:rsid w:val="00402AB5"/>
    <w:rsid w:val="0040312D"/>
    <w:rsid w:val="00403296"/>
    <w:rsid w:val="004039DC"/>
    <w:rsid w:val="00403B29"/>
    <w:rsid w:val="004040A9"/>
    <w:rsid w:val="004041ED"/>
    <w:rsid w:val="00404C24"/>
    <w:rsid w:val="00404FAC"/>
    <w:rsid w:val="00404FBB"/>
    <w:rsid w:val="004050B0"/>
    <w:rsid w:val="004052B7"/>
    <w:rsid w:val="00405944"/>
    <w:rsid w:val="00405B88"/>
    <w:rsid w:val="00405B8F"/>
    <w:rsid w:val="00405DA8"/>
    <w:rsid w:val="0040662C"/>
    <w:rsid w:val="00406778"/>
    <w:rsid w:val="004068FF"/>
    <w:rsid w:val="00407153"/>
    <w:rsid w:val="00407521"/>
    <w:rsid w:val="004075B8"/>
    <w:rsid w:val="004109A0"/>
    <w:rsid w:val="00410AE8"/>
    <w:rsid w:val="00410CA9"/>
    <w:rsid w:val="00411282"/>
    <w:rsid w:val="00411A68"/>
    <w:rsid w:val="00411BBA"/>
    <w:rsid w:val="00411D56"/>
    <w:rsid w:val="004120FF"/>
    <w:rsid w:val="00412132"/>
    <w:rsid w:val="00412873"/>
    <w:rsid w:val="00412B00"/>
    <w:rsid w:val="00412BA4"/>
    <w:rsid w:val="00412E61"/>
    <w:rsid w:val="00413117"/>
    <w:rsid w:val="00413126"/>
    <w:rsid w:val="0041346B"/>
    <w:rsid w:val="004136EF"/>
    <w:rsid w:val="00413D3C"/>
    <w:rsid w:val="00413E82"/>
    <w:rsid w:val="004141A7"/>
    <w:rsid w:val="004141DD"/>
    <w:rsid w:val="0041428B"/>
    <w:rsid w:val="00414A7F"/>
    <w:rsid w:val="00414CAE"/>
    <w:rsid w:val="00414D01"/>
    <w:rsid w:val="00414DA6"/>
    <w:rsid w:val="00415E22"/>
    <w:rsid w:val="0041604E"/>
    <w:rsid w:val="00416880"/>
    <w:rsid w:val="00416A90"/>
    <w:rsid w:val="00416ACB"/>
    <w:rsid w:val="00416C84"/>
    <w:rsid w:val="00416CF0"/>
    <w:rsid w:val="00416D65"/>
    <w:rsid w:val="00417E07"/>
    <w:rsid w:val="0042017D"/>
    <w:rsid w:val="0042040F"/>
    <w:rsid w:val="00420610"/>
    <w:rsid w:val="0042062E"/>
    <w:rsid w:val="0042070B"/>
    <w:rsid w:val="004210C7"/>
    <w:rsid w:val="004210D9"/>
    <w:rsid w:val="00421179"/>
    <w:rsid w:val="004212AA"/>
    <w:rsid w:val="00421439"/>
    <w:rsid w:val="00421860"/>
    <w:rsid w:val="0042215C"/>
    <w:rsid w:val="004227C3"/>
    <w:rsid w:val="004227F0"/>
    <w:rsid w:val="00422BA1"/>
    <w:rsid w:val="00422CB2"/>
    <w:rsid w:val="004230B2"/>
    <w:rsid w:val="004243A2"/>
    <w:rsid w:val="004243A7"/>
    <w:rsid w:val="004258E7"/>
    <w:rsid w:val="00426400"/>
    <w:rsid w:val="00426413"/>
    <w:rsid w:val="004266BE"/>
    <w:rsid w:val="00426896"/>
    <w:rsid w:val="00426C86"/>
    <w:rsid w:val="00426F29"/>
    <w:rsid w:val="00427194"/>
    <w:rsid w:val="004271E4"/>
    <w:rsid w:val="004277D9"/>
    <w:rsid w:val="00430354"/>
    <w:rsid w:val="00430C7C"/>
    <w:rsid w:val="0043149A"/>
    <w:rsid w:val="00431823"/>
    <w:rsid w:val="00432C5F"/>
    <w:rsid w:val="00432CF9"/>
    <w:rsid w:val="00432E4D"/>
    <w:rsid w:val="00432E4E"/>
    <w:rsid w:val="00432F43"/>
    <w:rsid w:val="00433103"/>
    <w:rsid w:val="00433187"/>
    <w:rsid w:val="00433530"/>
    <w:rsid w:val="00433662"/>
    <w:rsid w:val="00433838"/>
    <w:rsid w:val="004339C6"/>
    <w:rsid w:val="00433EBB"/>
    <w:rsid w:val="004341F2"/>
    <w:rsid w:val="0043449C"/>
    <w:rsid w:val="00434511"/>
    <w:rsid w:val="00434629"/>
    <w:rsid w:val="00434939"/>
    <w:rsid w:val="00435173"/>
    <w:rsid w:val="004351B8"/>
    <w:rsid w:val="0043529D"/>
    <w:rsid w:val="004353E1"/>
    <w:rsid w:val="004355A1"/>
    <w:rsid w:val="00435AEC"/>
    <w:rsid w:val="00435D23"/>
    <w:rsid w:val="00435EDD"/>
    <w:rsid w:val="00436AD7"/>
    <w:rsid w:val="004370E6"/>
    <w:rsid w:val="00437C01"/>
    <w:rsid w:val="004400AD"/>
    <w:rsid w:val="0044048F"/>
    <w:rsid w:val="0044060E"/>
    <w:rsid w:val="004407F3"/>
    <w:rsid w:val="004408B9"/>
    <w:rsid w:val="0044121E"/>
    <w:rsid w:val="0044237A"/>
    <w:rsid w:val="00442695"/>
    <w:rsid w:val="00442702"/>
    <w:rsid w:val="004428A8"/>
    <w:rsid w:val="00442B27"/>
    <w:rsid w:val="00442C06"/>
    <w:rsid w:val="0044310C"/>
    <w:rsid w:val="0044360F"/>
    <w:rsid w:val="0044390C"/>
    <w:rsid w:val="0044392F"/>
    <w:rsid w:val="00443BA2"/>
    <w:rsid w:val="00443F6D"/>
    <w:rsid w:val="00444337"/>
    <w:rsid w:val="004443A7"/>
    <w:rsid w:val="0044486B"/>
    <w:rsid w:val="004448DF"/>
    <w:rsid w:val="004448F8"/>
    <w:rsid w:val="004449CD"/>
    <w:rsid w:val="004451CF"/>
    <w:rsid w:val="0044544F"/>
    <w:rsid w:val="0044546E"/>
    <w:rsid w:val="0044549D"/>
    <w:rsid w:val="00445983"/>
    <w:rsid w:val="004459FD"/>
    <w:rsid w:val="00445A01"/>
    <w:rsid w:val="00446037"/>
    <w:rsid w:val="00446090"/>
    <w:rsid w:val="0044639C"/>
    <w:rsid w:val="004463EF"/>
    <w:rsid w:val="00446627"/>
    <w:rsid w:val="00446A95"/>
    <w:rsid w:val="00446F8B"/>
    <w:rsid w:val="004472E3"/>
    <w:rsid w:val="00447392"/>
    <w:rsid w:val="004474CF"/>
    <w:rsid w:val="004475CA"/>
    <w:rsid w:val="00447668"/>
    <w:rsid w:val="004477E7"/>
    <w:rsid w:val="00447B98"/>
    <w:rsid w:val="004501D6"/>
    <w:rsid w:val="00450984"/>
    <w:rsid w:val="00450A7A"/>
    <w:rsid w:val="00451443"/>
    <w:rsid w:val="004516E7"/>
    <w:rsid w:val="00451D98"/>
    <w:rsid w:val="0045255F"/>
    <w:rsid w:val="00452B21"/>
    <w:rsid w:val="00452DE5"/>
    <w:rsid w:val="0045323B"/>
    <w:rsid w:val="004536D7"/>
    <w:rsid w:val="00453E2A"/>
    <w:rsid w:val="00453F1C"/>
    <w:rsid w:val="0045405F"/>
    <w:rsid w:val="00455C82"/>
    <w:rsid w:val="00455D07"/>
    <w:rsid w:val="00456420"/>
    <w:rsid w:val="004565CA"/>
    <w:rsid w:val="0045671F"/>
    <w:rsid w:val="00456C5A"/>
    <w:rsid w:val="00456E61"/>
    <w:rsid w:val="004576FD"/>
    <w:rsid w:val="00457CF2"/>
    <w:rsid w:val="00460512"/>
    <w:rsid w:val="00460DD5"/>
    <w:rsid w:val="00460EB8"/>
    <w:rsid w:val="0046160C"/>
    <w:rsid w:val="00461616"/>
    <w:rsid w:val="00461B7C"/>
    <w:rsid w:val="00461BAA"/>
    <w:rsid w:val="00461DBF"/>
    <w:rsid w:val="00461FD0"/>
    <w:rsid w:val="00461FE1"/>
    <w:rsid w:val="004622D6"/>
    <w:rsid w:val="004623E3"/>
    <w:rsid w:val="004626D8"/>
    <w:rsid w:val="00462EE3"/>
    <w:rsid w:val="00463287"/>
    <w:rsid w:val="004638B2"/>
    <w:rsid w:val="00463A1C"/>
    <w:rsid w:val="00463C85"/>
    <w:rsid w:val="00463E04"/>
    <w:rsid w:val="00463F53"/>
    <w:rsid w:val="00464AD0"/>
    <w:rsid w:val="00464ECB"/>
    <w:rsid w:val="00465576"/>
    <w:rsid w:val="00465727"/>
    <w:rsid w:val="004658CD"/>
    <w:rsid w:val="00465920"/>
    <w:rsid w:val="00465D7D"/>
    <w:rsid w:val="00466208"/>
    <w:rsid w:val="0046677C"/>
    <w:rsid w:val="0046748D"/>
    <w:rsid w:val="004675F2"/>
    <w:rsid w:val="0046774F"/>
    <w:rsid w:val="0046776E"/>
    <w:rsid w:val="00467A10"/>
    <w:rsid w:val="00467D4F"/>
    <w:rsid w:val="004700D0"/>
    <w:rsid w:val="0047033D"/>
    <w:rsid w:val="00470626"/>
    <w:rsid w:val="0047096B"/>
    <w:rsid w:val="00470FAC"/>
    <w:rsid w:val="0047104A"/>
    <w:rsid w:val="0047118D"/>
    <w:rsid w:val="004721D7"/>
    <w:rsid w:val="0047220C"/>
    <w:rsid w:val="004722E0"/>
    <w:rsid w:val="004727F3"/>
    <w:rsid w:val="00472E10"/>
    <w:rsid w:val="00472F4E"/>
    <w:rsid w:val="00472FE5"/>
    <w:rsid w:val="004737D9"/>
    <w:rsid w:val="0047436F"/>
    <w:rsid w:val="0047449C"/>
    <w:rsid w:val="00474594"/>
    <w:rsid w:val="00474714"/>
    <w:rsid w:val="004747E5"/>
    <w:rsid w:val="00474927"/>
    <w:rsid w:val="00474EB3"/>
    <w:rsid w:val="0047505B"/>
    <w:rsid w:val="00475553"/>
    <w:rsid w:val="0047567F"/>
    <w:rsid w:val="004756ED"/>
    <w:rsid w:val="00475783"/>
    <w:rsid w:val="00475A2F"/>
    <w:rsid w:val="00475E9F"/>
    <w:rsid w:val="00476750"/>
    <w:rsid w:val="004767FB"/>
    <w:rsid w:val="0047682A"/>
    <w:rsid w:val="00476C74"/>
    <w:rsid w:val="00476CD1"/>
    <w:rsid w:val="00477844"/>
    <w:rsid w:val="00477A68"/>
    <w:rsid w:val="00480251"/>
    <w:rsid w:val="004803DE"/>
    <w:rsid w:val="0048042F"/>
    <w:rsid w:val="00480635"/>
    <w:rsid w:val="0048070B"/>
    <w:rsid w:val="00480E62"/>
    <w:rsid w:val="00480F93"/>
    <w:rsid w:val="0048220B"/>
    <w:rsid w:val="0048232C"/>
    <w:rsid w:val="004824A4"/>
    <w:rsid w:val="004825BA"/>
    <w:rsid w:val="00482671"/>
    <w:rsid w:val="004826AE"/>
    <w:rsid w:val="00482903"/>
    <w:rsid w:val="004829A9"/>
    <w:rsid w:val="0048300A"/>
    <w:rsid w:val="00483096"/>
    <w:rsid w:val="004836C0"/>
    <w:rsid w:val="0048418F"/>
    <w:rsid w:val="004841DD"/>
    <w:rsid w:val="00484253"/>
    <w:rsid w:val="00484385"/>
    <w:rsid w:val="004843A3"/>
    <w:rsid w:val="004853DE"/>
    <w:rsid w:val="004856AE"/>
    <w:rsid w:val="004859ED"/>
    <w:rsid w:val="00485B12"/>
    <w:rsid w:val="00485B62"/>
    <w:rsid w:val="00485C70"/>
    <w:rsid w:val="00485D9D"/>
    <w:rsid w:val="00485DB7"/>
    <w:rsid w:val="00485ECF"/>
    <w:rsid w:val="00486710"/>
    <w:rsid w:val="00486F98"/>
    <w:rsid w:val="0048757F"/>
    <w:rsid w:val="0048772C"/>
    <w:rsid w:val="00487A95"/>
    <w:rsid w:val="0049021F"/>
    <w:rsid w:val="00490345"/>
    <w:rsid w:val="00490A6C"/>
    <w:rsid w:val="00490F04"/>
    <w:rsid w:val="004911C7"/>
    <w:rsid w:val="004913D3"/>
    <w:rsid w:val="0049140F"/>
    <w:rsid w:val="00491479"/>
    <w:rsid w:val="00491C94"/>
    <w:rsid w:val="004922AA"/>
    <w:rsid w:val="004924EF"/>
    <w:rsid w:val="00492D1A"/>
    <w:rsid w:val="00492EB4"/>
    <w:rsid w:val="004931D2"/>
    <w:rsid w:val="004933DD"/>
    <w:rsid w:val="004935F5"/>
    <w:rsid w:val="004948A3"/>
    <w:rsid w:val="0049496A"/>
    <w:rsid w:val="00494AFC"/>
    <w:rsid w:val="00494C97"/>
    <w:rsid w:val="00494DCD"/>
    <w:rsid w:val="0049530A"/>
    <w:rsid w:val="004953B8"/>
    <w:rsid w:val="004954B7"/>
    <w:rsid w:val="004958FE"/>
    <w:rsid w:val="00495C15"/>
    <w:rsid w:val="00495C58"/>
    <w:rsid w:val="0049603B"/>
    <w:rsid w:val="004960BD"/>
    <w:rsid w:val="004963A1"/>
    <w:rsid w:val="00496FD3"/>
    <w:rsid w:val="004970F1"/>
    <w:rsid w:val="0049714A"/>
    <w:rsid w:val="004971E2"/>
    <w:rsid w:val="004978B1"/>
    <w:rsid w:val="00497959"/>
    <w:rsid w:val="00497F0A"/>
    <w:rsid w:val="004A0334"/>
    <w:rsid w:val="004A04BF"/>
    <w:rsid w:val="004A06F7"/>
    <w:rsid w:val="004A09E7"/>
    <w:rsid w:val="004A0C15"/>
    <w:rsid w:val="004A0DC6"/>
    <w:rsid w:val="004A0E11"/>
    <w:rsid w:val="004A0F05"/>
    <w:rsid w:val="004A116B"/>
    <w:rsid w:val="004A1221"/>
    <w:rsid w:val="004A132A"/>
    <w:rsid w:val="004A1512"/>
    <w:rsid w:val="004A16A2"/>
    <w:rsid w:val="004A1995"/>
    <w:rsid w:val="004A1FC3"/>
    <w:rsid w:val="004A22E3"/>
    <w:rsid w:val="004A242A"/>
    <w:rsid w:val="004A2CE0"/>
    <w:rsid w:val="004A2DB1"/>
    <w:rsid w:val="004A302C"/>
    <w:rsid w:val="004A31A8"/>
    <w:rsid w:val="004A329F"/>
    <w:rsid w:val="004A3361"/>
    <w:rsid w:val="004A3365"/>
    <w:rsid w:val="004A3680"/>
    <w:rsid w:val="004A3928"/>
    <w:rsid w:val="004A3C50"/>
    <w:rsid w:val="004A3E81"/>
    <w:rsid w:val="004A4073"/>
    <w:rsid w:val="004A41D5"/>
    <w:rsid w:val="004A4AB1"/>
    <w:rsid w:val="004A51B0"/>
    <w:rsid w:val="004A5D75"/>
    <w:rsid w:val="004A6021"/>
    <w:rsid w:val="004A65C6"/>
    <w:rsid w:val="004A69CB"/>
    <w:rsid w:val="004A6C1D"/>
    <w:rsid w:val="004A6D33"/>
    <w:rsid w:val="004A72B3"/>
    <w:rsid w:val="004A7865"/>
    <w:rsid w:val="004A7A8C"/>
    <w:rsid w:val="004A7DD8"/>
    <w:rsid w:val="004B00FA"/>
    <w:rsid w:val="004B019C"/>
    <w:rsid w:val="004B04D9"/>
    <w:rsid w:val="004B0526"/>
    <w:rsid w:val="004B06AF"/>
    <w:rsid w:val="004B07FC"/>
    <w:rsid w:val="004B0A49"/>
    <w:rsid w:val="004B0D90"/>
    <w:rsid w:val="004B0DB9"/>
    <w:rsid w:val="004B0E3F"/>
    <w:rsid w:val="004B0E64"/>
    <w:rsid w:val="004B1061"/>
    <w:rsid w:val="004B1D27"/>
    <w:rsid w:val="004B1D45"/>
    <w:rsid w:val="004B259C"/>
    <w:rsid w:val="004B2B4F"/>
    <w:rsid w:val="004B2CE1"/>
    <w:rsid w:val="004B2DE3"/>
    <w:rsid w:val="004B2DF2"/>
    <w:rsid w:val="004B3043"/>
    <w:rsid w:val="004B30BD"/>
    <w:rsid w:val="004B4020"/>
    <w:rsid w:val="004B4097"/>
    <w:rsid w:val="004B4C85"/>
    <w:rsid w:val="004B4E94"/>
    <w:rsid w:val="004B5305"/>
    <w:rsid w:val="004B56F3"/>
    <w:rsid w:val="004B5712"/>
    <w:rsid w:val="004B5A90"/>
    <w:rsid w:val="004B6A8D"/>
    <w:rsid w:val="004B6C1C"/>
    <w:rsid w:val="004B6CAD"/>
    <w:rsid w:val="004B74A7"/>
    <w:rsid w:val="004C04E7"/>
    <w:rsid w:val="004C096F"/>
    <w:rsid w:val="004C0E7A"/>
    <w:rsid w:val="004C1D3A"/>
    <w:rsid w:val="004C226B"/>
    <w:rsid w:val="004C233B"/>
    <w:rsid w:val="004C31A1"/>
    <w:rsid w:val="004C324C"/>
    <w:rsid w:val="004C34CA"/>
    <w:rsid w:val="004C3B40"/>
    <w:rsid w:val="004C3B67"/>
    <w:rsid w:val="004C3C9D"/>
    <w:rsid w:val="004C401B"/>
    <w:rsid w:val="004C493C"/>
    <w:rsid w:val="004C4A08"/>
    <w:rsid w:val="004C61EC"/>
    <w:rsid w:val="004C6870"/>
    <w:rsid w:val="004C68B5"/>
    <w:rsid w:val="004C6D31"/>
    <w:rsid w:val="004C6E0F"/>
    <w:rsid w:val="004C7364"/>
    <w:rsid w:val="004C79C6"/>
    <w:rsid w:val="004D03DE"/>
    <w:rsid w:val="004D06AA"/>
    <w:rsid w:val="004D0C06"/>
    <w:rsid w:val="004D0E49"/>
    <w:rsid w:val="004D1627"/>
    <w:rsid w:val="004D1775"/>
    <w:rsid w:val="004D1F1D"/>
    <w:rsid w:val="004D26C7"/>
    <w:rsid w:val="004D2713"/>
    <w:rsid w:val="004D29C6"/>
    <w:rsid w:val="004D3690"/>
    <w:rsid w:val="004D3C92"/>
    <w:rsid w:val="004D3F0A"/>
    <w:rsid w:val="004D4711"/>
    <w:rsid w:val="004D474C"/>
    <w:rsid w:val="004D5C00"/>
    <w:rsid w:val="004D5DE7"/>
    <w:rsid w:val="004D640B"/>
    <w:rsid w:val="004D679A"/>
    <w:rsid w:val="004D6FB1"/>
    <w:rsid w:val="004D7622"/>
    <w:rsid w:val="004D7CD4"/>
    <w:rsid w:val="004D7E78"/>
    <w:rsid w:val="004E0512"/>
    <w:rsid w:val="004E0845"/>
    <w:rsid w:val="004E0C67"/>
    <w:rsid w:val="004E0D68"/>
    <w:rsid w:val="004E0ED3"/>
    <w:rsid w:val="004E1670"/>
    <w:rsid w:val="004E19EC"/>
    <w:rsid w:val="004E1CA4"/>
    <w:rsid w:val="004E1F0D"/>
    <w:rsid w:val="004E23CE"/>
    <w:rsid w:val="004E252D"/>
    <w:rsid w:val="004E2734"/>
    <w:rsid w:val="004E2AB2"/>
    <w:rsid w:val="004E2D89"/>
    <w:rsid w:val="004E2E0B"/>
    <w:rsid w:val="004E30BA"/>
    <w:rsid w:val="004E30EC"/>
    <w:rsid w:val="004E4063"/>
    <w:rsid w:val="004E4609"/>
    <w:rsid w:val="004E47A1"/>
    <w:rsid w:val="004E484A"/>
    <w:rsid w:val="004E48E1"/>
    <w:rsid w:val="004E54AC"/>
    <w:rsid w:val="004E592C"/>
    <w:rsid w:val="004E639C"/>
    <w:rsid w:val="004E67E2"/>
    <w:rsid w:val="004E6FD5"/>
    <w:rsid w:val="004E7715"/>
    <w:rsid w:val="004E7923"/>
    <w:rsid w:val="004E7C51"/>
    <w:rsid w:val="004E7C91"/>
    <w:rsid w:val="004E7DFF"/>
    <w:rsid w:val="004F0945"/>
    <w:rsid w:val="004F0BB2"/>
    <w:rsid w:val="004F0D7D"/>
    <w:rsid w:val="004F0FB5"/>
    <w:rsid w:val="004F13CB"/>
    <w:rsid w:val="004F1430"/>
    <w:rsid w:val="004F1AFF"/>
    <w:rsid w:val="004F25FF"/>
    <w:rsid w:val="004F26BD"/>
    <w:rsid w:val="004F26DF"/>
    <w:rsid w:val="004F2773"/>
    <w:rsid w:val="004F29B4"/>
    <w:rsid w:val="004F2FF5"/>
    <w:rsid w:val="004F3172"/>
    <w:rsid w:val="004F37AF"/>
    <w:rsid w:val="004F4157"/>
    <w:rsid w:val="004F451F"/>
    <w:rsid w:val="004F4617"/>
    <w:rsid w:val="004F4923"/>
    <w:rsid w:val="004F4AD5"/>
    <w:rsid w:val="004F5117"/>
    <w:rsid w:val="004F59A5"/>
    <w:rsid w:val="004F5A57"/>
    <w:rsid w:val="004F7196"/>
    <w:rsid w:val="004F7B34"/>
    <w:rsid w:val="004F7FE8"/>
    <w:rsid w:val="00500750"/>
    <w:rsid w:val="00500B39"/>
    <w:rsid w:val="005011A2"/>
    <w:rsid w:val="00501205"/>
    <w:rsid w:val="0050183A"/>
    <w:rsid w:val="00501EC0"/>
    <w:rsid w:val="0050287B"/>
    <w:rsid w:val="0050325F"/>
    <w:rsid w:val="00503314"/>
    <w:rsid w:val="005038F3"/>
    <w:rsid w:val="00503D90"/>
    <w:rsid w:val="0050491B"/>
    <w:rsid w:val="00504F21"/>
    <w:rsid w:val="00505026"/>
    <w:rsid w:val="00505171"/>
    <w:rsid w:val="005052C1"/>
    <w:rsid w:val="005053AA"/>
    <w:rsid w:val="00505563"/>
    <w:rsid w:val="0050606A"/>
    <w:rsid w:val="00506609"/>
    <w:rsid w:val="00506A80"/>
    <w:rsid w:val="00506CB3"/>
    <w:rsid w:val="00506D6A"/>
    <w:rsid w:val="00507708"/>
    <w:rsid w:val="005077CD"/>
    <w:rsid w:val="00507C60"/>
    <w:rsid w:val="00510190"/>
    <w:rsid w:val="005101BE"/>
    <w:rsid w:val="00510275"/>
    <w:rsid w:val="00510A63"/>
    <w:rsid w:val="00510C57"/>
    <w:rsid w:val="00510E92"/>
    <w:rsid w:val="00510F97"/>
    <w:rsid w:val="00511D58"/>
    <w:rsid w:val="00511D59"/>
    <w:rsid w:val="00511DE8"/>
    <w:rsid w:val="00511F09"/>
    <w:rsid w:val="005122B2"/>
    <w:rsid w:val="005124D7"/>
    <w:rsid w:val="0051253D"/>
    <w:rsid w:val="005136BF"/>
    <w:rsid w:val="00513A2B"/>
    <w:rsid w:val="00513AAD"/>
    <w:rsid w:val="00514240"/>
    <w:rsid w:val="00514241"/>
    <w:rsid w:val="00514862"/>
    <w:rsid w:val="00514B22"/>
    <w:rsid w:val="00514E97"/>
    <w:rsid w:val="00515087"/>
    <w:rsid w:val="00515091"/>
    <w:rsid w:val="0051511A"/>
    <w:rsid w:val="0051531C"/>
    <w:rsid w:val="0051559D"/>
    <w:rsid w:val="00515850"/>
    <w:rsid w:val="00515AB4"/>
    <w:rsid w:val="00516330"/>
    <w:rsid w:val="00516474"/>
    <w:rsid w:val="0051647D"/>
    <w:rsid w:val="00516905"/>
    <w:rsid w:val="00516AA3"/>
    <w:rsid w:val="00516BB9"/>
    <w:rsid w:val="005170C4"/>
    <w:rsid w:val="005171E6"/>
    <w:rsid w:val="005173B6"/>
    <w:rsid w:val="005178FA"/>
    <w:rsid w:val="00517BB0"/>
    <w:rsid w:val="005201F3"/>
    <w:rsid w:val="00520690"/>
    <w:rsid w:val="00520A72"/>
    <w:rsid w:val="00520D16"/>
    <w:rsid w:val="00521453"/>
    <w:rsid w:val="00521CAA"/>
    <w:rsid w:val="0052275F"/>
    <w:rsid w:val="00522A6C"/>
    <w:rsid w:val="00522A85"/>
    <w:rsid w:val="00522D4D"/>
    <w:rsid w:val="00523693"/>
    <w:rsid w:val="005237F8"/>
    <w:rsid w:val="005238C6"/>
    <w:rsid w:val="00523BA1"/>
    <w:rsid w:val="005240EB"/>
    <w:rsid w:val="005255C9"/>
    <w:rsid w:val="00525AB2"/>
    <w:rsid w:val="00525ECE"/>
    <w:rsid w:val="00527093"/>
    <w:rsid w:val="005270B5"/>
    <w:rsid w:val="0052745A"/>
    <w:rsid w:val="005274A1"/>
    <w:rsid w:val="005301C4"/>
    <w:rsid w:val="00530427"/>
    <w:rsid w:val="0053099B"/>
    <w:rsid w:val="00530F0B"/>
    <w:rsid w:val="00531380"/>
    <w:rsid w:val="005316C7"/>
    <w:rsid w:val="00531775"/>
    <w:rsid w:val="00531A06"/>
    <w:rsid w:val="00531B3E"/>
    <w:rsid w:val="00531CC2"/>
    <w:rsid w:val="00531D3D"/>
    <w:rsid w:val="005320BE"/>
    <w:rsid w:val="005320EB"/>
    <w:rsid w:val="0053221C"/>
    <w:rsid w:val="005322E7"/>
    <w:rsid w:val="0053237C"/>
    <w:rsid w:val="00532EA6"/>
    <w:rsid w:val="0053364F"/>
    <w:rsid w:val="005336BC"/>
    <w:rsid w:val="00534373"/>
    <w:rsid w:val="00535C1C"/>
    <w:rsid w:val="0053634F"/>
    <w:rsid w:val="00536B8F"/>
    <w:rsid w:val="00537193"/>
    <w:rsid w:val="005374F6"/>
    <w:rsid w:val="00540176"/>
    <w:rsid w:val="005402E2"/>
    <w:rsid w:val="005411D1"/>
    <w:rsid w:val="005416B4"/>
    <w:rsid w:val="0054193F"/>
    <w:rsid w:val="00541D74"/>
    <w:rsid w:val="00542328"/>
    <w:rsid w:val="0054249E"/>
    <w:rsid w:val="005427F9"/>
    <w:rsid w:val="00542C85"/>
    <w:rsid w:val="005432BF"/>
    <w:rsid w:val="005438AB"/>
    <w:rsid w:val="00543991"/>
    <w:rsid w:val="005446DB"/>
    <w:rsid w:val="00544A95"/>
    <w:rsid w:val="0054549A"/>
    <w:rsid w:val="00545791"/>
    <w:rsid w:val="00545F11"/>
    <w:rsid w:val="0054652E"/>
    <w:rsid w:val="005466B1"/>
    <w:rsid w:val="005468C3"/>
    <w:rsid w:val="00546C5F"/>
    <w:rsid w:val="0054704E"/>
    <w:rsid w:val="00547236"/>
    <w:rsid w:val="005472B2"/>
    <w:rsid w:val="005476A2"/>
    <w:rsid w:val="005476C7"/>
    <w:rsid w:val="00547A2C"/>
    <w:rsid w:val="00547EB5"/>
    <w:rsid w:val="00550D71"/>
    <w:rsid w:val="005512EC"/>
    <w:rsid w:val="005513E1"/>
    <w:rsid w:val="005515A1"/>
    <w:rsid w:val="00551632"/>
    <w:rsid w:val="00552189"/>
    <w:rsid w:val="005528D2"/>
    <w:rsid w:val="005529E9"/>
    <w:rsid w:val="005530E5"/>
    <w:rsid w:val="00554660"/>
    <w:rsid w:val="0055472F"/>
    <w:rsid w:val="00554816"/>
    <w:rsid w:val="005552EF"/>
    <w:rsid w:val="0055535D"/>
    <w:rsid w:val="005553D1"/>
    <w:rsid w:val="00555A18"/>
    <w:rsid w:val="00555AC1"/>
    <w:rsid w:val="00555D38"/>
    <w:rsid w:val="00555DF0"/>
    <w:rsid w:val="00555F48"/>
    <w:rsid w:val="00556283"/>
    <w:rsid w:val="00556798"/>
    <w:rsid w:val="005567B5"/>
    <w:rsid w:val="005568DC"/>
    <w:rsid w:val="0055695E"/>
    <w:rsid w:val="00557199"/>
    <w:rsid w:val="00560A85"/>
    <w:rsid w:val="00560E6F"/>
    <w:rsid w:val="00561702"/>
    <w:rsid w:val="00561A47"/>
    <w:rsid w:val="00561EDA"/>
    <w:rsid w:val="00563513"/>
    <w:rsid w:val="00563BD4"/>
    <w:rsid w:val="00563C9F"/>
    <w:rsid w:val="00563CCB"/>
    <w:rsid w:val="00563DCE"/>
    <w:rsid w:val="00564CBE"/>
    <w:rsid w:val="00565057"/>
    <w:rsid w:val="005655D1"/>
    <w:rsid w:val="0056589D"/>
    <w:rsid w:val="00565C79"/>
    <w:rsid w:val="00565EA1"/>
    <w:rsid w:val="00565FB9"/>
    <w:rsid w:val="00566189"/>
    <w:rsid w:val="005664DC"/>
    <w:rsid w:val="00566593"/>
    <w:rsid w:val="00566DF1"/>
    <w:rsid w:val="00570464"/>
    <w:rsid w:val="00570D61"/>
    <w:rsid w:val="00571089"/>
    <w:rsid w:val="005714EF"/>
    <w:rsid w:val="00571EBE"/>
    <w:rsid w:val="00571F30"/>
    <w:rsid w:val="005725EE"/>
    <w:rsid w:val="00572A84"/>
    <w:rsid w:val="00572D18"/>
    <w:rsid w:val="00572FD7"/>
    <w:rsid w:val="0057310B"/>
    <w:rsid w:val="005733E2"/>
    <w:rsid w:val="00574127"/>
    <w:rsid w:val="00574171"/>
    <w:rsid w:val="005744D1"/>
    <w:rsid w:val="00574582"/>
    <w:rsid w:val="005758EE"/>
    <w:rsid w:val="00575D1A"/>
    <w:rsid w:val="00575DAC"/>
    <w:rsid w:val="00576592"/>
    <w:rsid w:val="005767E8"/>
    <w:rsid w:val="00577405"/>
    <w:rsid w:val="005774C4"/>
    <w:rsid w:val="005775DA"/>
    <w:rsid w:val="00577D00"/>
    <w:rsid w:val="005800B5"/>
    <w:rsid w:val="0058032C"/>
    <w:rsid w:val="0058043B"/>
    <w:rsid w:val="00580A9A"/>
    <w:rsid w:val="005819BE"/>
    <w:rsid w:val="00581FA3"/>
    <w:rsid w:val="0058214D"/>
    <w:rsid w:val="0058233E"/>
    <w:rsid w:val="005825E4"/>
    <w:rsid w:val="00582A0C"/>
    <w:rsid w:val="00583295"/>
    <w:rsid w:val="0058346E"/>
    <w:rsid w:val="00583889"/>
    <w:rsid w:val="00584301"/>
    <w:rsid w:val="005847D6"/>
    <w:rsid w:val="00584BEB"/>
    <w:rsid w:val="00584D5C"/>
    <w:rsid w:val="00584DBC"/>
    <w:rsid w:val="00584FD8"/>
    <w:rsid w:val="005857FE"/>
    <w:rsid w:val="00585AFA"/>
    <w:rsid w:val="00585C6E"/>
    <w:rsid w:val="00585DB3"/>
    <w:rsid w:val="0058630E"/>
    <w:rsid w:val="0058635F"/>
    <w:rsid w:val="00586A5F"/>
    <w:rsid w:val="00586B5F"/>
    <w:rsid w:val="00586DF1"/>
    <w:rsid w:val="00587209"/>
    <w:rsid w:val="00587963"/>
    <w:rsid w:val="00587AA6"/>
    <w:rsid w:val="00587C0C"/>
    <w:rsid w:val="00590229"/>
    <w:rsid w:val="005908FB"/>
    <w:rsid w:val="00590AA8"/>
    <w:rsid w:val="00591303"/>
    <w:rsid w:val="00591808"/>
    <w:rsid w:val="00591A93"/>
    <w:rsid w:val="00591ABF"/>
    <w:rsid w:val="005922EF"/>
    <w:rsid w:val="005923ED"/>
    <w:rsid w:val="00593002"/>
    <w:rsid w:val="005930AF"/>
    <w:rsid w:val="0059336A"/>
    <w:rsid w:val="0059342B"/>
    <w:rsid w:val="00594143"/>
    <w:rsid w:val="005945EF"/>
    <w:rsid w:val="0059472C"/>
    <w:rsid w:val="005947D7"/>
    <w:rsid w:val="00594DC9"/>
    <w:rsid w:val="00595078"/>
    <w:rsid w:val="0059565B"/>
    <w:rsid w:val="005956A4"/>
    <w:rsid w:val="00595942"/>
    <w:rsid w:val="0059602B"/>
    <w:rsid w:val="00596353"/>
    <w:rsid w:val="00596BA4"/>
    <w:rsid w:val="00597012"/>
    <w:rsid w:val="005978FE"/>
    <w:rsid w:val="00597BCA"/>
    <w:rsid w:val="00597E48"/>
    <w:rsid w:val="00597EBF"/>
    <w:rsid w:val="00597FBC"/>
    <w:rsid w:val="005A010D"/>
    <w:rsid w:val="005A0A69"/>
    <w:rsid w:val="005A0BF5"/>
    <w:rsid w:val="005A2071"/>
    <w:rsid w:val="005A221A"/>
    <w:rsid w:val="005A2269"/>
    <w:rsid w:val="005A2606"/>
    <w:rsid w:val="005A26A4"/>
    <w:rsid w:val="005A2817"/>
    <w:rsid w:val="005A2DD4"/>
    <w:rsid w:val="005A320D"/>
    <w:rsid w:val="005A3221"/>
    <w:rsid w:val="005A324A"/>
    <w:rsid w:val="005A37DC"/>
    <w:rsid w:val="005A38B2"/>
    <w:rsid w:val="005A4181"/>
    <w:rsid w:val="005A4928"/>
    <w:rsid w:val="005A4A00"/>
    <w:rsid w:val="005A4A37"/>
    <w:rsid w:val="005A4FAA"/>
    <w:rsid w:val="005A5044"/>
    <w:rsid w:val="005A508D"/>
    <w:rsid w:val="005A5898"/>
    <w:rsid w:val="005A5A14"/>
    <w:rsid w:val="005A5A6E"/>
    <w:rsid w:val="005A5E00"/>
    <w:rsid w:val="005A6306"/>
    <w:rsid w:val="005A6329"/>
    <w:rsid w:val="005A6D22"/>
    <w:rsid w:val="005A6E54"/>
    <w:rsid w:val="005A7094"/>
    <w:rsid w:val="005A73FA"/>
    <w:rsid w:val="005A7440"/>
    <w:rsid w:val="005A7E90"/>
    <w:rsid w:val="005B0690"/>
    <w:rsid w:val="005B1562"/>
    <w:rsid w:val="005B162F"/>
    <w:rsid w:val="005B180C"/>
    <w:rsid w:val="005B1A7F"/>
    <w:rsid w:val="005B1BAC"/>
    <w:rsid w:val="005B1BF7"/>
    <w:rsid w:val="005B232D"/>
    <w:rsid w:val="005B2432"/>
    <w:rsid w:val="005B286A"/>
    <w:rsid w:val="005B29E7"/>
    <w:rsid w:val="005B3010"/>
    <w:rsid w:val="005B31D5"/>
    <w:rsid w:val="005B3231"/>
    <w:rsid w:val="005B32FD"/>
    <w:rsid w:val="005B3333"/>
    <w:rsid w:val="005B3597"/>
    <w:rsid w:val="005B36EA"/>
    <w:rsid w:val="005B3A71"/>
    <w:rsid w:val="005B41E6"/>
    <w:rsid w:val="005B481B"/>
    <w:rsid w:val="005B4AFF"/>
    <w:rsid w:val="005B4EE5"/>
    <w:rsid w:val="005B4F6F"/>
    <w:rsid w:val="005B5103"/>
    <w:rsid w:val="005B63FD"/>
    <w:rsid w:val="005B66ED"/>
    <w:rsid w:val="005B6973"/>
    <w:rsid w:val="005B6E0D"/>
    <w:rsid w:val="005B73E5"/>
    <w:rsid w:val="005B74F3"/>
    <w:rsid w:val="005B75B9"/>
    <w:rsid w:val="005B78B1"/>
    <w:rsid w:val="005B7ADC"/>
    <w:rsid w:val="005C016F"/>
    <w:rsid w:val="005C02BF"/>
    <w:rsid w:val="005C05A4"/>
    <w:rsid w:val="005C06D1"/>
    <w:rsid w:val="005C088E"/>
    <w:rsid w:val="005C1869"/>
    <w:rsid w:val="005C1B96"/>
    <w:rsid w:val="005C2487"/>
    <w:rsid w:val="005C2A7E"/>
    <w:rsid w:val="005C2B78"/>
    <w:rsid w:val="005C30CC"/>
    <w:rsid w:val="005C32BF"/>
    <w:rsid w:val="005C3AA8"/>
    <w:rsid w:val="005C3F6F"/>
    <w:rsid w:val="005C471D"/>
    <w:rsid w:val="005C486E"/>
    <w:rsid w:val="005C4E48"/>
    <w:rsid w:val="005C51D7"/>
    <w:rsid w:val="005C53C4"/>
    <w:rsid w:val="005C56AC"/>
    <w:rsid w:val="005C5792"/>
    <w:rsid w:val="005C5F1F"/>
    <w:rsid w:val="005C61A9"/>
    <w:rsid w:val="005C6A11"/>
    <w:rsid w:val="005C6ECA"/>
    <w:rsid w:val="005C6FCA"/>
    <w:rsid w:val="005C7054"/>
    <w:rsid w:val="005C75E0"/>
    <w:rsid w:val="005C7938"/>
    <w:rsid w:val="005C7D3B"/>
    <w:rsid w:val="005D083F"/>
    <w:rsid w:val="005D096B"/>
    <w:rsid w:val="005D0ACB"/>
    <w:rsid w:val="005D0B73"/>
    <w:rsid w:val="005D0BB1"/>
    <w:rsid w:val="005D0C5C"/>
    <w:rsid w:val="005D1122"/>
    <w:rsid w:val="005D128E"/>
    <w:rsid w:val="005D159F"/>
    <w:rsid w:val="005D1AC5"/>
    <w:rsid w:val="005D278D"/>
    <w:rsid w:val="005D2D89"/>
    <w:rsid w:val="005D2F43"/>
    <w:rsid w:val="005D4327"/>
    <w:rsid w:val="005D48B8"/>
    <w:rsid w:val="005D4C2D"/>
    <w:rsid w:val="005D51D1"/>
    <w:rsid w:val="005D51D4"/>
    <w:rsid w:val="005D520D"/>
    <w:rsid w:val="005D561B"/>
    <w:rsid w:val="005D5978"/>
    <w:rsid w:val="005D5A24"/>
    <w:rsid w:val="005D5F3E"/>
    <w:rsid w:val="005D6C69"/>
    <w:rsid w:val="005D71E5"/>
    <w:rsid w:val="005D75E8"/>
    <w:rsid w:val="005D763D"/>
    <w:rsid w:val="005D76FC"/>
    <w:rsid w:val="005D782A"/>
    <w:rsid w:val="005D7AC3"/>
    <w:rsid w:val="005D7B58"/>
    <w:rsid w:val="005D7D26"/>
    <w:rsid w:val="005D7F14"/>
    <w:rsid w:val="005E01B6"/>
    <w:rsid w:val="005E06BC"/>
    <w:rsid w:val="005E0EA9"/>
    <w:rsid w:val="005E122C"/>
    <w:rsid w:val="005E12F9"/>
    <w:rsid w:val="005E1509"/>
    <w:rsid w:val="005E186F"/>
    <w:rsid w:val="005E19B3"/>
    <w:rsid w:val="005E238E"/>
    <w:rsid w:val="005E25E6"/>
    <w:rsid w:val="005E273A"/>
    <w:rsid w:val="005E2795"/>
    <w:rsid w:val="005E2852"/>
    <w:rsid w:val="005E2B2B"/>
    <w:rsid w:val="005E2ECF"/>
    <w:rsid w:val="005E2F32"/>
    <w:rsid w:val="005E3075"/>
    <w:rsid w:val="005E3342"/>
    <w:rsid w:val="005E33D1"/>
    <w:rsid w:val="005E33DA"/>
    <w:rsid w:val="005E34AA"/>
    <w:rsid w:val="005E3C16"/>
    <w:rsid w:val="005E3D7E"/>
    <w:rsid w:val="005E3E31"/>
    <w:rsid w:val="005E4531"/>
    <w:rsid w:val="005E4769"/>
    <w:rsid w:val="005E4CD2"/>
    <w:rsid w:val="005E4F8D"/>
    <w:rsid w:val="005E50B2"/>
    <w:rsid w:val="005E50E3"/>
    <w:rsid w:val="005E57E6"/>
    <w:rsid w:val="005E59B9"/>
    <w:rsid w:val="005E5B1A"/>
    <w:rsid w:val="005E6038"/>
    <w:rsid w:val="005E6216"/>
    <w:rsid w:val="005E64EB"/>
    <w:rsid w:val="005E6523"/>
    <w:rsid w:val="005E6979"/>
    <w:rsid w:val="005E7236"/>
    <w:rsid w:val="005E7347"/>
    <w:rsid w:val="005E7965"/>
    <w:rsid w:val="005F003F"/>
    <w:rsid w:val="005F0BF3"/>
    <w:rsid w:val="005F0BF5"/>
    <w:rsid w:val="005F15A7"/>
    <w:rsid w:val="005F1991"/>
    <w:rsid w:val="005F2078"/>
    <w:rsid w:val="005F20FE"/>
    <w:rsid w:val="005F2236"/>
    <w:rsid w:val="005F2BF4"/>
    <w:rsid w:val="005F2F1E"/>
    <w:rsid w:val="005F376F"/>
    <w:rsid w:val="005F37D3"/>
    <w:rsid w:val="005F39F3"/>
    <w:rsid w:val="005F3A43"/>
    <w:rsid w:val="005F3BAB"/>
    <w:rsid w:val="005F44DD"/>
    <w:rsid w:val="005F4B11"/>
    <w:rsid w:val="005F4EA2"/>
    <w:rsid w:val="005F50DE"/>
    <w:rsid w:val="005F625D"/>
    <w:rsid w:val="005F631C"/>
    <w:rsid w:val="005F6606"/>
    <w:rsid w:val="005F6CBB"/>
    <w:rsid w:val="005F73FC"/>
    <w:rsid w:val="005F740D"/>
    <w:rsid w:val="005F7763"/>
    <w:rsid w:val="005F77D6"/>
    <w:rsid w:val="005F7875"/>
    <w:rsid w:val="005F7C72"/>
    <w:rsid w:val="006007D3"/>
    <w:rsid w:val="006009B4"/>
    <w:rsid w:val="00600A01"/>
    <w:rsid w:val="006015A1"/>
    <w:rsid w:val="00601922"/>
    <w:rsid w:val="00601A26"/>
    <w:rsid w:val="00601F07"/>
    <w:rsid w:val="0060211A"/>
    <w:rsid w:val="006026D0"/>
    <w:rsid w:val="006026FC"/>
    <w:rsid w:val="0060272F"/>
    <w:rsid w:val="0060293F"/>
    <w:rsid w:val="00602C41"/>
    <w:rsid w:val="00602F0A"/>
    <w:rsid w:val="00602F6D"/>
    <w:rsid w:val="0060349E"/>
    <w:rsid w:val="00603648"/>
    <w:rsid w:val="00603C8E"/>
    <w:rsid w:val="00604396"/>
    <w:rsid w:val="00604623"/>
    <w:rsid w:val="006047B3"/>
    <w:rsid w:val="00604E07"/>
    <w:rsid w:val="00604F72"/>
    <w:rsid w:val="00605131"/>
    <w:rsid w:val="0060546B"/>
    <w:rsid w:val="006058D2"/>
    <w:rsid w:val="00605993"/>
    <w:rsid w:val="00606093"/>
    <w:rsid w:val="0060624D"/>
    <w:rsid w:val="00606410"/>
    <w:rsid w:val="006069B3"/>
    <w:rsid w:val="00606A69"/>
    <w:rsid w:val="00606B75"/>
    <w:rsid w:val="00606E4E"/>
    <w:rsid w:val="006071D5"/>
    <w:rsid w:val="0060738B"/>
    <w:rsid w:val="006073A5"/>
    <w:rsid w:val="006073E7"/>
    <w:rsid w:val="0060757E"/>
    <w:rsid w:val="006078A1"/>
    <w:rsid w:val="00607BDE"/>
    <w:rsid w:val="00607D53"/>
    <w:rsid w:val="006100A1"/>
    <w:rsid w:val="006100A3"/>
    <w:rsid w:val="0061046D"/>
    <w:rsid w:val="0061113B"/>
    <w:rsid w:val="006112B1"/>
    <w:rsid w:val="00611431"/>
    <w:rsid w:val="006116E7"/>
    <w:rsid w:val="00611B5A"/>
    <w:rsid w:val="00611EB1"/>
    <w:rsid w:val="00612035"/>
    <w:rsid w:val="00612955"/>
    <w:rsid w:val="00612AE2"/>
    <w:rsid w:val="00612C53"/>
    <w:rsid w:val="00612C67"/>
    <w:rsid w:val="00612DF2"/>
    <w:rsid w:val="00613460"/>
    <w:rsid w:val="0061387B"/>
    <w:rsid w:val="00613BC2"/>
    <w:rsid w:val="006140F5"/>
    <w:rsid w:val="006145F3"/>
    <w:rsid w:val="006146F7"/>
    <w:rsid w:val="00614A0D"/>
    <w:rsid w:val="00614B90"/>
    <w:rsid w:val="006151C8"/>
    <w:rsid w:val="006154D6"/>
    <w:rsid w:val="0061611F"/>
    <w:rsid w:val="00616670"/>
    <w:rsid w:val="006171AA"/>
    <w:rsid w:val="00617359"/>
    <w:rsid w:val="0061768B"/>
    <w:rsid w:val="00617CCB"/>
    <w:rsid w:val="00620460"/>
    <w:rsid w:val="006205C3"/>
    <w:rsid w:val="00620DAA"/>
    <w:rsid w:val="006214D2"/>
    <w:rsid w:val="006219F0"/>
    <w:rsid w:val="00621BE3"/>
    <w:rsid w:val="00621CE9"/>
    <w:rsid w:val="0062227C"/>
    <w:rsid w:val="006222C3"/>
    <w:rsid w:val="00622483"/>
    <w:rsid w:val="00622977"/>
    <w:rsid w:val="00622E1F"/>
    <w:rsid w:val="0062362A"/>
    <w:rsid w:val="00623678"/>
    <w:rsid w:val="00623964"/>
    <w:rsid w:val="006239D7"/>
    <w:rsid w:val="00623D8C"/>
    <w:rsid w:val="00623EE2"/>
    <w:rsid w:val="006240B2"/>
    <w:rsid w:val="006244EC"/>
    <w:rsid w:val="00624B03"/>
    <w:rsid w:val="00624E7C"/>
    <w:rsid w:val="00624E9F"/>
    <w:rsid w:val="00624F70"/>
    <w:rsid w:val="006250BF"/>
    <w:rsid w:val="006257EE"/>
    <w:rsid w:val="00625ACB"/>
    <w:rsid w:val="006267C4"/>
    <w:rsid w:val="00626AD7"/>
    <w:rsid w:val="00626AF0"/>
    <w:rsid w:val="00626BD6"/>
    <w:rsid w:val="006279CB"/>
    <w:rsid w:val="006302B8"/>
    <w:rsid w:val="00630461"/>
    <w:rsid w:val="0063065A"/>
    <w:rsid w:val="0063091C"/>
    <w:rsid w:val="00630B02"/>
    <w:rsid w:val="00630EC0"/>
    <w:rsid w:val="00631C1F"/>
    <w:rsid w:val="006323C4"/>
    <w:rsid w:val="00632978"/>
    <w:rsid w:val="00632CAB"/>
    <w:rsid w:val="00632D89"/>
    <w:rsid w:val="00632EA7"/>
    <w:rsid w:val="00633455"/>
    <w:rsid w:val="006334A5"/>
    <w:rsid w:val="006336DF"/>
    <w:rsid w:val="006339A8"/>
    <w:rsid w:val="00633DCB"/>
    <w:rsid w:val="00634076"/>
    <w:rsid w:val="00634086"/>
    <w:rsid w:val="0063428D"/>
    <w:rsid w:val="00634CA7"/>
    <w:rsid w:val="00634D43"/>
    <w:rsid w:val="00634EF0"/>
    <w:rsid w:val="00635028"/>
    <w:rsid w:val="00635116"/>
    <w:rsid w:val="006353EF"/>
    <w:rsid w:val="0063596D"/>
    <w:rsid w:val="006364D2"/>
    <w:rsid w:val="006369AF"/>
    <w:rsid w:val="00636A64"/>
    <w:rsid w:val="00636A82"/>
    <w:rsid w:val="00636B76"/>
    <w:rsid w:val="00637586"/>
    <w:rsid w:val="00637C95"/>
    <w:rsid w:val="00637F2D"/>
    <w:rsid w:val="006400CC"/>
    <w:rsid w:val="006408DE"/>
    <w:rsid w:val="0064178C"/>
    <w:rsid w:val="00641B79"/>
    <w:rsid w:val="00641EE0"/>
    <w:rsid w:val="00642031"/>
    <w:rsid w:val="006428AB"/>
    <w:rsid w:val="00642DD2"/>
    <w:rsid w:val="006430C4"/>
    <w:rsid w:val="0064330F"/>
    <w:rsid w:val="00643367"/>
    <w:rsid w:val="00643511"/>
    <w:rsid w:val="006437AE"/>
    <w:rsid w:val="00643D89"/>
    <w:rsid w:val="0064431B"/>
    <w:rsid w:val="0064473C"/>
    <w:rsid w:val="006447DB"/>
    <w:rsid w:val="00644BE8"/>
    <w:rsid w:val="00644E2D"/>
    <w:rsid w:val="0064589E"/>
    <w:rsid w:val="006458F3"/>
    <w:rsid w:val="00645954"/>
    <w:rsid w:val="00645AF9"/>
    <w:rsid w:val="00645C6B"/>
    <w:rsid w:val="00645EDB"/>
    <w:rsid w:val="00646318"/>
    <w:rsid w:val="00646441"/>
    <w:rsid w:val="00646A9C"/>
    <w:rsid w:val="00646E12"/>
    <w:rsid w:val="00646EC9"/>
    <w:rsid w:val="00646FC1"/>
    <w:rsid w:val="00647951"/>
    <w:rsid w:val="006479DC"/>
    <w:rsid w:val="00647C64"/>
    <w:rsid w:val="00647E23"/>
    <w:rsid w:val="00650FAE"/>
    <w:rsid w:val="00651018"/>
    <w:rsid w:val="006510B2"/>
    <w:rsid w:val="006510F3"/>
    <w:rsid w:val="006510FD"/>
    <w:rsid w:val="0065140F"/>
    <w:rsid w:val="0065168A"/>
    <w:rsid w:val="0065172D"/>
    <w:rsid w:val="00651AD3"/>
    <w:rsid w:val="00651B8E"/>
    <w:rsid w:val="00651BDC"/>
    <w:rsid w:val="00652B21"/>
    <w:rsid w:val="00653342"/>
    <w:rsid w:val="00653371"/>
    <w:rsid w:val="006538B6"/>
    <w:rsid w:val="006538C6"/>
    <w:rsid w:val="00653B26"/>
    <w:rsid w:val="00653D10"/>
    <w:rsid w:val="006544E7"/>
    <w:rsid w:val="00654A04"/>
    <w:rsid w:val="00654C6A"/>
    <w:rsid w:val="006556BD"/>
    <w:rsid w:val="00656549"/>
    <w:rsid w:val="00656BCA"/>
    <w:rsid w:val="00656E1D"/>
    <w:rsid w:val="00657055"/>
    <w:rsid w:val="0065709F"/>
    <w:rsid w:val="00657486"/>
    <w:rsid w:val="006574CA"/>
    <w:rsid w:val="00657F11"/>
    <w:rsid w:val="00657F98"/>
    <w:rsid w:val="00660147"/>
    <w:rsid w:val="00661309"/>
    <w:rsid w:val="00661861"/>
    <w:rsid w:val="006619D6"/>
    <w:rsid w:val="00661B13"/>
    <w:rsid w:val="00661E45"/>
    <w:rsid w:val="00662459"/>
    <w:rsid w:val="0066259F"/>
    <w:rsid w:val="00662882"/>
    <w:rsid w:val="006628F0"/>
    <w:rsid w:val="0066294E"/>
    <w:rsid w:val="00662FAB"/>
    <w:rsid w:val="00663D15"/>
    <w:rsid w:val="00663F0E"/>
    <w:rsid w:val="0066412A"/>
    <w:rsid w:val="00664332"/>
    <w:rsid w:val="00664608"/>
    <w:rsid w:val="00664738"/>
    <w:rsid w:val="00664F8F"/>
    <w:rsid w:val="00665D0A"/>
    <w:rsid w:val="00666A90"/>
    <w:rsid w:val="00667109"/>
    <w:rsid w:val="00667199"/>
    <w:rsid w:val="006676BE"/>
    <w:rsid w:val="00667AB4"/>
    <w:rsid w:val="00667DC1"/>
    <w:rsid w:val="006703B6"/>
    <w:rsid w:val="00670A1B"/>
    <w:rsid w:val="00670B81"/>
    <w:rsid w:val="00670F76"/>
    <w:rsid w:val="0067113D"/>
    <w:rsid w:val="0067148C"/>
    <w:rsid w:val="0067164E"/>
    <w:rsid w:val="006716FE"/>
    <w:rsid w:val="00671726"/>
    <w:rsid w:val="006717F3"/>
    <w:rsid w:val="00671DC3"/>
    <w:rsid w:val="006722E0"/>
    <w:rsid w:val="00672C70"/>
    <w:rsid w:val="00672EE7"/>
    <w:rsid w:val="00673543"/>
    <w:rsid w:val="0067359A"/>
    <w:rsid w:val="0067367E"/>
    <w:rsid w:val="006739F1"/>
    <w:rsid w:val="006741E0"/>
    <w:rsid w:val="006745B1"/>
    <w:rsid w:val="00674630"/>
    <w:rsid w:val="00674878"/>
    <w:rsid w:val="00674A08"/>
    <w:rsid w:val="00674BD2"/>
    <w:rsid w:val="006759F6"/>
    <w:rsid w:val="00676370"/>
    <w:rsid w:val="0067659C"/>
    <w:rsid w:val="00676717"/>
    <w:rsid w:val="00676E39"/>
    <w:rsid w:val="00676F11"/>
    <w:rsid w:val="006772E1"/>
    <w:rsid w:val="00677809"/>
    <w:rsid w:val="0067782F"/>
    <w:rsid w:val="00677DB2"/>
    <w:rsid w:val="00680348"/>
    <w:rsid w:val="00680442"/>
    <w:rsid w:val="00680546"/>
    <w:rsid w:val="006807FD"/>
    <w:rsid w:val="00681101"/>
    <w:rsid w:val="00681191"/>
    <w:rsid w:val="0068124D"/>
    <w:rsid w:val="00681894"/>
    <w:rsid w:val="00682316"/>
    <w:rsid w:val="00682623"/>
    <w:rsid w:val="0068310A"/>
    <w:rsid w:val="006835A8"/>
    <w:rsid w:val="006836C3"/>
    <w:rsid w:val="006836E7"/>
    <w:rsid w:val="006838BF"/>
    <w:rsid w:val="00683C19"/>
    <w:rsid w:val="00683C99"/>
    <w:rsid w:val="00684121"/>
    <w:rsid w:val="00684183"/>
    <w:rsid w:val="006848F8"/>
    <w:rsid w:val="00684E94"/>
    <w:rsid w:val="00685011"/>
    <w:rsid w:val="00685894"/>
    <w:rsid w:val="00685A89"/>
    <w:rsid w:val="00685B53"/>
    <w:rsid w:val="00686354"/>
    <w:rsid w:val="00686370"/>
    <w:rsid w:val="00687BE2"/>
    <w:rsid w:val="00687DAC"/>
    <w:rsid w:val="006900E4"/>
    <w:rsid w:val="00690285"/>
    <w:rsid w:val="006908C9"/>
    <w:rsid w:val="00690E37"/>
    <w:rsid w:val="00690F88"/>
    <w:rsid w:val="006916E8"/>
    <w:rsid w:val="006920AF"/>
    <w:rsid w:val="006925C1"/>
    <w:rsid w:val="00692608"/>
    <w:rsid w:val="00692F07"/>
    <w:rsid w:val="00693A49"/>
    <w:rsid w:val="006950CA"/>
    <w:rsid w:val="00695257"/>
    <w:rsid w:val="00695B60"/>
    <w:rsid w:val="00696484"/>
    <w:rsid w:val="00696635"/>
    <w:rsid w:val="00696879"/>
    <w:rsid w:val="00696B39"/>
    <w:rsid w:val="00697006"/>
    <w:rsid w:val="006976C5"/>
    <w:rsid w:val="00697BC5"/>
    <w:rsid w:val="00697E9D"/>
    <w:rsid w:val="00697EB7"/>
    <w:rsid w:val="006A01AC"/>
    <w:rsid w:val="006A084B"/>
    <w:rsid w:val="006A0E1D"/>
    <w:rsid w:val="006A112F"/>
    <w:rsid w:val="006A1767"/>
    <w:rsid w:val="006A1F7D"/>
    <w:rsid w:val="006A21A5"/>
    <w:rsid w:val="006A2696"/>
    <w:rsid w:val="006A2879"/>
    <w:rsid w:val="006A2D78"/>
    <w:rsid w:val="006A3314"/>
    <w:rsid w:val="006A3B78"/>
    <w:rsid w:val="006A415A"/>
    <w:rsid w:val="006A43B7"/>
    <w:rsid w:val="006A47E7"/>
    <w:rsid w:val="006A4B3C"/>
    <w:rsid w:val="006A5447"/>
    <w:rsid w:val="006A5979"/>
    <w:rsid w:val="006A5DEF"/>
    <w:rsid w:val="006A640B"/>
    <w:rsid w:val="006A6482"/>
    <w:rsid w:val="006A6711"/>
    <w:rsid w:val="006A67E4"/>
    <w:rsid w:val="006A68C3"/>
    <w:rsid w:val="006A73CF"/>
    <w:rsid w:val="006A772A"/>
    <w:rsid w:val="006A7783"/>
    <w:rsid w:val="006A7C4F"/>
    <w:rsid w:val="006B00E6"/>
    <w:rsid w:val="006B0559"/>
    <w:rsid w:val="006B0AF3"/>
    <w:rsid w:val="006B14F8"/>
    <w:rsid w:val="006B1CBE"/>
    <w:rsid w:val="006B1D9B"/>
    <w:rsid w:val="006B214A"/>
    <w:rsid w:val="006B24F6"/>
    <w:rsid w:val="006B2DB8"/>
    <w:rsid w:val="006B3266"/>
    <w:rsid w:val="006B337E"/>
    <w:rsid w:val="006B3693"/>
    <w:rsid w:val="006B37E3"/>
    <w:rsid w:val="006B3819"/>
    <w:rsid w:val="006B3FF4"/>
    <w:rsid w:val="006B414B"/>
    <w:rsid w:val="006B43B8"/>
    <w:rsid w:val="006B46FC"/>
    <w:rsid w:val="006B48DC"/>
    <w:rsid w:val="006B4926"/>
    <w:rsid w:val="006B4C23"/>
    <w:rsid w:val="006B50AF"/>
    <w:rsid w:val="006B5166"/>
    <w:rsid w:val="006B52C6"/>
    <w:rsid w:val="006B5892"/>
    <w:rsid w:val="006B6FCD"/>
    <w:rsid w:val="006C015C"/>
    <w:rsid w:val="006C0284"/>
    <w:rsid w:val="006C0810"/>
    <w:rsid w:val="006C0917"/>
    <w:rsid w:val="006C10BA"/>
    <w:rsid w:val="006C13C1"/>
    <w:rsid w:val="006C15AF"/>
    <w:rsid w:val="006C1823"/>
    <w:rsid w:val="006C19BA"/>
    <w:rsid w:val="006C1BF0"/>
    <w:rsid w:val="006C1DD9"/>
    <w:rsid w:val="006C2158"/>
    <w:rsid w:val="006C2204"/>
    <w:rsid w:val="006C27C1"/>
    <w:rsid w:val="006C2D78"/>
    <w:rsid w:val="006C2F08"/>
    <w:rsid w:val="006C2F58"/>
    <w:rsid w:val="006C3159"/>
    <w:rsid w:val="006C32FB"/>
    <w:rsid w:val="006C3D24"/>
    <w:rsid w:val="006C3DCE"/>
    <w:rsid w:val="006C4015"/>
    <w:rsid w:val="006C41F7"/>
    <w:rsid w:val="006C47BD"/>
    <w:rsid w:val="006C49BC"/>
    <w:rsid w:val="006C49EE"/>
    <w:rsid w:val="006C5832"/>
    <w:rsid w:val="006C5D71"/>
    <w:rsid w:val="006C60B1"/>
    <w:rsid w:val="006C6D1A"/>
    <w:rsid w:val="006C75D9"/>
    <w:rsid w:val="006C79CD"/>
    <w:rsid w:val="006C79F6"/>
    <w:rsid w:val="006D028D"/>
    <w:rsid w:val="006D0695"/>
    <w:rsid w:val="006D0999"/>
    <w:rsid w:val="006D0F13"/>
    <w:rsid w:val="006D0FB1"/>
    <w:rsid w:val="006D1BDF"/>
    <w:rsid w:val="006D1DC9"/>
    <w:rsid w:val="006D22C9"/>
    <w:rsid w:val="006D2AEB"/>
    <w:rsid w:val="006D3552"/>
    <w:rsid w:val="006D39DD"/>
    <w:rsid w:val="006D3B23"/>
    <w:rsid w:val="006D4314"/>
    <w:rsid w:val="006D4356"/>
    <w:rsid w:val="006D47D0"/>
    <w:rsid w:val="006D5A63"/>
    <w:rsid w:val="006D5F53"/>
    <w:rsid w:val="006D60FC"/>
    <w:rsid w:val="006D65A1"/>
    <w:rsid w:val="006D66AE"/>
    <w:rsid w:val="006D71D8"/>
    <w:rsid w:val="006D74D5"/>
    <w:rsid w:val="006D7BEB"/>
    <w:rsid w:val="006D7BFD"/>
    <w:rsid w:val="006D7F35"/>
    <w:rsid w:val="006E005C"/>
    <w:rsid w:val="006E05DD"/>
    <w:rsid w:val="006E0684"/>
    <w:rsid w:val="006E0730"/>
    <w:rsid w:val="006E099E"/>
    <w:rsid w:val="006E09FD"/>
    <w:rsid w:val="006E0D6A"/>
    <w:rsid w:val="006E12F6"/>
    <w:rsid w:val="006E1DE0"/>
    <w:rsid w:val="006E215E"/>
    <w:rsid w:val="006E2339"/>
    <w:rsid w:val="006E2686"/>
    <w:rsid w:val="006E2BEE"/>
    <w:rsid w:val="006E2EC9"/>
    <w:rsid w:val="006E34A7"/>
    <w:rsid w:val="006E3544"/>
    <w:rsid w:val="006E3642"/>
    <w:rsid w:val="006E3E1A"/>
    <w:rsid w:val="006E4308"/>
    <w:rsid w:val="006E5C7B"/>
    <w:rsid w:val="006E665F"/>
    <w:rsid w:val="006E6F76"/>
    <w:rsid w:val="006E73DC"/>
    <w:rsid w:val="006F02E2"/>
    <w:rsid w:val="006F053F"/>
    <w:rsid w:val="006F05D1"/>
    <w:rsid w:val="006F0CCA"/>
    <w:rsid w:val="006F0E0A"/>
    <w:rsid w:val="006F1110"/>
    <w:rsid w:val="006F14AB"/>
    <w:rsid w:val="006F15FC"/>
    <w:rsid w:val="006F1713"/>
    <w:rsid w:val="006F24D6"/>
    <w:rsid w:val="006F2737"/>
    <w:rsid w:val="006F273C"/>
    <w:rsid w:val="006F336E"/>
    <w:rsid w:val="006F3515"/>
    <w:rsid w:val="006F3544"/>
    <w:rsid w:val="006F3A28"/>
    <w:rsid w:val="006F3C29"/>
    <w:rsid w:val="006F4896"/>
    <w:rsid w:val="006F4F2D"/>
    <w:rsid w:val="006F564E"/>
    <w:rsid w:val="006F5657"/>
    <w:rsid w:val="006F579B"/>
    <w:rsid w:val="006F5807"/>
    <w:rsid w:val="006F5D4D"/>
    <w:rsid w:val="006F627E"/>
    <w:rsid w:val="006F7040"/>
    <w:rsid w:val="006F7379"/>
    <w:rsid w:val="006F751C"/>
    <w:rsid w:val="006F7558"/>
    <w:rsid w:val="006F792F"/>
    <w:rsid w:val="006F7981"/>
    <w:rsid w:val="00700588"/>
    <w:rsid w:val="007006D8"/>
    <w:rsid w:val="00700C67"/>
    <w:rsid w:val="00701C82"/>
    <w:rsid w:val="00702278"/>
    <w:rsid w:val="007026FA"/>
    <w:rsid w:val="007027F4"/>
    <w:rsid w:val="00702861"/>
    <w:rsid w:val="00702D7B"/>
    <w:rsid w:val="007030D1"/>
    <w:rsid w:val="0070354A"/>
    <w:rsid w:val="0070362E"/>
    <w:rsid w:val="007036E9"/>
    <w:rsid w:val="007039C8"/>
    <w:rsid w:val="00703AA5"/>
    <w:rsid w:val="00703B51"/>
    <w:rsid w:val="00704E4D"/>
    <w:rsid w:val="00704EF1"/>
    <w:rsid w:val="0070517E"/>
    <w:rsid w:val="007055E1"/>
    <w:rsid w:val="00705832"/>
    <w:rsid w:val="0070583C"/>
    <w:rsid w:val="00705866"/>
    <w:rsid w:val="00705CA0"/>
    <w:rsid w:val="00706087"/>
    <w:rsid w:val="00706500"/>
    <w:rsid w:val="00706537"/>
    <w:rsid w:val="00706746"/>
    <w:rsid w:val="00706764"/>
    <w:rsid w:val="00706CB7"/>
    <w:rsid w:val="007070D5"/>
    <w:rsid w:val="0070795F"/>
    <w:rsid w:val="00707970"/>
    <w:rsid w:val="00707D4F"/>
    <w:rsid w:val="007100FB"/>
    <w:rsid w:val="007109C7"/>
    <w:rsid w:val="007109E8"/>
    <w:rsid w:val="0071101B"/>
    <w:rsid w:val="007111DB"/>
    <w:rsid w:val="00711F13"/>
    <w:rsid w:val="00711F46"/>
    <w:rsid w:val="00712198"/>
    <w:rsid w:val="007121B9"/>
    <w:rsid w:val="007123E8"/>
    <w:rsid w:val="0071251C"/>
    <w:rsid w:val="00712CAD"/>
    <w:rsid w:val="00712CAF"/>
    <w:rsid w:val="00713375"/>
    <w:rsid w:val="00713B22"/>
    <w:rsid w:val="00713E4A"/>
    <w:rsid w:val="00713E61"/>
    <w:rsid w:val="00713EF9"/>
    <w:rsid w:val="00714149"/>
    <w:rsid w:val="007141E6"/>
    <w:rsid w:val="00714E52"/>
    <w:rsid w:val="00715072"/>
    <w:rsid w:val="00715386"/>
    <w:rsid w:val="00715B57"/>
    <w:rsid w:val="00715E4D"/>
    <w:rsid w:val="00715E94"/>
    <w:rsid w:val="00715F2C"/>
    <w:rsid w:val="00715F35"/>
    <w:rsid w:val="0071641F"/>
    <w:rsid w:val="00716623"/>
    <w:rsid w:val="00716C58"/>
    <w:rsid w:val="007178CA"/>
    <w:rsid w:val="00717E65"/>
    <w:rsid w:val="0072000C"/>
    <w:rsid w:val="00720035"/>
    <w:rsid w:val="00720471"/>
    <w:rsid w:val="0072083A"/>
    <w:rsid w:val="00720C87"/>
    <w:rsid w:val="00720D7B"/>
    <w:rsid w:val="00721BCB"/>
    <w:rsid w:val="00721DEE"/>
    <w:rsid w:val="007221A3"/>
    <w:rsid w:val="00722402"/>
    <w:rsid w:val="00722A11"/>
    <w:rsid w:val="00722AF2"/>
    <w:rsid w:val="00722D50"/>
    <w:rsid w:val="00722EB7"/>
    <w:rsid w:val="007235C3"/>
    <w:rsid w:val="007237BB"/>
    <w:rsid w:val="00723DCB"/>
    <w:rsid w:val="00723F6F"/>
    <w:rsid w:val="0072453B"/>
    <w:rsid w:val="007246D0"/>
    <w:rsid w:val="007248D6"/>
    <w:rsid w:val="00724AF2"/>
    <w:rsid w:val="00724C01"/>
    <w:rsid w:val="00724D8A"/>
    <w:rsid w:val="00724E45"/>
    <w:rsid w:val="00724EAD"/>
    <w:rsid w:val="00725238"/>
    <w:rsid w:val="0072556D"/>
    <w:rsid w:val="0072557F"/>
    <w:rsid w:val="00725629"/>
    <w:rsid w:val="00725B76"/>
    <w:rsid w:val="00725FAF"/>
    <w:rsid w:val="0072603D"/>
    <w:rsid w:val="007263B4"/>
    <w:rsid w:val="007265EC"/>
    <w:rsid w:val="0072673E"/>
    <w:rsid w:val="007267E7"/>
    <w:rsid w:val="00727161"/>
    <w:rsid w:val="00727177"/>
    <w:rsid w:val="007279B7"/>
    <w:rsid w:val="00727A31"/>
    <w:rsid w:val="00727E52"/>
    <w:rsid w:val="007301AB"/>
    <w:rsid w:val="007302D6"/>
    <w:rsid w:val="007305F1"/>
    <w:rsid w:val="0073083E"/>
    <w:rsid w:val="00730863"/>
    <w:rsid w:val="00730DAC"/>
    <w:rsid w:val="007312C0"/>
    <w:rsid w:val="007319B9"/>
    <w:rsid w:val="007323E0"/>
    <w:rsid w:val="00732829"/>
    <w:rsid w:val="00732B12"/>
    <w:rsid w:val="00732BEE"/>
    <w:rsid w:val="00734294"/>
    <w:rsid w:val="00734927"/>
    <w:rsid w:val="00734C7C"/>
    <w:rsid w:val="00735890"/>
    <w:rsid w:val="00735AF3"/>
    <w:rsid w:val="00735E19"/>
    <w:rsid w:val="0073615A"/>
    <w:rsid w:val="007366AE"/>
    <w:rsid w:val="007368FC"/>
    <w:rsid w:val="00736ACC"/>
    <w:rsid w:val="00736C0C"/>
    <w:rsid w:val="00737054"/>
    <w:rsid w:val="0073710F"/>
    <w:rsid w:val="0073767E"/>
    <w:rsid w:val="007378B4"/>
    <w:rsid w:val="00737B37"/>
    <w:rsid w:val="007402DB"/>
    <w:rsid w:val="0074067B"/>
    <w:rsid w:val="00740B44"/>
    <w:rsid w:val="00740CD6"/>
    <w:rsid w:val="00740CDE"/>
    <w:rsid w:val="0074114B"/>
    <w:rsid w:val="00741265"/>
    <w:rsid w:val="00741690"/>
    <w:rsid w:val="007418E7"/>
    <w:rsid w:val="0074222A"/>
    <w:rsid w:val="0074275F"/>
    <w:rsid w:val="007427F9"/>
    <w:rsid w:val="00742C90"/>
    <w:rsid w:val="00742CA6"/>
    <w:rsid w:val="00742D90"/>
    <w:rsid w:val="00742FB7"/>
    <w:rsid w:val="0074303B"/>
    <w:rsid w:val="00743115"/>
    <w:rsid w:val="00743210"/>
    <w:rsid w:val="00743737"/>
    <w:rsid w:val="00744157"/>
    <w:rsid w:val="007448AD"/>
    <w:rsid w:val="00744AA1"/>
    <w:rsid w:val="00744C50"/>
    <w:rsid w:val="00745050"/>
    <w:rsid w:val="00745213"/>
    <w:rsid w:val="0074523D"/>
    <w:rsid w:val="00745D58"/>
    <w:rsid w:val="00745E70"/>
    <w:rsid w:val="0074624E"/>
    <w:rsid w:val="00746451"/>
    <w:rsid w:val="00746A3D"/>
    <w:rsid w:val="00746CAD"/>
    <w:rsid w:val="0074760A"/>
    <w:rsid w:val="00747831"/>
    <w:rsid w:val="00747E74"/>
    <w:rsid w:val="00750115"/>
    <w:rsid w:val="007503F6"/>
    <w:rsid w:val="00750C4C"/>
    <w:rsid w:val="00750D54"/>
    <w:rsid w:val="00750E6A"/>
    <w:rsid w:val="0075150B"/>
    <w:rsid w:val="00751BD5"/>
    <w:rsid w:val="0075243E"/>
    <w:rsid w:val="00752B33"/>
    <w:rsid w:val="00752EAA"/>
    <w:rsid w:val="007533DD"/>
    <w:rsid w:val="00753D76"/>
    <w:rsid w:val="00754131"/>
    <w:rsid w:val="00754CFB"/>
    <w:rsid w:val="007552F9"/>
    <w:rsid w:val="00755D2F"/>
    <w:rsid w:val="0075610B"/>
    <w:rsid w:val="00756184"/>
    <w:rsid w:val="007565F2"/>
    <w:rsid w:val="00756A61"/>
    <w:rsid w:val="00756DC5"/>
    <w:rsid w:val="0075724C"/>
    <w:rsid w:val="0075724E"/>
    <w:rsid w:val="0075743D"/>
    <w:rsid w:val="0075752F"/>
    <w:rsid w:val="00757BA9"/>
    <w:rsid w:val="007601C2"/>
    <w:rsid w:val="007608BC"/>
    <w:rsid w:val="00760BB2"/>
    <w:rsid w:val="007610E3"/>
    <w:rsid w:val="007614FF"/>
    <w:rsid w:val="00761580"/>
    <w:rsid w:val="00761ED1"/>
    <w:rsid w:val="00762009"/>
    <w:rsid w:val="00762488"/>
    <w:rsid w:val="0076260A"/>
    <w:rsid w:val="00762FA4"/>
    <w:rsid w:val="00763511"/>
    <w:rsid w:val="0076370C"/>
    <w:rsid w:val="007638DB"/>
    <w:rsid w:val="00763D69"/>
    <w:rsid w:val="007641EE"/>
    <w:rsid w:val="007646B4"/>
    <w:rsid w:val="00764852"/>
    <w:rsid w:val="0076494A"/>
    <w:rsid w:val="00764E1A"/>
    <w:rsid w:val="00764E52"/>
    <w:rsid w:val="00764F65"/>
    <w:rsid w:val="00764F88"/>
    <w:rsid w:val="00765198"/>
    <w:rsid w:val="007653F2"/>
    <w:rsid w:val="007656AC"/>
    <w:rsid w:val="00765C1A"/>
    <w:rsid w:val="00766180"/>
    <w:rsid w:val="007667C9"/>
    <w:rsid w:val="0076735A"/>
    <w:rsid w:val="00767798"/>
    <w:rsid w:val="0076783E"/>
    <w:rsid w:val="007706AF"/>
    <w:rsid w:val="007714BA"/>
    <w:rsid w:val="0077154F"/>
    <w:rsid w:val="007716FA"/>
    <w:rsid w:val="00771939"/>
    <w:rsid w:val="00772224"/>
    <w:rsid w:val="00772494"/>
    <w:rsid w:val="00772531"/>
    <w:rsid w:val="00773987"/>
    <w:rsid w:val="00774011"/>
    <w:rsid w:val="0077418D"/>
    <w:rsid w:val="007742C7"/>
    <w:rsid w:val="007742E4"/>
    <w:rsid w:val="00775C6D"/>
    <w:rsid w:val="00775E0E"/>
    <w:rsid w:val="00775F40"/>
    <w:rsid w:val="0077676D"/>
    <w:rsid w:val="007767E7"/>
    <w:rsid w:val="00776AB8"/>
    <w:rsid w:val="00776BFD"/>
    <w:rsid w:val="00776DAD"/>
    <w:rsid w:val="00776FE4"/>
    <w:rsid w:val="007771A9"/>
    <w:rsid w:val="00780B1D"/>
    <w:rsid w:val="00780F2F"/>
    <w:rsid w:val="00781194"/>
    <w:rsid w:val="00781388"/>
    <w:rsid w:val="00781C29"/>
    <w:rsid w:val="00781D38"/>
    <w:rsid w:val="00781D6F"/>
    <w:rsid w:val="00781E34"/>
    <w:rsid w:val="00781EF7"/>
    <w:rsid w:val="0078217F"/>
    <w:rsid w:val="007825F2"/>
    <w:rsid w:val="007826BC"/>
    <w:rsid w:val="00782910"/>
    <w:rsid w:val="00782B5F"/>
    <w:rsid w:val="00782BE1"/>
    <w:rsid w:val="0078349E"/>
    <w:rsid w:val="00783648"/>
    <w:rsid w:val="0078380B"/>
    <w:rsid w:val="0078398B"/>
    <w:rsid w:val="007839CA"/>
    <w:rsid w:val="00783A20"/>
    <w:rsid w:val="00783D2D"/>
    <w:rsid w:val="00785BBA"/>
    <w:rsid w:val="00785BE9"/>
    <w:rsid w:val="007865C0"/>
    <w:rsid w:val="007866E6"/>
    <w:rsid w:val="00786D36"/>
    <w:rsid w:val="007876E2"/>
    <w:rsid w:val="007877FA"/>
    <w:rsid w:val="0078780C"/>
    <w:rsid w:val="00790146"/>
    <w:rsid w:val="00790308"/>
    <w:rsid w:val="007904DF"/>
    <w:rsid w:val="00790540"/>
    <w:rsid w:val="00790716"/>
    <w:rsid w:val="00790CF2"/>
    <w:rsid w:val="007913A8"/>
    <w:rsid w:val="00791524"/>
    <w:rsid w:val="00791A07"/>
    <w:rsid w:val="007921AC"/>
    <w:rsid w:val="0079252E"/>
    <w:rsid w:val="00792B9A"/>
    <w:rsid w:val="0079300A"/>
    <w:rsid w:val="007930B1"/>
    <w:rsid w:val="007930F4"/>
    <w:rsid w:val="007933BF"/>
    <w:rsid w:val="00793AD0"/>
    <w:rsid w:val="00793B23"/>
    <w:rsid w:val="00793B4B"/>
    <w:rsid w:val="00793ECE"/>
    <w:rsid w:val="0079407A"/>
    <w:rsid w:val="0079416E"/>
    <w:rsid w:val="007942AC"/>
    <w:rsid w:val="007942FF"/>
    <w:rsid w:val="00794E69"/>
    <w:rsid w:val="0079511A"/>
    <w:rsid w:val="007952CD"/>
    <w:rsid w:val="007958D1"/>
    <w:rsid w:val="00795BFC"/>
    <w:rsid w:val="00796349"/>
    <w:rsid w:val="0079682A"/>
    <w:rsid w:val="007969FB"/>
    <w:rsid w:val="00797DDA"/>
    <w:rsid w:val="00797FC1"/>
    <w:rsid w:val="007A018A"/>
    <w:rsid w:val="007A0956"/>
    <w:rsid w:val="007A0B32"/>
    <w:rsid w:val="007A1240"/>
    <w:rsid w:val="007A1633"/>
    <w:rsid w:val="007A22C1"/>
    <w:rsid w:val="007A24BC"/>
    <w:rsid w:val="007A2C2E"/>
    <w:rsid w:val="007A2D2B"/>
    <w:rsid w:val="007A2E74"/>
    <w:rsid w:val="007A3115"/>
    <w:rsid w:val="007A4182"/>
    <w:rsid w:val="007A4AB2"/>
    <w:rsid w:val="007A4D3B"/>
    <w:rsid w:val="007A51B3"/>
    <w:rsid w:val="007A5380"/>
    <w:rsid w:val="007A5ECD"/>
    <w:rsid w:val="007A608C"/>
    <w:rsid w:val="007A6158"/>
    <w:rsid w:val="007A65A4"/>
    <w:rsid w:val="007A6613"/>
    <w:rsid w:val="007A6AA5"/>
    <w:rsid w:val="007A6C9F"/>
    <w:rsid w:val="007A7195"/>
    <w:rsid w:val="007A74AF"/>
    <w:rsid w:val="007A7F06"/>
    <w:rsid w:val="007B03E3"/>
    <w:rsid w:val="007B0863"/>
    <w:rsid w:val="007B0F87"/>
    <w:rsid w:val="007B1938"/>
    <w:rsid w:val="007B1EC5"/>
    <w:rsid w:val="007B2983"/>
    <w:rsid w:val="007B2D67"/>
    <w:rsid w:val="007B32B5"/>
    <w:rsid w:val="007B3C61"/>
    <w:rsid w:val="007B3D50"/>
    <w:rsid w:val="007B3D9F"/>
    <w:rsid w:val="007B3DA9"/>
    <w:rsid w:val="007B46F5"/>
    <w:rsid w:val="007B4902"/>
    <w:rsid w:val="007B4F3F"/>
    <w:rsid w:val="007B5141"/>
    <w:rsid w:val="007B58D1"/>
    <w:rsid w:val="007B590D"/>
    <w:rsid w:val="007B61AF"/>
    <w:rsid w:val="007B640A"/>
    <w:rsid w:val="007B6D0F"/>
    <w:rsid w:val="007B6D97"/>
    <w:rsid w:val="007B7232"/>
    <w:rsid w:val="007B72B1"/>
    <w:rsid w:val="007B748F"/>
    <w:rsid w:val="007B755A"/>
    <w:rsid w:val="007B7808"/>
    <w:rsid w:val="007B7A52"/>
    <w:rsid w:val="007C01C6"/>
    <w:rsid w:val="007C03CA"/>
    <w:rsid w:val="007C090C"/>
    <w:rsid w:val="007C10CB"/>
    <w:rsid w:val="007C1BD0"/>
    <w:rsid w:val="007C1D8F"/>
    <w:rsid w:val="007C201F"/>
    <w:rsid w:val="007C218A"/>
    <w:rsid w:val="007C2194"/>
    <w:rsid w:val="007C22B9"/>
    <w:rsid w:val="007C252A"/>
    <w:rsid w:val="007C327B"/>
    <w:rsid w:val="007C329F"/>
    <w:rsid w:val="007C34C9"/>
    <w:rsid w:val="007C358B"/>
    <w:rsid w:val="007C35DC"/>
    <w:rsid w:val="007C39F5"/>
    <w:rsid w:val="007C3EBA"/>
    <w:rsid w:val="007C40E0"/>
    <w:rsid w:val="007C4275"/>
    <w:rsid w:val="007C472D"/>
    <w:rsid w:val="007C4E47"/>
    <w:rsid w:val="007C532B"/>
    <w:rsid w:val="007C538D"/>
    <w:rsid w:val="007C5AC8"/>
    <w:rsid w:val="007C5D30"/>
    <w:rsid w:val="007C6289"/>
    <w:rsid w:val="007C6392"/>
    <w:rsid w:val="007C6532"/>
    <w:rsid w:val="007C6AB7"/>
    <w:rsid w:val="007C6BD5"/>
    <w:rsid w:val="007C6E25"/>
    <w:rsid w:val="007C6FF2"/>
    <w:rsid w:val="007C7069"/>
    <w:rsid w:val="007C73E5"/>
    <w:rsid w:val="007C7716"/>
    <w:rsid w:val="007D0A78"/>
    <w:rsid w:val="007D1048"/>
    <w:rsid w:val="007D107B"/>
    <w:rsid w:val="007D15D1"/>
    <w:rsid w:val="007D18A2"/>
    <w:rsid w:val="007D1FDC"/>
    <w:rsid w:val="007D22E4"/>
    <w:rsid w:val="007D2443"/>
    <w:rsid w:val="007D2809"/>
    <w:rsid w:val="007D2C58"/>
    <w:rsid w:val="007D2FA2"/>
    <w:rsid w:val="007D343C"/>
    <w:rsid w:val="007D3ADE"/>
    <w:rsid w:val="007D3B80"/>
    <w:rsid w:val="007D402C"/>
    <w:rsid w:val="007D402D"/>
    <w:rsid w:val="007D50F9"/>
    <w:rsid w:val="007D5373"/>
    <w:rsid w:val="007D5688"/>
    <w:rsid w:val="007D59BD"/>
    <w:rsid w:val="007D5AB1"/>
    <w:rsid w:val="007D681F"/>
    <w:rsid w:val="007D70E4"/>
    <w:rsid w:val="007D7106"/>
    <w:rsid w:val="007D7237"/>
    <w:rsid w:val="007D7807"/>
    <w:rsid w:val="007D7FE3"/>
    <w:rsid w:val="007E05F0"/>
    <w:rsid w:val="007E0A23"/>
    <w:rsid w:val="007E1375"/>
    <w:rsid w:val="007E188C"/>
    <w:rsid w:val="007E22F6"/>
    <w:rsid w:val="007E2786"/>
    <w:rsid w:val="007E29C2"/>
    <w:rsid w:val="007E2C59"/>
    <w:rsid w:val="007E312C"/>
    <w:rsid w:val="007E37CC"/>
    <w:rsid w:val="007E39FE"/>
    <w:rsid w:val="007E3F4B"/>
    <w:rsid w:val="007E4813"/>
    <w:rsid w:val="007E4E05"/>
    <w:rsid w:val="007E51EE"/>
    <w:rsid w:val="007E66A1"/>
    <w:rsid w:val="007E7A28"/>
    <w:rsid w:val="007E7F22"/>
    <w:rsid w:val="007F0455"/>
    <w:rsid w:val="007F046F"/>
    <w:rsid w:val="007F068D"/>
    <w:rsid w:val="007F0C23"/>
    <w:rsid w:val="007F0C49"/>
    <w:rsid w:val="007F0CD3"/>
    <w:rsid w:val="007F0D09"/>
    <w:rsid w:val="007F11D6"/>
    <w:rsid w:val="007F17ED"/>
    <w:rsid w:val="007F1EE7"/>
    <w:rsid w:val="007F1FCB"/>
    <w:rsid w:val="007F23FD"/>
    <w:rsid w:val="007F2724"/>
    <w:rsid w:val="007F327E"/>
    <w:rsid w:val="007F3711"/>
    <w:rsid w:val="007F3730"/>
    <w:rsid w:val="007F3919"/>
    <w:rsid w:val="007F3F35"/>
    <w:rsid w:val="007F4656"/>
    <w:rsid w:val="007F46CB"/>
    <w:rsid w:val="007F47A1"/>
    <w:rsid w:val="007F4D6C"/>
    <w:rsid w:val="007F585E"/>
    <w:rsid w:val="007F58E2"/>
    <w:rsid w:val="007F645D"/>
    <w:rsid w:val="007F69A6"/>
    <w:rsid w:val="007F6B0D"/>
    <w:rsid w:val="007F6B22"/>
    <w:rsid w:val="007F70A9"/>
    <w:rsid w:val="007F7101"/>
    <w:rsid w:val="007F74F6"/>
    <w:rsid w:val="007F78FA"/>
    <w:rsid w:val="007F795F"/>
    <w:rsid w:val="007F7B76"/>
    <w:rsid w:val="007F7B89"/>
    <w:rsid w:val="007F7CA0"/>
    <w:rsid w:val="00800A6A"/>
    <w:rsid w:val="00800DA6"/>
    <w:rsid w:val="0080184A"/>
    <w:rsid w:val="008019CD"/>
    <w:rsid w:val="00801ADB"/>
    <w:rsid w:val="00801C87"/>
    <w:rsid w:val="00801CCB"/>
    <w:rsid w:val="00802384"/>
    <w:rsid w:val="008023B1"/>
    <w:rsid w:val="00802C8B"/>
    <w:rsid w:val="0080374D"/>
    <w:rsid w:val="0080382D"/>
    <w:rsid w:val="00803B9C"/>
    <w:rsid w:val="00803FB4"/>
    <w:rsid w:val="00804425"/>
    <w:rsid w:val="00804694"/>
    <w:rsid w:val="00804E46"/>
    <w:rsid w:val="00804E66"/>
    <w:rsid w:val="00805362"/>
    <w:rsid w:val="008053BB"/>
    <w:rsid w:val="0080591C"/>
    <w:rsid w:val="00805953"/>
    <w:rsid w:val="00805B90"/>
    <w:rsid w:val="00805C2B"/>
    <w:rsid w:val="0080604E"/>
    <w:rsid w:val="00806222"/>
    <w:rsid w:val="0080633D"/>
    <w:rsid w:val="00806343"/>
    <w:rsid w:val="008064DC"/>
    <w:rsid w:val="00806677"/>
    <w:rsid w:val="00806950"/>
    <w:rsid w:val="00806C60"/>
    <w:rsid w:val="00806E28"/>
    <w:rsid w:val="00806F5C"/>
    <w:rsid w:val="00807265"/>
    <w:rsid w:val="00807654"/>
    <w:rsid w:val="008076B3"/>
    <w:rsid w:val="008079AC"/>
    <w:rsid w:val="00810062"/>
    <w:rsid w:val="0081082E"/>
    <w:rsid w:val="00811D0D"/>
    <w:rsid w:val="00811FDE"/>
    <w:rsid w:val="00811FEA"/>
    <w:rsid w:val="008126DC"/>
    <w:rsid w:val="008127A4"/>
    <w:rsid w:val="00812A22"/>
    <w:rsid w:val="00812EF2"/>
    <w:rsid w:val="00813510"/>
    <w:rsid w:val="00813733"/>
    <w:rsid w:val="00813921"/>
    <w:rsid w:val="00813DAC"/>
    <w:rsid w:val="0081424C"/>
    <w:rsid w:val="0081461D"/>
    <w:rsid w:val="00814A1D"/>
    <w:rsid w:val="00814E81"/>
    <w:rsid w:val="00815295"/>
    <w:rsid w:val="008152C5"/>
    <w:rsid w:val="008161DB"/>
    <w:rsid w:val="00816273"/>
    <w:rsid w:val="00816A27"/>
    <w:rsid w:val="00816C92"/>
    <w:rsid w:val="008172A4"/>
    <w:rsid w:val="00817323"/>
    <w:rsid w:val="00817445"/>
    <w:rsid w:val="00817B36"/>
    <w:rsid w:val="00817C41"/>
    <w:rsid w:val="00817CCD"/>
    <w:rsid w:val="00817F2F"/>
    <w:rsid w:val="00820381"/>
    <w:rsid w:val="008203BC"/>
    <w:rsid w:val="008203D1"/>
    <w:rsid w:val="0082060C"/>
    <w:rsid w:val="0082066C"/>
    <w:rsid w:val="00820EF6"/>
    <w:rsid w:val="008219B7"/>
    <w:rsid w:val="00821B3C"/>
    <w:rsid w:val="00821B70"/>
    <w:rsid w:val="00821D8A"/>
    <w:rsid w:val="0082208D"/>
    <w:rsid w:val="008222FC"/>
    <w:rsid w:val="00822946"/>
    <w:rsid w:val="008229FD"/>
    <w:rsid w:val="00823076"/>
    <w:rsid w:val="008230A8"/>
    <w:rsid w:val="00823552"/>
    <w:rsid w:val="008235D7"/>
    <w:rsid w:val="00823669"/>
    <w:rsid w:val="0082370E"/>
    <w:rsid w:val="00823888"/>
    <w:rsid w:val="00823D46"/>
    <w:rsid w:val="00823D92"/>
    <w:rsid w:val="00823FBE"/>
    <w:rsid w:val="008248AF"/>
    <w:rsid w:val="0082495F"/>
    <w:rsid w:val="00824C72"/>
    <w:rsid w:val="00824CB3"/>
    <w:rsid w:val="00824F1A"/>
    <w:rsid w:val="00825B0B"/>
    <w:rsid w:val="00825F56"/>
    <w:rsid w:val="00826080"/>
    <w:rsid w:val="0082641A"/>
    <w:rsid w:val="0082682A"/>
    <w:rsid w:val="00826AEB"/>
    <w:rsid w:val="00826E4A"/>
    <w:rsid w:val="00827265"/>
    <w:rsid w:val="00827ACF"/>
    <w:rsid w:val="00827DEE"/>
    <w:rsid w:val="00827E78"/>
    <w:rsid w:val="00827EA0"/>
    <w:rsid w:val="00830B6F"/>
    <w:rsid w:val="008310D8"/>
    <w:rsid w:val="00831651"/>
    <w:rsid w:val="008316CA"/>
    <w:rsid w:val="008319D3"/>
    <w:rsid w:val="00831EB0"/>
    <w:rsid w:val="00831F61"/>
    <w:rsid w:val="0083218E"/>
    <w:rsid w:val="00832273"/>
    <w:rsid w:val="00833547"/>
    <w:rsid w:val="008335BF"/>
    <w:rsid w:val="00833A92"/>
    <w:rsid w:val="00833C27"/>
    <w:rsid w:val="00833D2F"/>
    <w:rsid w:val="00835159"/>
    <w:rsid w:val="00835408"/>
    <w:rsid w:val="00835D7F"/>
    <w:rsid w:val="00835F20"/>
    <w:rsid w:val="008360BD"/>
    <w:rsid w:val="00836C15"/>
    <w:rsid w:val="00836DA5"/>
    <w:rsid w:val="00837570"/>
    <w:rsid w:val="00837716"/>
    <w:rsid w:val="00837CDA"/>
    <w:rsid w:val="0084018F"/>
    <w:rsid w:val="008404EA"/>
    <w:rsid w:val="0084059B"/>
    <w:rsid w:val="008410BC"/>
    <w:rsid w:val="008414DC"/>
    <w:rsid w:val="00841B4C"/>
    <w:rsid w:val="00841DFF"/>
    <w:rsid w:val="00841F67"/>
    <w:rsid w:val="00841F68"/>
    <w:rsid w:val="00841F93"/>
    <w:rsid w:val="008423E7"/>
    <w:rsid w:val="0084242F"/>
    <w:rsid w:val="0084292D"/>
    <w:rsid w:val="00842C80"/>
    <w:rsid w:val="00842D1D"/>
    <w:rsid w:val="00842E10"/>
    <w:rsid w:val="008431CE"/>
    <w:rsid w:val="008437B9"/>
    <w:rsid w:val="00843EF4"/>
    <w:rsid w:val="00844927"/>
    <w:rsid w:val="00844A42"/>
    <w:rsid w:val="0084588E"/>
    <w:rsid w:val="00845ACB"/>
    <w:rsid w:val="00846435"/>
    <w:rsid w:val="00846741"/>
    <w:rsid w:val="008468D8"/>
    <w:rsid w:val="00846B6F"/>
    <w:rsid w:val="00846B7D"/>
    <w:rsid w:val="00846BDD"/>
    <w:rsid w:val="0084717C"/>
    <w:rsid w:val="00847266"/>
    <w:rsid w:val="00847503"/>
    <w:rsid w:val="008476C4"/>
    <w:rsid w:val="0084799C"/>
    <w:rsid w:val="00847A59"/>
    <w:rsid w:val="00847E09"/>
    <w:rsid w:val="008504B0"/>
    <w:rsid w:val="00851AA4"/>
    <w:rsid w:val="00851B0F"/>
    <w:rsid w:val="00851E42"/>
    <w:rsid w:val="00852A06"/>
    <w:rsid w:val="00853005"/>
    <w:rsid w:val="00853496"/>
    <w:rsid w:val="008534D2"/>
    <w:rsid w:val="00853571"/>
    <w:rsid w:val="00853CD3"/>
    <w:rsid w:val="00855291"/>
    <w:rsid w:val="00855B2B"/>
    <w:rsid w:val="008562FB"/>
    <w:rsid w:val="00856419"/>
    <w:rsid w:val="00856437"/>
    <w:rsid w:val="00856AA9"/>
    <w:rsid w:val="00857212"/>
    <w:rsid w:val="0085758E"/>
    <w:rsid w:val="008577F4"/>
    <w:rsid w:val="0085795A"/>
    <w:rsid w:val="00857C7E"/>
    <w:rsid w:val="00857DEF"/>
    <w:rsid w:val="00857F82"/>
    <w:rsid w:val="00860033"/>
    <w:rsid w:val="008601E7"/>
    <w:rsid w:val="00860384"/>
    <w:rsid w:val="00860452"/>
    <w:rsid w:val="00860540"/>
    <w:rsid w:val="00860854"/>
    <w:rsid w:val="00860C78"/>
    <w:rsid w:val="008610C8"/>
    <w:rsid w:val="00861732"/>
    <w:rsid w:val="00861ACB"/>
    <w:rsid w:val="00861AFC"/>
    <w:rsid w:val="00861B84"/>
    <w:rsid w:val="00861D20"/>
    <w:rsid w:val="008621DF"/>
    <w:rsid w:val="00862510"/>
    <w:rsid w:val="00862B4D"/>
    <w:rsid w:val="00863017"/>
    <w:rsid w:val="0086304C"/>
    <w:rsid w:val="0086323A"/>
    <w:rsid w:val="0086364E"/>
    <w:rsid w:val="00863849"/>
    <w:rsid w:val="00863A82"/>
    <w:rsid w:val="00863D2C"/>
    <w:rsid w:val="008644F9"/>
    <w:rsid w:val="0086593B"/>
    <w:rsid w:val="00865A19"/>
    <w:rsid w:val="00865E16"/>
    <w:rsid w:val="008662AC"/>
    <w:rsid w:val="0086654D"/>
    <w:rsid w:val="008665E8"/>
    <w:rsid w:val="00866915"/>
    <w:rsid w:val="00866EDE"/>
    <w:rsid w:val="00866FFC"/>
    <w:rsid w:val="00867073"/>
    <w:rsid w:val="00867509"/>
    <w:rsid w:val="00867528"/>
    <w:rsid w:val="00867707"/>
    <w:rsid w:val="0086788C"/>
    <w:rsid w:val="00867ED4"/>
    <w:rsid w:val="008702D0"/>
    <w:rsid w:val="0087048C"/>
    <w:rsid w:val="008707B5"/>
    <w:rsid w:val="0087116C"/>
    <w:rsid w:val="00871B8E"/>
    <w:rsid w:val="00871F3A"/>
    <w:rsid w:val="00872007"/>
    <w:rsid w:val="0087224C"/>
    <w:rsid w:val="008735AC"/>
    <w:rsid w:val="0087424A"/>
    <w:rsid w:val="008746FB"/>
    <w:rsid w:val="0087471B"/>
    <w:rsid w:val="00874D89"/>
    <w:rsid w:val="00875131"/>
    <w:rsid w:val="008752C9"/>
    <w:rsid w:val="0087547E"/>
    <w:rsid w:val="00875607"/>
    <w:rsid w:val="0087579D"/>
    <w:rsid w:val="00875AA5"/>
    <w:rsid w:val="00875DDF"/>
    <w:rsid w:val="00876098"/>
    <w:rsid w:val="00876A03"/>
    <w:rsid w:val="00876AED"/>
    <w:rsid w:val="00876BAD"/>
    <w:rsid w:val="00876BC7"/>
    <w:rsid w:val="00876C76"/>
    <w:rsid w:val="00877188"/>
    <w:rsid w:val="00877206"/>
    <w:rsid w:val="00877500"/>
    <w:rsid w:val="00877A04"/>
    <w:rsid w:val="00877CB3"/>
    <w:rsid w:val="00877F72"/>
    <w:rsid w:val="0088044E"/>
    <w:rsid w:val="00880514"/>
    <w:rsid w:val="00881510"/>
    <w:rsid w:val="00881742"/>
    <w:rsid w:val="008817B7"/>
    <w:rsid w:val="008817F3"/>
    <w:rsid w:val="00881BE1"/>
    <w:rsid w:val="00881DFC"/>
    <w:rsid w:val="00881E55"/>
    <w:rsid w:val="00881F41"/>
    <w:rsid w:val="00881F55"/>
    <w:rsid w:val="008821D3"/>
    <w:rsid w:val="008822E2"/>
    <w:rsid w:val="00882472"/>
    <w:rsid w:val="00882ADE"/>
    <w:rsid w:val="00882F4A"/>
    <w:rsid w:val="008836BB"/>
    <w:rsid w:val="00883C6E"/>
    <w:rsid w:val="00883D56"/>
    <w:rsid w:val="00883DFA"/>
    <w:rsid w:val="008841DA"/>
    <w:rsid w:val="00884268"/>
    <w:rsid w:val="0088518E"/>
    <w:rsid w:val="00885320"/>
    <w:rsid w:val="008853E8"/>
    <w:rsid w:val="008857CA"/>
    <w:rsid w:val="008859B0"/>
    <w:rsid w:val="00885A8F"/>
    <w:rsid w:val="00885D56"/>
    <w:rsid w:val="0088643E"/>
    <w:rsid w:val="00886731"/>
    <w:rsid w:val="0088682B"/>
    <w:rsid w:val="008868AF"/>
    <w:rsid w:val="00886B62"/>
    <w:rsid w:val="00886BC5"/>
    <w:rsid w:val="00886D06"/>
    <w:rsid w:val="00887048"/>
    <w:rsid w:val="0088706F"/>
    <w:rsid w:val="008870AD"/>
    <w:rsid w:val="008871B6"/>
    <w:rsid w:val="00887563"/>
    <w:rsid w:val="00887634"/>
    <w:rsid w:val="0088790E"/>
    <w:rsid w:val="00887EDD"/>
    <w:rsid w:val="008903C2"/>
    <w:rsid w:val="008907BE"/>
    <w:rsid w:val="00890978"/>
    <w:rsid w:val="00890E00"/>
    <w:rsid w:val="00891166"/>
    <w:rsid w:val="008914D3"/>
    <w:rsid w:val="008918D8"/>
    <w:rsid w:val="00891963"/>
    <w:rsid w:val="00891D90"/>
    <w:rsid w:val="0089205F"/>
    <w:rsid w:val="00892C48"/>
    <w:rsid w:val="00892D6C"/>
    <w:rsid w:val="008931F3"/>
    <w:rsid w:val="00893A25"/>
    <w:rsid w:val="00893C75"/>
    <w:rsid w:val="00893CCF"/>
    <w:rsid w:val="0089404B"/>
    <w:rsid w:val="008940E9"/>
    <w:rsid w:val="008948C4"/>
    <w:rsid w:val="00894991"/>
    <w:rsid w:val="0089521F"/>
    <w:rsid w:val="008953D0"/>
    <w:rsid w:val="00895E02"/>
    <w:rsid w:val="00895E9F"/>
    <w:rsid w:val="00895EA7"/>
    <w:rsid w:val="00896252"/>
    <w:rsid w:val="008962E0"/>
    <w:rsid w:val="0089632F"/>
    <w:rsid w:val="008963BC"/>
    <w:rsid w:val="008965C1"/>
    <w:rsid w:val="008967F1"/>
    <w:rsid w:val="00896B1E"/>
    <w:rsid w:val="0089710D"/>
    <w:rsid w:val="008972CC"/>
    <w:rsid w:val="00897B5C"/>
    <w:rsid w:val="00897CA2"/>
    <w:rsid w:val="00897FA8"/>
    <w:rsid w:val="008A0FC4"/>
    <w:rsid w:val="008A18AC"/>
    <w:rsid w:val="008A18AE"/>
    <w:rsid w:val="008A18B7"/>
    <w:rsid w:val="008A1AB0"/>
    <w:rsid w:val="008A1C7A"/>
    <w:rsid w:val="008A1D08"/>
    <w:rsid w:val="008A232D"/>
    <w:rsid w:val="008A24A3"/>
    <w:rsid w:val="008A2536"/>
    <w:rsid w:val="008A317E"/>
    <w:rsid w:val="008A3AFF"/>
    <w:rsid w:val="008A3DC2"/>
    <w:rsid w:val="008A43D9"/>
    <w:rsid w:val="008A48F3"/>
    <w:rsid w:val="008A4CCF"/>
    <w:rsid w:val="008A4DE9"/>
    <w:rsid w:val="008A54A4"/>
    <w:rsid w:val="008A5ABB"/>
    <w:rsid w:val="008A5E6E"/>
    <w:rsid w:val="008A5FAE"/>
    <w:rsid w:val="008A6098"/>
    <w:rsid w:val="008A60CC"/>
    <w:rsid w:val="008A6391"/>
    <w:rsid w:val="008A64D1"/>
    <w:rsid w:val="008A66CE"/>
    <w:rsid w:val="008A72D2"/>
    <w:rsid w:val="008A73FA"/>
    <w:rsid w:val="008A77F9"/>
    <w:rsid w:val="008A7B94"/>
    <w:rsid w:val="008A7E61"/>
    <w:rsid w:val="008B0158"/>
    <w:rsid w:val="008B0B0A"/>
    <w:rsid w:val="008B0E9D"/>
    <w:rsid w:val="008B0F31"/>
    <w:rsid w:val="008B1440"/>
    <w:rsid w:val="008B2B16"/>
    <w:rsid w:val="008B2BD6"/>
    <w:rsid w:val="008B3840"/>
    <w:rsid w:val="008B385D"/>
    <w:rsid w:val="008B3976"/>
    <w:rsid w:val="008B3EF0"/>
    <w:rsid w:val="008B4158"/>
    <w:rsid w:val="008B44BE"/>
    <w:rsid w:val="008B486A"/>
    <w:rsid w:val="008B4C6D"/>
    <w:rsid w:val="008B4CE1"/>
    <w:rsid w:val="008B53E5"/>
    <w:rsid w:val="008B5CB0"/>
    <w:rsid w:val="008B5DDB"/>
    <w:rsid w:val="008B6272"/>
    <w:rsid w:val="008B628C"/>
    <w:rsid w:val="008B63CC"/>
    <w:rsid w:val="008B66DD"/>
    <w:rsid w:val="008B676D"/>
    <w:rsid w:val="008B6986"/>
    <w:rsid w:val="008B6FFA"/>
    <w:rsid w:val="008B79B5"/>
    <w:rsid w:val="008C0955"/>
    <w:rsid w:val="008C0C2B"/>
    <w:rsid w:val="008C0CA6"/>
    <w:rsid w:val="008C1502"/>
    <w:rsid w:val="008C170F"/>
    <w:rsid w:val="008C1B55"/>
    <w:rsid w:val="008C1D65"/>
    <w:rsid w:val="008C2340"/>
    <w:rsid w:val="008C2351"/>
    <w:rsid w:val="008C2577"/>
    <w:rsid w:val="008C3439"/>
    <w:rsid w:val="008C3663"/>
    <w:rsid w:val="008C37CD"/>
    <w:rsid w:val="008C4267"/>
    <w:rsid w:val="008C42EF"/>
    <w:rsid w:val="008C4670"/>
    <w:rsid w:val="008C4A89"/>
    <w:rsid w:val="008C52CD"/>
    <w:rsid w:val="008C5413"/>
    <w:rsid w:val="008C57F1"/>
    <w:rsid w:val="008C5E1C"/>
    <w:rsid w:val="008C6113"/>
    <w:rsid w:val="008C64DB"/>
    <w:rsid w:val="008C74CA"/>
    <w:rsid w:val="008C7EC3"/>
    <w:rsid w:val="008C7F47"/>
    <w:rsid w:val="008D0B0E"/>
    <w:rsid w:val="008D0B6D"/>
    <w:rsid w:val="008D16EC"/>
    <w:rsid w:val="008D1A5F"/>
    <w:rsid w:val="008D22F8"/>
    <w:rsid w:val="008D240E"/>
    <w:rsid w:val="008D2422"/>
    <w:rsid w:val="008D292B"/>
    <w:rsid w:val="008D295F"/>
    <w:rsid w:val="008D2B58"/>
    <w:rsid w:val="008D2CCB"/>
    <w:rsid w:val="008D2F78"/>
    <w:rsid w:val="008D31D3"/>
    <w:rsid w:val="008D3815"/>
    <w:rsid w:val="008D38D2"/>
    <w:rsid w:val="008D3A7F"/>
    <w:rsid w:val="008D3F04"/>
    <w:rsid w:val="008D4059"/>
    <w:rsid w:val="008D44D5"/>
    <w:rsid w:val="008D45AF"/>
    <w:rsid w:val="008D491F"/>
    <w:rsid w:val="008D4B81"/>
    <w:rsid w:val="008D4BC1"/>
    <w:rsid w:val="008D501F"/>
    <w:rsid w:val="008D512E"/>
    <w:rsid w:val="008D523C"/>
    <w:rsid w:val="008D53D3"/>
    <w:rsid w:val="008D53E4"/>
    <w:rsid w:val="008D55B5"/>
    <w:rsid w:val="008D5992"/>
    <w:rsid w:val="008D6017"/>
    <w:rsid w:val="008D608E"/>
    <w:rsid w:val="008D60BC"/>
    <w:rsid w:val="008D6505"/>
    <w:rsid w:val="008D6ED3"/>
    <w:rsid w:val="008D76FE"/>
    <w:rsid w:val="008D7ABE"/>
    <w:rsid w:val="008E00A1"/>
    <w:rsid w:val="008E02FA"/>
    <w:rsid w:val="008E0CDE"/>
    <w:rsid w:val="008E0F6D"/>
    <w:rsid w:val="008E109D"/>
    <w:rsid w:val="008E1110"/>
    <w:rsid w:val="008E1A39"/>
    <w:rsid w:val="008E1BB1"/>
    <w:rsid w:val="008E1FF5"/>
    <w:rsid w:val="008E204C"/>
    <w:rsid w:val="008E2109"/>
    <w:rsid w:val="008E250B"/>
    <w:rsid w:val="008E260B"/>
    <w:rsid w:val="008E2D06"/>
    <w:rsid w:val="008E420F"/>
    <w:rsid w:val="008E4750"/>
    <w:rsid w:val="008E4A0A"/>
    <w:rsid w:val="008E4D3E"/>
    <w:rsid w:val="008E4D6F"/>
    <w:rsid w:val="008E50CE"/>
    <w:rsid w:val="008E5416"/>
    <w:rsid w:val="008E571C"/>
    <w:rsid w:val="008E5DE6"/>
    <w:rsid w:val="008E5E3F"/>
    <w:rsid w:val="008E6539"/>
    <w:rsid w:val="008E6AF2"/>
    <w:rsid w:val="008E6BAC"/>
    <w:rsid w:val="008E6D07"/>
    <w:rsid w:val="008E6F45"/>
    <w:rsid w:val="008E6F73"/>
    <w:rsid w:val="008E7AE7"/>
    <w:rsid w:val="008F005E"/>
    <w:rsid w:val="008F024C"/>
    <w:rsid w:val="008F03BE"/>
    <w:rsid w:val="008F03D2"/>
    <w:rsid w:val="008F0AC8"/>
    <w:rsid w:val="008F0AD4"/>
    <w:rsid w:val="008F0C3B"/>
    <w:rsid w:val="008F11EC"/>
    <w:rsid w:val="008F1280"/>
    <w:rsid w:val="008F195D"/>
    <w:rsid w:val="008F1A1F"/>
    <w:rsid w:val="008F1B63"/>
    <w:rsid w:val="008F1CC2"/>
    <w:rsid w:val="008F1CDE"/>
    <w:rsid w:val="008F1E3E"/>
    <w:rsid w:val="008F1FBD"/>
    <w:rsid w:val="008F2503"/>
    <w:rsid w:val="008F286A"/>
    <w:rsid w:val="008F2992"/>
    <w:rsid w:val="008F2B38"/>
    <w:rsid w:val="008F2CA4"/>
    <w:rsid w:val="008F35E9"/>
    <w:rsid w:val="008F374F"/>
    <w:rsid w:val="008F3A08"/>
    <w:rsid w:val="008F3CFD"/>
    <w:rsid w:val="008F3E80"/>
    <w:rsid w:val="008F4289"/>
    <w:rsid w:val="008F44A0"/>
    <w:rsid w:val="008F4B49"/>
    <w:rsid w:val="008F4D27"/>
    <w:rsid w:val="008F55A7"/>
    <w:rsid w:val="008F633E"/>
    <w:rsid w:val="008F652E"/>
    <w:rsid w:val="008F683C"/>
    <w:rsid w:val="008F68A5"/>
    <w:rsid w:val="008F6BBA"/>
    <w:rsid w:val="008F6D7A"/>
    <w:rsid w:val="008F7DB6"/>
    <w:rsid w:val="008F7F65"/>
    <w:rsid w:val="009008E4"/>
    <w:rsid w:val="00900B37"/>
    <w:rsid w:val="00900BBE"/>
    <w:rsid w:val="00900C98"/>
    <w:rsid w:val="0090110A"/>
    <w:rsid w:val="00901593"/>
    <w:rsid w:val="00901853"/>
    <w:rsid w:val="00901F11"/>
    <w:rsid w:val="00901F5A"/>
    <w:rsid w:val="009023FA"/>
    <w:rsid w:val="00902B98"/>
    <w:rsid w:val="00902F6D"/>
    <w:rsid w:val="00902FDC"/>
    <w:rsid w:val="00903265"/>
    <w:rsid w:val="00903633"/>
    <w:rsid w:val="00903810"/>
    <w:rsid w:val="00903CC1"/>
    <w:rsid w:val="00903D72"/>
    <w:rsid w:val="00903F40"/>
    <w:rsid w:val="0090401F"/>
    <w:rsid w:val="009040D8"/>
    <w:rsid w:val="0090455E"/>
    <w:rsid w:val="00904816"/>
    <w:rsid w:val="00904900"/>
    <w:rsid w:val="0090589B"/>
    <w:rsid w:val="00905AE4"/>
    <w:rsid w:val="00905D23"/>
    <w:rsid w:val="0090653C"/>
    <w:rsid w:val="009069D8"/>
    <w:rsid w:val="009071FF"/>
    <w:rsid w:val="00907913"/>
    <w:rsid w:val="00907EAA"/>
    <w:rsid w:val="009100DF"/>
    <w:rsid w:val="00910178"/>
    <w:rsid w:val="00910814"/>
    <w:rsid w:val="00910824"/>
    <w:rsid w:val="00910B7B"/>
    <w:rsid w:val="0091149B"/>
    <w:rsid w:val="00911867"/>
    <w:rsid w:val="00911C00"/>
    <w:rsid w:val="00911E1B"/>
    <w:rsid w:val="00911F95"/>
    <w:rsid w:val="00912018"/>
    <w:rsid w:val="009123B8"/>
    <w:rsid w:val="009127A7"/>
    <w:rsid w:val="00912F91"/>
    <w:rsid w:val="0091308B"/>
    <w:rsid w:val="00913F34"/>
    <w:rsid w:val="00914301"/>
    <w:rsid w:val="00915302"/>
    <w:rsid w:val="00915435"/>
    <w:rsid w:val="0091545A"/>
    <w:rsid w:val="009154C3"/>
    <w:rsid w:val="00915AB4"/>
    <w:rsid w:val="00915F9A"/>
    <w:rsid w:val="009160BF"/>
    <w:rsid w:val="009164A5"/>
    <w:rsid w:val="009167EE"/>
    <w:rsid w:val="00916930"/>
    <w:rsid w:val="00916CA4"/>
    <w:rsid w:val="0091710D"/>
    <w:rsid w:val="009178BA"/>
    <w:rsid w:val="0091794B"/>
    <w:rsid w:val="00917B37"/>
    <w:rsid w:val="00920909"/>
    <w:rsid w:val="00921B6C"/>
    <w:rsid w:val="009224E8"/>
    <w:rsid w:val="00922A89"/>
    <w:rsid w:val="009236C6"/>
    <w:rsid w:val="009242E6"/>
    <w:rsid w:val="00924F9C"/>
    <w:rsid w:val="009251C6"/>
    <w:rsid w:val="009252E8"/>
    <w:rsid w:val="00925911"/>
    <w:rsid w:val="00925B28"/>
    <w:rsid w:val="00926314"/>
    <w:rsid w:val="009265D0"/>
    <w:rsid w:val="00926F6A"/>
    <w:rsid w:val="0092718C"/>
    <w:rsid w:val="0092724E"/>
    <w:rsid w:val="0092772E"/>
    <w:rsid w:val="00930452"/>
    <w:rsid w:val="009304FA"/>
    <w:rsid w:val="00930728"/>
    <w:rsid w:val="0093091C"/>
    <w:rsid w:val="00930B65"/>
    <w:rsid w:val="00930C55"/>
    <w:rsid w:val="00930C81"/>
    <w:rsid w:val="00930EE7"/>
    <w:rsid w:val="00931163"/>
    <w:rsid w:val="00931B3B"/>
    <w:rsid w:val="00931C04"/>
    <w:rsid w:val="00931F3C"/>
    <w:rsid w:val="00932778"/>
    <w:rsid w:val="00932B92"/>
    <w:rsid w:val="00932CB0"/>
    <w:rsid w:val="00932D03"/>
    <w:rsid w:val="009334C4"/>
    <w:rsid w:val="009335FB"/>
    <w:rsid w:val="00933E33"/>
    <w:rsid w:val="00934943"/>
    <w:rsid w:val="00934A90"/>
    <w:rsid w:val="00934B6B"/>
    <w:rsid w:val="00934BCF"/>
    <w:rsid w:val="00934BDE"/>
    <w:rsid w:val="00934C89"/>
    <w:rsid w:val="00934D1C"/>
    <w:rsid w:val="00934E68"/>
    <w:rsid w:val="009351A8"/>
    <w:rsid w:val="00935269"/>
    <w:rsid w:val="00935802"/>
    <w:rsid w:val="00935841"/>
    <w:rsid w:val="00935848"/>
    <w:rsid w:val="00935D05"/>
    <w:rsid w:val="00935DF3"/>
    <w:rsid w:val="0093637D"/>
    <w:rsid w:val="009364A4"/>
    <w:rsid w:val="00936B51"/>
    <w:rsid w:val="00937112"/>
    <w:rsid w:val="00937286"/>
    <w:rsid w:val="009372B3"/>
    <w:rsid w:val="009373AD"/>
    <w:rsid w:val="00937544"/>
    <w:rsid w:val="00937B12"/>
    <w:rsid w:val="00937B34"/>
    <w:rsid w:val="00940030"/>
    <w:rsid w:val="009402C8"/>
    <w:rsid w:val="00940379"/>
    <w:rsid w:val="0094047B"/>
    <w:rsid w:val="0094083E"/>
    <w:rsid w:val="00940A55"/>
    <w:rsid w:val="00940C18"/>
    <w:rsid w:val="00940F24"/>
    <w:rsid w:val="00940FFE"/>
    <w:rsid w:val="00941078"/>
    <w:rsid w:val="0094161D"/>
    <w:rsid w:val="00941E72"/>
    <w:rsid w:val="00942174"/>
    <w:rsid w:val="009421F8"/>
    <w:rsid w:val="0094265A"/>
    <w:rsid w:val="009427BE"/>
    <w:rsid w:val="009429B6"/>
    <w:rsid w:val="00942FC2"/>
    <w:rsid w:val="00943BA4"/>
    <w:rsid w:val="00943EFD"/>
    <w:rsid w:val="009441D7"/>
    <w:rsid w:val="0094426B"/>
    <w:rsid w:val="0094431B"/>
    <w:rsid w:val="0094446B"/>
    <w:rsid w:val="009445B9"/>
    <w:rsid w:val="0094461A"/>
    <w:rsid w:val="00944830"/>
    <w:rsid w:val="00944AFA"/>
    <w:rsid w:val="00944C65"/>
    <w:rsid w:val="00945745"/>
    <w:rsid w:val="009458AB"/>
    <w:rsid w:val="00945B55"/>
    <w:rsid w:val="00945D5F"/>
    <w:rsid w:val="00946370"/>
    <w:rsid w:val="009463CC"/>
    <w:rsid w:val="0094690D"/>
    <w:rsid w:val="00946AA6"/>
    <w:rsid w:val="00947204"/>
    <w:rsid w:val="009474EC"/>
    <w:rsid w:val="009475B0"/>
    <w:rsid w:val="00947B18"/>
    <w:rsid w:val="00950232"/>
    <w:rsid w:val="009506AD"/>
    <w:rsid w:val="00950BFE"/>
    <w:rsid w:val="00951370"/>
    <w:rsid w:val="00951823"/>
    <w:rsid w:val="00951CF1"/>
    <w:rsid w:val="00952632"/>
    <w:rsid w:val="00952646"/>
    <w:rsid w:val="0095287F"/>
    <w:rsid w:val="009528A9"/>
    <w:rsid w:val="0095341F"/>
    <w:rsid w:val="00953788"/>
    <w:rsid w:val="009539F1"/>
    <w:rsid w:val="009542C8"/>
    <w:rsid w:val="00954943"/>
    <w:rsid w:val="00954DBC"/>
    <w:rsid w:val="0095562B"/>
    <w:rsid w:val="00955841"/>
    <w:rsid w:val="00955D7E"/>
    <w:rsid w:val="009566E0"/>
    <w:rsid w:val="00956EDE"/>
    <w:rsid w:val="00957085"/>
    <w:rsid w:val="00957277"/>
    <w:rsid w:val="009572B9"/>
    <w:rsid w:val="00957872"/>
    <w:rsid w:val="00957938"/>
    <w:rsid w:val="00960142"/>
    <w:rsid w:val="00960BC1"/>
    <w:rsid w:val="009611A3"/>
    <w:rsid w:val="00961785"/>
    <w:rsid w:val="009617B5"/>
    <w:rsid w:val="009624DC"/>
    <w:rsid w:val="009624FF"/>
    <w:rsid w:val="00962592"/>
    <w:rsid w:val="009625F6"/>
    <w:rsid w:val="00962ACC"/>
    <w:rsid w:val="00962EF9"/>
    <w:rsid w:val="00962F03"/>
    <w:rsid w:val="009630FD"/>
    <w:rsid w:val="00963C1F"/>
    <w:rsid w:val="00963D80"/>
    <w:rsid w:val="00963EDB"/>
    <w:rsid w:val="00964387"/>
    <w:rsid w:val="009644E3"/>
    <w:rsid w:val="00964A84"/>
    <w:rsid w:val="00964B1D"/>
    <w:rsid w:val="0096505C"/>
    <w:rsid w:val="00965103"/>
    <w:rsid w:val="0096528B"/>
    <w:rsid w:val="009652D1"/>
    <w:rsid w:val="00965503"/>
    <w:rsid w:val="00965B5B"/>
    <w:rsid w:val="00965EEE"/>
    <w:rsid w:val="0096602F"/>
    <w:rsid w:val="0096632A"/>
    <w:rsid w:val="0096663D"/>
    <w:rsid w:val="00966B78"/>
    <w:rsid w:val="00966BE6"/>
    <w:rsid w:val="00966CC0"/>
    <w:rsid w:val="00966DB8"/>
    <w:rsid w:val="00966DC0"/>
    <w:rsid w:val="00967148"/>
    <w:rsid w:val="00967842"/>
    <w:rsid w:val="00967D08"/>
    <w:rsid w:val="00970864"/>
    <w:rsid w:val="00970F1F"/>
    <w:rsid w:val="009713DB"/>
    <w:rsid w:val="0097155F"/>
    <w:rsid w:val="009716B3"/>
    <w:rsid w:val="00971A1A"/>
    <w:rsid w:val="00971FB5"/>
    <w:rsid w:val="00972B42"/>
    <w:rsid w:val="00972DA7"/>
    <w:rsid w:val="00972E26"/>
    <w:rsid w:val="0097301E"/>
    <w:rsid w:val="00973874"/>
    <w:rsid w:val="00973B1A"/>
    <w:rsid w:val="00973EB0"/>
    <w:rsid w:val="009740BD"/>
    <w:rsid w:val="00974152"/>
    <w:rsid w:val="00974274"/>
    <w:rsid w:val="0097456C"/>
    <w:rsid w:val="00974A71"/>
    <w:rsid w:val="00974D61"/>
    <w:rsid w:val="009758C1"/>
    <w:rsid w:val="00975A5A"/>
    <w:rsid w:val="00975B3E"/>
    <w:rsid w:val="00975C87"/>
    <w:rsid w:val="00975D57"/>
    <w:rsid w:val="00975FC0"/>
    <w:rsid w:val="00976392"/>
    <w:rsid w:val="009765D0"/>
    <w:rsid w:val="009766AE"/>
    <w:rsid w:val="00976A96"/>
    <w:rsid w:val="00976C4B"/>
    <w:rsid w:val="00976EBD"/>
    <w:rsid w:val="00977022"/>
    <w:rsid w:val="00977112"/>
    <w:rsid w:val="009775F0"/>
    <w:rsid w:val="0097768C"/>
    <w:rsid w:val="00977872"/>
    <w:rsid w:val="00977ABD"/>
    <w:rsid w:val="00977D53"/>
    <w:rsid w:val="00977E74"/>
    <w:rsid w:val="00977F75"/>
    <w:rsid w:val="00980758"/>
    <w:rsid w:val="00980C38"/>
    <w:rsid w:val="0098186C"/>
    <w:rsid w:val="00981976"/>
    <w:rsid w:val="00981A7B"/>
    <w:rsid w:val="00981AF7"/>
    <w:rsid w:val="00981EF3"/>
    <w:rsid w:val="00982A32"/>
    <w:rsid w:val="00982E99"/>
    <w:rsid w:val="009832EE"/>
    <w:rsid w:val="00983564"/>
    <w:rsid w:val="009835B2"/>
    <w:rsid w:val="009835FE"/>
    <w:rsid w:val="009838E8"/>
    <w:rsid w:val="00983A13"/>
    <w:rsid w:val="00983DD0"/>
    <w:rsid w:val="0098494F"/>
    <w:rsid w:val="009860E7"/>
    <w:rsid w:val="00986499"/>
    <w:rsid w:val="009869B3"/>
    <w:rsid w:val="00986A91"/>
    <w:rsid w:val="00986E1C"/>
    <w:rsid w:val="009872DD"/>
    <w:rsid w:val="009908B4"/>
    <w:rsid w:val="00990F89"/>
    <w:rsid w:val="00991BE2"/>
    <w:rsid w:val="00991C84"/>
    <w:rsid w:val="00991D61"/>
    <w:rsid w:val="009921F2"/>
    <w:rsid w:val="0099253D"/>
    <w:rsid w:val="00992784"/>
    <w:rsid w:val="00992F46"/>
    <w:rsid w:val="00992FA3"/>
    <w:rsid w:val="00993306"/>
    <w:rsid w:val="009933D2"/>
    <w:rsid w:val="00993C71"/>
    <w:rsid w:val="00994278"/>
    <w:rsid w:val="00994BD5"/>
    <w:rsid w:val="00994F14"/>
    <w:rsid w:val="0099594D"/>
    <w:rsid w:val="00995B01"/>
    <w:rsid w:val="00995BFB"/>
    <w:rsid w:val="00995E6D"/>
    <w:rsid w:val="009960E7"/>
    <w:rsid w:val="00996229"/>
    <w:rsid w:val="009969AE"/>
    <w:rsid w:val="00996A19"/>
    <w:rsid w:val="0099724F"/>
    <w:rsid w:val="009977A0"/>
    <w:rsid w:val="009979B8"/>
    <w:rsid w:val="00997E19"/>
    <w:rsid w:val="00997F68"/>
    <w:rsid w:val="009A0466"/>
    <w:rsid w:val="009A06FC"/>
    <w:rsid w:val="009A0AFA"/>
    <w:rsid w:val="009A0C55"/>
    <w:rsid w:val="009A0E19"/>
    <w:rsid w:val="009A0EDD"/>
    <w:rsid w:val="009A1524"/>
    <w:rsid w:val="009A1E0E"/>
    <w:rsid w:val="009A21A9"/>
    <w:rsid w:val="009A2218"/>
    <w:rsid w:val="009A227D"/>
    <w:rsid w:val="009A2709"/>
    <w:rsid w:val="009A2B38"/>
    <w:rsid w:val="009A3FC5"/>
    <w:rsid w:val="009A4099"/>
    <w:rsid w:val="009A41D0"/>
    <w:rsid w:val="009A49AF"/>
    <w:rsid w:val="009A5659"/>
    <w:rsid w:val="009A5667"/>
    <w:rsid w:val="009A56AF"/>
    <w:rsid w:val="009A5C8C"/>
    <w:rsid w:val="009A6071"/>
    <w:rsid w:val="009A6179"/>
    <w:rsid w:val="009A6630"/>
    <w:rsid w:val="009A6B44"/>
    <w:rsid w:val="009A723F"/>
    <w:rsid w:val="009A7906"/>
    <w:rsid w:val="009A7B1F"/>
    <w:rsid w:val="009A7D46"/>
    <w:rsid w:val="009B023E"/>
    <w:rsid w:val="009B0838"/>
    <w:rsid w:val="009B0848"/>
    <w:rsid w:val="009B096F"/>
    <w:rsid w:val="009B0FDB"/>
    <w:rsid w:val="009B1092"/>
    <w:rsid w:val="009B118C"/>
    <w:rsid w:val="009B1759"/>
    <w:rsid w:val="009B175A"/>
    <w:rsid w:val="009B1867"/>
    <w:rsid w:val="009B1924"/>
    <w:rsid w:val="009B1ABB"/>
    <w:rsid w:val="009B1B1E"/>
    <w:rsid w:val="009B1F57"/>
    <w:rsid w:val="009B30F7"/>
    <w:rsid w:val="009B3691"/>
    <w:rsid w:val="009B374B"/>
    <w:rsid w:val="009B3847"/>
    <w:rsid w:val="009B3EB0"/>
    <w:rsid w:val="009B4346"/>
    <w:rsid w:val="009B4569"/>
    <w:rsid w:val="009B4F4F"/>
    <w:rsid w:val="009B55A2"/>
    <w:rsid w:val="009B5EA7"/>
    <w:rsid w:val="009B638B"/>
    <w:rsid w:val="009B6D82"/>
    <w:rsid w:val="009C01C5"/>
    <w:rsid w:val="009C03FE"/>
    <w:rsid w:val="009C08A8"/>
    <w:rsid w:val="009C12A7"/>
    <w:rsid w:val="009C12D7"/>
    <w:rsid w:val="009C22C8"/>
    <w:rsid w:val="009C248A"/>
    <w:rsid w:val="009C2569"/>
    <w:rsid w:val="009C2EB4"/>
    <w:rsid w:val="009C322A"/>
    <w:rsid w:val="009C3BFA"/>
    <w:rsid w:val="009C3D6E"/>
    <w:rsid w:val="009C3EBA"/>
    <w:rsid w:val="009C3F96"/>
    <w:rsid w:val="009C4071"/>
    <w:rsid w:val="009C42E3"/>
    <w:rsid w:val="009C473C"/>
    <w:rsid w:val="009C6840"/>
    <w:rsid w:val="009C6BA1"/>
    <w:rsid w:val="009C6D07"/>
    <w:rsid w:val="009D074F"/>
    <w:rsid w:val="009D0CE8"/>
    <w:rsid w:val="009D0D9B"/>
    <w:rsid w:val="009D1287"/>
    <w:rsid w:val="009D188D"/>
    <w:rsid w:val="009D1A1D"/>
    <w:rsid w:val="009D1E0B"/>
    <w:rsid w:val="009D218D"/>
    <w:rsid w:val="009D2531"/>
    <w:rsid w:val="009D2719"/>
    <w:rsid w:val="009D2833"/>
    <w:rsid w:val="009D2FB4"/>
    <w:rsid w:val="009D3ACB"/>
    <w:rsid w:val="009D3DF0"/>
    <w:rsid w:val="009D4147"/>
    <w:rsid w:val="009D49D9"/>
    <w:rsid w:val="009D4FA6"/>
    <w:rsid w:val="009D56C2"/>
    <w:rsid w:val="009D5D4E"/>
    <w:rsid w:val="009D5E5E"/>
    <w:rsid w:val="009D635E"/>
    <w:rsid w:val="009D657A"/>
    <w:rsid w:val="009D68CB"/>
    <w:rsid w:val="009D6AB4"/>
    <w:rsid w:val="009D7BE0"/>
    <w:rsid w:val="009E00FD"/>
    <w:rsid w:val="009E0F31"/>
    <w:rsid w:val="009E10E2"/>
    <w:rsid w:val="009E15FD"/>
    <w:rsid w:val="009E1680"/>
    <w:rsid w:val="009E1A42"/>
    <w:rsid w:val="009E1EF0"/>
    <w:rsid w:val="009E2537"/>
    <w:rsid w:val="009E2EEE"/>
    <w:rsid w:val="009E35EB"/>
    <w:rsid w:val="009E36D3"/>
    <w:rsid w:val="009E3932"/>
    <w:rsid w:val="009E3BF7"/>
    <w:rsid w:val="009E3C84"/>
    <w:rsid w:val="009E4907"/>
    <w:rsid w:val="009E495E"/>
    <w:rsid w:val="009E4BB7"/>
    <w:rsid w:val="009E4EDF"/>
    <w:rsid w:val="009E50B5"/>
    <w:rsid w:val="009E524E"/>
    <w:rsid w:val="009E5D4E"/>
    <w:rsid w:val="009E601B"/>
    <w:rsid w:val="009E64CE"/>
    <w:rsid w:val="009E69E3"/>
    <w:rsid w:val="009E715C"/>
    <w:rsid w:val="009E79BD"/>
    <w:rsid w:val="009E7B88"/>
    <w:rsid w:val="009E7F07"/>
    <w:rsid w:val="009E7F92"/>
    <w:rsid w:val="009F0651"/>
    <w:rsid w:val="009F077F"/>
    <w:rsid w:val="009F0A20"/>
    <w:rsid w:val="009F0A2C"/>
    <w:rsid w:val="009F0C60"/>
    <w:rsid w:val="009F1419"/>
    <w:rsid w:val="009F14C8"/>
    <w:rsid w:val="009F219A"/>
    <w:rsid w:val="009F2C63"/>
    <w:rsid w:val="009F3513"/>
    <w:rsid w:val="009F3655"/>
    <w:rsid w:val="009F37C7"/>
    <w:rsid w:val="009F3864"/>
    <w:rsid w:val="009F3EF8"/>
    <w:rsid w:val="009F3F8B"/>
    <w:rsid w:val="009F409A"/>
    <w:rsid w:val="009F4211"/>
    <w:rsid w:val="009F497A"/>
    <w:rsid w:val="009F5298"/>
    <w:rsid w:val="009F53E4"/>
    <w:rsid w:val="009F5442"/>
    <w:rsid w:val="009F5478"/>
    <w:rsid w:val="009F5A77"/>
    <w:rsid w:val="009F5BEB"/>
    <w:rsid w:val="009F61E7"/>
    <w:rsid w:val="009F7672"/>
    <w:rsid w:val="009F77A5"/>
    <w:rsid w:val="009F796C"/>
    <w:rsid w:val="009F7B46"/>
    <w:rsid w:val="00A00720"/>
    <w:rsid w:val="00A00804"/>
    <w:rsid w:val="00A01273"/>
    <w:rsid w:val="00A0127E"/>
    <w:rsid w:val="00A02157"/>
    <w:rsid w:val="00A02C8F"/>
    <w:rsid w:val="00A03131"/>
    <w:rsid w:val="00A0399E"/>
    <w:rsid w:val="00A03AA9"/>
    <w:rsid w:val="00A03B66"/>
    <w:rsid w:val="00A03D59"/>
    <w:rsid w:val="00A03EBF"/>
    <w:rsid w:val="00A04545"/>
    <w:rsid w:val="00A0495B"/>
    <w:rsid w:val="00A04E0F"/>
    <w:rsid w:val="00A05034"/>
    <w:rsid w:val="00A050EE"/>
    <w:rsid w:val="00A055E8"/>
    <w:rsid w:val="00A05FE7"/>
    <w:rsid w:val="00A06A51"/>
    <w:rsid w:val="00A07351"/>
    <w:rsid w:val="00A07ABC"/>
    <w:rsid w:val="00A07AF3"/>
    <w:rsid w:val="00A07C29"/>
    <w:rsid w:val="00A07CAB"/>
    <w:rsid w:val="00A07E5E"/>
    <w:rsid w:val="00A104BF"/>
    <w:rsid w:val="00A106DB"/>
    <w:rsid w:val="00A10705"/>
    <w:rsid w:val="00A107F0"/>
    <w:rsid w:val="00A108BE"/>
    <w:rsid w:val="00A10953"/>
    <w:rsid w:val="00A10ACC"/>
    <w:rsid w:val="00A10ADC"/>
    <w:rsid w:val="00A111CC"/>
    <w:rsid w:val="00A11384"/>
    <w:rsid w:val="00A1146D"/>
    <w:rsid w:val="00A1161F"/>
    <w:rsid w:val="00A1164B"/>
    <w:rsid w:val="00A11BA3"/>
    <w:rsid w:val="00A11D75"/>
    <w:rsid w:val="00A12FA4"/>
    <w:rsid w:val="00A132C0"/>
    <w:rsid w:val="00A13CEC"/>
    <w:rsid w:val="00A14686"/>
    <w:rsid w:val="00A14B13"/>
    <w:rsid w:val="00A14C80"/>
    <w:rsid w:val="00A15061"/>
    <w:rsid w:val="00A154ED"/>
    <w:rsid w:val="00A15C8F"/>
    <w:rsid w:val="00A165AC"/>
    <w:rsid w:val="00A16734"/>
    <w:rsid w:val="00A16A6B"/>
    <w:rsid w:val="00A16CA1"/>
    <w:rsid w:val="00A172A2"/>
    <w:rsid w:val="00A176FA"/>
    <w:rsid w:val="00A176FE"/>
    <w:rsid w:val="00A177B5"/>
    <w:rsid w:val="00A17829"/>
    <w:rsid w:val="00A17B11"/>
    <w:rsid w:val="00A17D6C"/>
    <w:rsid w:val="00A20583"/>
    <w:rsid w:val="00A215CB"/>
    <w:rsid w:val="00A21B56"/>
    <w:rsid w:val="00A21CAD"/>
    <w:rsid w:val="00A22338"/>
    <w:rsid w:val="00A224AB"/>
    <w:rsid w:val="00A2256A"/>
    <w:rsid w:val="00A225E2"/>
    <w:rsid w:val="00A2265A"/>
    <w:rsid w:val="00A22E97"/>
    <w:rsid w:val="00A2307E"/>
    <w:rsid w:val="00A24350"/>
    <w:rsid w:val="00A24A1B"/>
    <w:rsid w:val="00A24A60"/>
    <w:rsid w:val="00A24C0F"/>
    <w:rsid w:val="00A24C39"/>
    <w:rsid w:val="00A25296"/>
    <w:rsid w:val="00A25815"/>
    <w:rsid w:val="00A26266"/>
    <w:rsid w:val="00A263FF"/>
    <w:rsid w:val="00A26F16"/>
    <w:rsid w:val="00A26F6C"/>
    <w:rsid w:val="00A26FDE"/>
    <w:rsid w:val="00A26FFC"/>
    <w:rsid w:val="00A27A00"/>
    <w:rsid w:val="00A27F00"/>
    <w:rsid w:val="00A27F70"/>
    <w:rsid w:val="00A3004F"/>
    <w:rsid w:val="00A30EDC"/>
    <w:rsid w:val="00A31191"/>
    <w:rsid w:val="00A3151C"/>
    <w:rsid w:val="00A32412"/>
    <w:rsid w:val="00A32489"/>
    <w:rsid w:val="00A325BB"/>
    <w:rsid w:val="00A33202"/>
    <w:rsid w:val="00A3354B"/>
    <w:rsid w:val="00A3397C"/>
    <w:rsid w:val="00A33D60"/>
    <w:rsid w:val="00A34673"/>
    <w:rsid w:val="00A34E8A"/>
    <w:rsid w:val="00A354AB"/>
    <w:rsid w:val="00A354DF"/>
    <w:rsid w:val="00A35536"/>
    <w:rsid w:val="00A35D60"/>
    <w:rsid w:val="00A35EA9"/>
    <w:rsid w:val="00A35F22"/>
    <w:rsid w:val="00A36178"/>
    <w:rsid w:val="00A36185"/>
    <w:rsid w:val="00A3658F"/>
    <w:rsid w:val="00A3664D"/>
    <w:rsid w:val="00A36913"/>
    <w:rsid w:val="00A3692D"/>
    <w:rsid w:val="00A36A8C"/>
    <w:rsid w:val="00A36ED2"/>
    <w:rsid w:val="00A36EE8"/>
    <w:rsid w:val="00A374DA"/>
    <w:rsid w:val="00A37F18"/>
    <w:rsid w:val="00A403F8"/>
    <w:rsid w:val="00A40C39"/>
    <w:rsid w:val="00A41585"/>
    <w:rsid w:val="00A41841"/>
    <w:rsid w:val="00A419F1"/>
    <w:rsid w:val="00A41CD2"/>
    <w:rsid w:val="00A41DB2"/>
    <w:rsid w:val="00A42253"/>
    <w:rsid w:val="00A423CB"/>
    <w:rsid w:val="00A424DC"/>
    <w:rsid w:val="00A42AA4"/>
    <w:rsid w:val="00A42FA8"/>
    <w:rsid w:val="00A43028"/>
    <w:rsid w:val="00A43034"/>
    <w:rsid w:val="00A43124"/>
    <w:rsid w:val="00A434CB"/>
    <w:rsid w:val="00A43EA2"/>
    <w:rsid w:val="00A4432F"/>
    <w:rsid w:val="00A4439A"/>
    <w:rsid w:val="00A443EA"/>
    <w:rsid w:val="00A447E8"/>
    <w:rsid w:val="00A44B5E"/>
    <w:rsid w:val="00A44D68"/>
    <w:rsid w:val="00A45228"/>
    <w:rsid w:val="00A46748"/>
    <w:rsid w:val="00A46B24"/>
    <w:rsid w:val="00A46C08"/>
    <w:rsid w:val="00A46D8B"/>
    <w:rsid w:val="00A47188"/>
    <w:rsid w:val="00A47300"/>
    <w:rsid w:val="00A47342"/>
    <w:rsid w:val="00A476C0"/>
    <w:rsid w:val="00A47DF9"/>
    <w:rsid w:val="00A503CD"/>
    <w:rsid w:val="00A5060E"/>
    <w:rsid w:val="00A507EF"/>
    <w:rsid w:val="00A5095D"/>
    <w:rsid w:val="00A50BAF"/>
    <w:rsid w:val="00A50FB2"/>
    <w:rsid w:val="00A51325"/>
    <w:rsid w:val="00A51912"/>
    <w:rsid w:val="00A51B4A"/>
    <w:rsid w:val="00A520F9"/>
    <w:rsid w:val="00A523B5"/>
    <w:rsid w:val="00A5249A"/>
    <w:rsid w:val="00A5288E"/>
    <w:rsid w:val="00A52B47"/>
    <w:rsid w:val="00A52D5B"/>
    <w:rsid w:val="00A537F5"/>
    <w:rsid w:val="00A53EF0"/>
    <w:rsid w:val="00A54329"/>
    <w:rsid w:val="00A54B03"/>
    <w:rsid w:val="00A5527A"/>
    <w:rsid w:val="00A5543A"/>
    <w:rsid w:val="00A556C3"/>
    <w:rsid w:val="00A557FC"/>
    <w:rsid w:val="00A564A9"/>
    <w:rsid w:val="00A56634"/>
    <w:rsid w:val="00A56A98"/>
    <w:rsid w:val="00A56AD6"/>
    <w:rsid w:val="00A56B8A"/>
    <w:rsid w:val="00A56F4F"/>
    <w:rsid w:val="00A6014F"/>
    <w:rsid w:val="00A6057D"/>
    <w:rsid w:val="00A6121C"/>
    <w:rsid w:val="00A614BC"/>
    <w:rsid w:val="00A61684"/>
    <w:rsid w:val="00A61791"/>
    <w:rsid w:val="00A618F1"/>
    <w:rsid w:val="00A61B5D"/>
    <w:rsid w:val="00A61B72"/>
    <w:rsid w:val="00A62340"/>
    <w:rsid w:val="00A625EE"/>
    <w:rsid w:val="00A62B35"/>
    <w:rsid w:val="00A62E39"/>
    <w:rsid w:val="00A631D1"/>
    <w:rsid w:val="00A63890"/>
    <w:rsid w:val="00A63BF0"/>
    <w:rsid w:val="00A63D52"/>
    <w:rsid w:val="00A63F36"/>
    <w:rsid w:val="00A64187"/>
    <w:rsid w:val="00A642BF"/>
    <w:rsid w:val="00A643A4"/>
    <w:rsid w:val="00A6466F"/>
    <w:rsid w:val="00A65863"/>
    <w:rsid w:val="00A659AC"/>
    <w:rsid w:val="00A66501"/>
    <w:rsid w:val="00A66796"/>
    <w:rsid w:val="00A66E42"/>
    <w:rsid w:val="00A6733F"/>
    <w:rsid w:val="00A676DD"/>
    <w:rsid w:val="00A679B3"/>
    <w:rsid w:val="00A67B2D"/>
    <w:rsid w:val="00A67EB1"/>
    <w:rsid w:val="00A7036E"/>
    <w:rsid w:val="00A709C2"/>
    <w:rsid w:val="00A70E6E"/>
    <w:rsid w:val="00A70FF2"/>
    <w:rsid w:val="00A712D0"/>
    <w:rsid w:val="00A717CB"/>
    <w:rsid w:val="00A7192B"/>
    <w:rsid w:val="00A71C76"/>
    <w:rsid w:val="00A71D70"/>
    <w:rsid w:val="00A71D8F"/>
    <w:rsid w:val="00A72128"/>
    <w:rsid w:val="00A7228D"/>
    <w:rsid w:val="00A72933"/>
    <w:rsid w:val="00A72A27"/>
    <w:rsid w:val="00A72ECD"/>
    <w:rsid w:val="00A73118"/>
    <w:rsid w:val="00A73405"/>
    <w:rsid w:val="00A73CB7"/>
    <w:rsid w:val="00A740B3"/>
    <w:rsid w:val="00A74983"/>
    <w:rsid w:val="00A74C28"/>
    <w:rsid w:val="00A74DF3"/>
    <w:rsid w:val="00A74F41"/>
    <w:rsid w:val="00A750E7"/>
    <w:rsid w:val="00A754AA"/>
    <w:rsid w:val="00A76490"/>
    <w:rsid w:val="00A771C3"/>
    <w:rsid w:val="00A801FF"/>
    <w:rsid w:val="00A80220"/>
    <w:rsid w:val="00A80EAD"/>
    <w:rsid w:val="00A81020"/>
    <w:rsid w:val="00A81083"/>
    <w:rsid w:val="00A81AF9"/>
    <w:rsid w:val="00A81EED"/>
    <w:rsid w:val="00A82250"/>
    <w:rsid w:val="00A82BD7"/>
    <w:rsid w:val="00A834A6"/>
    <w:rsid w:val="00A83D2D"/>
    <w:rsid w:val="00A8404A"/>
    <w:rsid w:val="00A8453B"/>
    <w:rsid w:val="00A84809"/>
    <w:rsid w:val="00A850FB"/>
    <w:rsid w:val="00A8542E"/>
    <w:rsid w:val="00A856B6"/>
    <w:rsid w:val="00A857FE"/>
    <w:rsid w:val="00A85BC6"/>
    <w:rsid w:val="00A85EF3"/>
    <w:rsid w:val="00A85F38"/>
    <w:rsid w:val="00A86027"/>
    <w:rsid w:val="00A8633D"/>
    <w:rsid w:val="00A86868"/>
    <w:rsid w:val="00A86A01"/>
    <w:rsid w:val="00A86DB7"/>
    <w:rsid w:val="00A86DE9"/>
    <w:rsid w:val="00A872E5"/>
    <w:rsid w:val="00A8784E"/>
    <w:rsid w:val="00A87925"/>
    <w:rsid w:val="00A87979"/>
    <w:rsid w:val="00A87B36"/>
    <w:rsid w:val="00A87C9E"/>
    <w:rsid w:val="00A900C8"/>
    <w:rsid w:val="00A902CC"/>
    <w:rsid w:val="00A903C4"/>
    <w:rsid w:val="00A905F6"/>
    <w:rsid w:val="00A90BC1"/>
    <w:rsid w:val="00A90E25"/>
    <w:rsid w:val="00A91177"/>
    <w:rsid w:val="00A91967"/>
    <w:rsid w:val="00A91CD6"/>
    <w:rsid w:val="00A928F9"/>
    <w:rsid w:val="00A92B3B"/>
    <w:rsid w:val="00A92B44"/>
    <w:rsid w:val="00A931F0"/>
    <w:rsid w:val="00A9337A"/>
    <w:rsid w:val="00A94003"/>
    <w:rsid w:val="00A941B0"/>
    <w:rsid w:val="00A945D7"/>
    <w:rsid w:val="00A94888"/>
    <w:rsid w:val="00A94FB7"/>
    <w:rsid w:val="00A951B1"/>
    <w:rsid w:val="00A95209"/>
    <w:rsid w:val="00A9623F"/>
    <w:rsid w:val="00A96295"/>
    <w:rsid w:val="00A967B9"/>
    <w:rsid w:val="00A96A07"/>
    <w:rsid w:val="00A96A74"/>
    <w:rsid w:val="00A96D91"/>
    <w:rsid w:val="00A97023"/>
    <w:rsid w:val="00A976A5"/>
    <w:rsid w:val="00A977B0"/>
    <w:rsid w:val="00A97830"/>
    <w:rsid w:val="00A97919"/>
    <w:rsid w:val="00A97D46"/>
    <w:rsid w:val="00A97DDB"/>
    <w:rsid w:val="00AA0143"/>
    <w:rsid w:val="00AA02B1"/>
    <w:rsid w:val="00AA042E"/>
    <w:rsid w:val="00AA04C4"/>
    <w:rsid w:val="00AA06C7"/>
    <w:rsid w:val="00AA08A5"/>
    <w:rsid w:val="00AA166C"/>
    <w:rsid w:val="00AA1B27"/>
    <w:rsid w:val="00AA1BBF"/>
    <w:rsid w:val="00AA1FFE"/>
    <w:rsid w:val="00AA239A"/>
    <w:rsid w:val="00AA2D1D"/>
    <w:rsid w:val="00AA2EA7"/>
    <w:rsid w:val="00AA30E1"/>
    <w:rsid w:val="00AA31C6"/>
    <w:rsid w:val="00AA36B4"/>
    <w:rsid w:val="00AA3F76"/>
    <w:rsid w:val="00AA4752"/>
    <w:rsid w:val="00AA4820"/>
    <w:rsid w:val="00AA4AEC"/>
    <w:rsid w:val="00AA4F2F"/>
    <w:rsid w:val="00AA5473"/>
    <w:rsid w:val="00AA560D"/>
    <w:rsid w:val="00AA5FBE"/>
    <w:rsid w:val="00AA61D5"/>
    <w:rsid w:val="00AA61DA"/>
    <w:rsid w:val="00AA644F"/>
    <w:rsid w:val="00AA64A1"/>
    <w:rsid w:val="00AA7104"/>
    <w:rsid w:val="00AA72BD"/>
    <w:rsid w:val="00AA75DA"/>
    <w:rsid w:val="00AA771A"/>
    <w:rsid w:val="00AA7D37"/>
    <w:rsid w:val="00AB026A"/>
    <w:rsid w:val="00AB059D"/>
    <w:rsid w:val="00AB0DF2"/>
    <w:rsid w:val="00AB11D2"/>
    <w:rsid w:val="00AB123D"/>
    <w:rsid w:val="00AB145A"/>
    <w:rsid w:val="00AB17AB"/>
    <w:rsid w:val="00AB1B7F"/>
    <w:rsid w:val="00AB1C68"/>
    <w:rsid w:val="00AB2101"/>
    <w:rsid w:val="00AB220B"/>
    <w:rsid w:val="00AB2586"/>
    <w:rsid w:val="00AB280C"/>
    <w:rsid w:val="00AB285F"/>
    <w:rsid w:val="00AB2C52"/>
    <w:rsid w:val="00AB3531"/>
    <w:rsid w:val="00AB3A73"/>
    <w:rsid w:val="00AB3AC2"/>
    <w:rsid w:val="00AB3BF1"/>
    <w:rsid w:val="00AB4046"/>
    <w:rsid w:val="00AB48AF"/>
    <w:rsid w:val="00AB4B0A"/>
    <w:rsid w:val="00AB4D2D"/>
    <w:rsid w:val="00AB4F37"/>
    <w:rsid w:val="00AB4F8D"/>
    <w:rsid w:val="00AB510C"/>
    <w:rsid w:val="00AB514C"/>
    <w:rsid w:val="00AB5585"/>
    <w:rsid w:val="00AB56D7"/>
    <w:rsid w:val="00AB5C71"/>
    <w:rsid w:val="00AB5DEE"/>
    <w:rsid w:val="00AB6044"/>
    <w:rsid w:val="00AB6540"/>
    <w:rsid w:val="00AB6914"/>
    <w:rsid w:val="00AB6CE4"/>
    <w:rsid w:val="00AB6DDA"/>
    <w:rsid w:val="00AB6F6A"/>
    <w:rsid w:val="00AB70A0"/>
    <w:rsid w:val="00AB75B0"/>
    <w:rsid w:val="00AB7A12"/>
    <w:rsid w:val="00AB7A51"/>
    <w:rsid w:val="00AB7E08"/>
    <w:rsid w:val="00AB7EA4"/>
    <w:rsid w:val="00AC029D"/>
    <w:rsid w:val="00AC03B1"/>
    <w:rsid w:val="00AC084B"/>
    <w:rsid w:val="00AC1AC3"/>
    <w:rsid w:val="00AC223A"/>
    <w:rsid w:val="00AC2429"/>
    <w:rsid w:val="00AC2806"/>
    <w:rsid w:val="00AC291F"/>
    <w:rsid w:val="00AC2940"/>
    <w:rsid w:val="00AC2A9D"/>
    <w:rsid w:val="00AC2AA5"/>
    <w:rsid w:val="00AC2BE2"/>
    <w:rsid w:val="00AC2CF2"/>
    <w:rsid w:val="00AC3E01"/>
    <w:rsid w:val="00AC4571"/>
    <w:rsid w:val="00AC4B1E"/>
    <w:rsid w:val="00AC4DF7"/>
    <w:rsid w:val="00AC50B6"/>
    <w:rsid w:val="00AC5E93"/>
    <w:rsid w:val="00AC5EC7"/>
    <w:rsid w:val="00AC6072"/>
    <w:rsid w:val="00AC6394"/>
    <w:rsid w:val="00AC63D8"/>
    <w:rsid w:val="00AC6C3B"/>
    <w:rsid w:val="00AC7255"/>
    <w:rsid w:val="00AC75E5"/>
    <w:rsid w:val="00AD00EA"/>
    <w:rsid w:val="00AD02D0"/>
    <w:rsid w:val="00AD0BCD"/>
    <w:rsid w:val="00AD0E77"/>
    <w:rsid w:val="00AD197F"/>
    <w:rsid w:val="00AD1B57"/>
    <w:rsid w:val="00AD1B8C"/>
    <w:rsid w:val="00AD2347"/>
    <w:rsid w:val="00AD25EF"/>
    <w:rsid w:val="00AD2822"/>
    <w:rsid w:val="00AD2A45"/>
    <w:rsid w:val="00AD2F46"/>
    <w:rsid w:val="00AD2F7D"/>
    <w:rsid w:val="00AD2FE1"/>
    <w:rsid w:val="00AD3172"/>
    <w:rsid w:val="00AD3189"/>
    <w:rsid w:val="00AD326D"/>
    <w:rsid w:val="00AD34CB"/>
    <w:rsid w:val="00AD3725"/>
    <w:rsid w:val="00AD37FC"/>
    <w:rsid w:val="00AD3C6A"/>
    <w:rsid w:val="00AD3DD8"/>
    <w:rsid w:val="00AD4360"/>
    <w:rsid w:val="00AD461E"/>
    <w:rsid w:val="00AD4E9D"/>
    <w:rsid w:val="00AD66C8"/>
    <w:rsid w:val="00AD680D"/>
    <w:rsid w:val="00AD68C1"/>
    <w:rsid w:val="00AD6907"/>
    <w:rsid w:val="00AD6E2D"/>
    <w:rsid w:val="00AD6EA8"/>
    <w:rsid w:val="00AD7516"/>
    <w:rsid w:val="00AD79F8"/>
    <w:rsid w:val="00AD7B10"/>
    <w:rsid w:val="00AD7BDA"/>
    <w:rsid w:val="00AD7CD2"/>
    <w:rsid w:val="00AD7EF6"/>
    <w:rsid w:val="00AD7F0C"/>
    <w:rsid w:val="00AE0356"/>
    <w:rsid w:val="00AE06EE"/>
    <w:rsid w:val="00AE09C7"/>
    <w:rsid w:val="00AE0C1D"/>
    <w:rsid w:val="00AE0F83"/>
    <w:rsid w:val="00AE15EE"/>
    <w:rsid w:val="00AE19E1"/>
    <w:rsid w:val="00AE1E60"/>
    <w:rsid w:val="00AE277F"/>
    <w:rsid w:val="00AE27BB"/>
    <w:rsid w:val="00AE2B5D"/>
    <w:rsid w:val="00AE2D3E"/>
    <w:rsid w:val="00AE3046"/>
    <w:rsid w:val="00AE32E7"/>
    <w:rsid w:val="00AE3301"/>
    <w:rsid w:val="00AE3976"/>
    <w:rsid w:val="00AE399E"/>
    <w:rsid w:val="00AE3A5E"/>
    <w:rsid w:val="00AE3DCF"/>
    <w:rsid w:val="00AE40E3"/>
    <w:rsid w:val="00AE40E9"/>
    <w:rsid w:val="00AE47A9"/>
    <w:rsid w:val="00AE4A44"/>
    <w:rsid w:val="00AE4C28"/>
    <w:rsid w:val="00AE588A"/>
    <w:rsid w:val="00AE58D9"/>
    <w:rsid w:val="00AE5ACA"/>
    <w:rsid w:val="00AE5D64"/>
    <w:rsid w:val="00AE63DE"/>
    <w:rsid w:val="00AE65DD"/>
    <w:rsid w:val="00AE6F5B"/>
    <w:rsid w:val="00AE7127"/>
    <w:rsid w:val="00AE7270"/>
    <w:rsid w:val="00AE7632"/>
    <w:rsid w:val="00AE7D05"/>
    <w:rsid w:val="00AE7DA0"/>
    <w:rsid w:val="00AF0050"/>
    <w:rsid w:val="00AF06ED"/>
    <w:rsid w:val="00AF1244"/>
    <w:rsid w:val="00AF1373"/>
    <w:rsid w:val="00AF15D8"/>
    <w:rsid w:val="00AF173B"/>
    <w:rsid w:val="00AF181A"/>
    <w:rsid w:val="00AF199A"/>
    <w:rsid w:val="00AF19E4"/>
    <w:rsid w:val="00AF1CCD"/>
    <w:rsid w:val="00AF1E01"/>
    <w:rsid w:val="00AF2560"/>
    <w:rsid w:val="00AF25D4"/>
    <w:rsid w:val="00AF31AB"/>
    <w:rsid w:val="00AF31CB"/>
    <w:rsid w:val="00AF354D"/>
    <w:rsid w:val="00AF3627"/>
    <w:rsid w:val="00AF3666"/>
    <w:rsid w:val="00AF3764"/>
    <w:rsid w:val="00AF3838"/>
    <w:rsid w:val="00AF3D1A"/>
    <w:rsid w:val="00AF40F1"/>
    <w:rsid w:val="00AF4137"/>
    <w:rsid w:val="00AF43E2"/>
    <w:rsid w:val="00AF49C7"/>
    <w:rsid w:val="00AF4B5B"/>
    <w:rsid w:val="00AF4EA7"/>
    <w:rsid w:val="00AF5581"/>
    <w:rsid w:val="00AF5A68"/>
    <w:rsid w:val="00AF5F43"/>
    <w:rsid w:val="00AF665C"/>
    <w:rsid w:val="00AF6986"/>
    <w:rsid w:val="00AF770A"/>
    <w:rsid w:val="00AF78EA"/>
    <w:rsid w:val="00AF7EE8"/>
    <w:rsid w:val="00B00333"/>
    <w:rsid w:val="00B00350"/>
    <w:rsid w:val="00B00826"/>
    <w:rsid w:val="00B019EE"/>
    <w:rsid w:val="00B01D27"/>
    <w:rsid w:val="00B01F9F"/>
    <w:rsid w:val="00B02147"/>
    <w:rsid w:val="00B02360"/>
    <w:rsid w:val="00B0256F"/>
    <w:rsid w:val="00B02CEB"/>
    <w:rsid w:val="00B042B6"/>
    <w:rsid w:val="00B0472D"/>
    <w:rsid w:val="00B04E28"/>
    <w:rsid w:val="00B053DB"/>
    <w:rsid w:val="00B05A6A"/>
    <w:rsid w:val="00B06124"/>
    <w:rsid w:val="00B0619C"/>
    <w:rsid w:val="00B064DA"/>
    <w:rsid w:val="00B0661E"/>
    <w:rsid w:val="00B069B4"/>
    <w:rsid w:val="00B06B99"/>
    <w:rsid w:val="00B06F59"/>
    <w:rsid w:val="00B0712B"/>
    <w:rsid w:val="00B0763D"/>
    <w:rsid w:val="00B07A1B"/>
    <w:rsid w:val="00B07A2C"/>
    <w:rsid w:val="00B07CB2"/>
    <w:rsid w:val="00B10193"/>
    <w:rsid w:val="00B10215"/>
    <w:rsid w:val="00B1038B"/>
    <w:rsid w:val="00B10F27"/>
    <w:rsid w:val="00B1117D"/>
    <w:rsid w:val="00B111C3"/>
    <w:rsid w:val="00B11538"/>
    <w:rsid w:val="00B11A7E"/>
    <w:rsid w:val="00B11D58"/>
    <w:rsid w:val="00B12B7E"/>
    <w:rsid w:val="00B1384F"/>
    <w:rsid w:val="00B13B96"/>
    <w:rsid w:val="00B14155"/>
    <w:rsid w:val="00B14317"/>
    <w:rsid w:val="00B14503"/>
    <w:rsid w:val="00B1460E"/>
    <w:rsid w:val="00B151F3"/>
    <w:rsid w:val="00B1523F"/>
    <w:rsid w:val="00B15EC0"/>
    <w:rsid w:val="00B15EF6"/>
    <w:rsid w:val="00B16056"/>
    <w:rsid w:val="00B16158"/>
    <w:rsid w:val="00B164E2"/>
    <w:rsid w:val="00B170AA"/>
    <w:rsid w:val="00B1743E"/>
    <w:rsid w:val="00B17B63"/>
    <w:rsid w:val="00B20B25"/>
    <w:rsid w:val="00B20C96"/>
    <w:rsid w:val="00B20D21"/>
    <w:rsid w:val="00B21C5B"/>
    <w:rsid w:val="00B22251"/>
    <w:rsid w:val="00B223CC"/>
    <w:rsid w:val="00B224ED"/>
    <w:rsid w:val="00B22D5E"/>
    <w:rsid w:val="00B23599"/>
    <w:rsid w:val="00B235A0"/>
    <w:rsid w:val="00B240D3"/>
    <w:rsid w:val="00B24D34"/>
    <w:rsid w:val="00B25897"/>
    <w:rsid w:val="00B25BEF"/>
    <w:rsid w:val="00B25C54"/>
    <w:rsid w:val="00B261D9"/>
    <w:rsid w:val="00B261FA"/>
    <w:rsid w:val="00B2621E"/>
    <w:rsid w:val="00B26295"/>
    <w:rsid w:val="00B26A4B"/>
    <w:rsid w:val="00B26BA8"/>
    <w:rsid w:val="00B26CA9"/>
    <w:rsid w:val="00B26DBD"/>
    <w:rsid w:val="00B2754E"/>
    <w:rsid w:val="00B2758C"/>
    <w:rsid w:val="00B276E8"/>
    <w:rsid w:val="00B27983"/>
    <w:rsid w:val="00B27B50"/>
    <w:rsid w:val="00B27D4B"/>
    <w:rsid w:val="00B3080D"/>
    <w:rsid w:val="00B30B91"/>
    <w:rsid w:val="00B30CC3"/>
    <w:rsid w:val="00B31889"/>
    <w:rsid w:val="00B32184"/>
    <w:rsid w:val="00B3224B"/>
    <w:rsid w:val="00B325DE"/>
    <w:rsid w:val="00B32920"/>
    <w:rsid w:val="00B3308B"/>
    <w:rsid w:val="00B335AA"/>
    <w:rsid w:val="00B338C7"/>
    <w:rsid w:val="00B34B67"/>
    <w:rsid w:val="00B35328"/>
    <w:rsid w:val="00B35613"/>
    <w:rsid w:val="00B359FF"/>
    <w:rsid w:val="00B35F1C"/>
    <w:rsid w:val="00B36133"/>
    <w:rsid w:val="00B361F1"/>
    <w:rsid w:val="00B363A6"/>
    <w:rsid w:val="00B36881"/>
    <w:rsid w:val="00B36AE5"/>
    <w:rsid w:val="00B36C6A"/>
    <w:rsid w:val="00B371A4"/>
    <w:rsid w:val="00B3736D"/>
    <w:rsid w:val="00B37AC7"/>
    <w:rsid w:val="00B40C39"/>
    <w:rsid w:val="00B40C90"/>
    <w:rsid w:val="00B4121A"/>
    <w:rsid w:val="00B41507"/>
    <w:rsid w:val="00B42259"/>
    <w:rsid w:val="00B42BB3"/>
    <w:rsid w:val="00B42DAE"/>
    <w:rsid w:val="00B43021"/>
    <w:rsid w:val="00B432FE"/>
    <w:rsid w:val="00B4382C"/>
    <w:rsid w:val="00B443AC"/>
    <w:rsid w:val="00B44532"/>
    <w:rsid w:val="00B4504F"/>
    <w:rsid w:val="00B450D8"/>
    <w:rsid w:val="00B45152"/>
    <w:rsid w:val="00B4549A"/>
    <w:rsid w:val="00B45D16"/>
    <w:rsid w:val="00B45DD0"/>
    <w:rsid w:val="00B45E1C"/>
    <w:rsid w:val="00B4636C"/>
    <w:rsid w:val="00B46B3B"/>
    <w:rsid w:val="00B46D5D"/>
    <w:rsid w:val="00B46EE4"/>
    <w:rsid w:val="00B472ED"/>
    <w:rsid w:val="00B4781D"/>
    <w:rsid w:val="00B47C64"/>
    <w:rsid w:val="00B47F3B"/>
    <w:rsid w:val="00B50004"/>
    <w:rsid w:val="00B500A0"/>
    <w:rsid w:val="00B503E1"/>
    <w:rsid w:val="00B518E5"/>
    <w:rsid w:val="00B51AEA"/>
    <w:rsid w:val="00B525E5"/>
    <w:rsid w:val="00B528E8"/>
    <w:rsid w:val="00B52BE2"/>
    <w:rsid w:val="00B52C95"/>
    <w:rsid w:val="00B52E42"/>
    <w:rsid w:val="00B52F06"/>
    <w:rsid w:val="00B5372D"/>
    <w:rsid w:val="00B538AD"/>
    <w:rsid w:val="00B53E08"/>
    <w:rsid w:val="00B53E95"/>
    <w:rsid w:val="00B54340"/>
    <w:rsid w:val="00B543BA"/>
    <w:rsid w:val="00B5445E"/>
    <w:rsid w:val="00B54768"/>
    <w:rsid w:val="00B54858"/>
    <w:rsid w:val="00B548B6"/>
    <w:rsid w:val="00B54DF5"/>
    <w:rsid w:val="00B55027"/>
    <w:rsid w:val="00B55F59"/>
    <w:rsid w:val="00B560DA"/>
    <w:rsid w:val="00B568F2"/>
    <w:rsid w:val="00B569D5"/>
    <w:rsid w:val="00B56C2D"/>
    <w:rsid w:val="00B571F2"/>
    <w:rsid w:val="00B57200"/>
    <w:rsid w:val="00B577AC"/>
    <w:rsid w:val="00B57D76"/>
    <w:rsid w:val="00B60077"/>
    <w:rsid w:val="00B60A7F"/>
    <w:rsid w:val="00B60DF4"/>
    <w:rsid w:val="00B6104D"/>
    <w:rsid w:val="00B61A89"/>
    <w:rsid w:val="00B61AB2"/>
    <w:rsid w:val="00B61CB2"/>
    <w:rsid w:val="00B61D2D"/>
    <w:rsid w:val="00B61F3D"/>
    <w:rsid w:val="00B62393"/>
    <w:rsid w:val="00B625A9"/>
    <w:rsid w:val="00B6283F"/>
    <w:rsid w:val="00B629D1"/>
    <w:rsid w:val="00B629E3"/>
    <w:rsid w:val="00B62D50"/>
    <w:rsid w:val="00B62FEF"/>
    <w:rsid w:val="00B636E4"/>
    <w:rsid w:val="00B63771"/>
    <w:rsid w:val="00B637B9"/>
    <w:rsid w:val="00B63AAD"/>
    <w:rsid w:val="00B63F94"/>
    <w:rsid w:val="00B64078"/>
    <w:rsid w:val="00B64187"/>
    <w:rsid w:val="00B64D8D"/>
    <w:rsid w:val="00B64F7D"/>
    <w:rsid w:val="00B652E9"/>
    <w:rsid w:val="00B6540D"/>
    <w:rsid w:val="00B656E9"/>
    <w:rsid w:val="00B65C7B"/>
    <w:rsid w:val="00B6640F"/>
    <w:rsid w:val="00B66421"/>
    <w:rsid w:val="00B66585"/>
    <w:rsid w:val="00B671B1"/>
    <w:rsid w:val="00B67282"/>
    <w:rsid w:val="00B676CD"/>
    <w:rsid w:val="00B676D6"/>
    <w:rsid w:val="00B67ACA"/>
    <w:rsid w:val="00B70118"/>
    <w:rsid w:val="00B701B3"/>
    <w:rsid w:val="00B70353"/>
    <w:rsid w:val="00B70691"/>
    <w:rsid w:val="00B70B92"/>
    <w:rsid w:val="00B70BB9"/>
    <w:rsid w:val="00B70C14"/>
    <w:rsid w:val="00B71266"/>
    <w:rsid w:val="00B71555"/>
    <w:rsid w:val="00B71709"/>
    <w:rsid w:val="00B717EE"/>
    <w:rsid w:val="00B71A8C"/>
    <w:rsid w:val="00B71B64"/>
    <w:rsid w:val="00B726B0"/>
    <w:rsid w:val="00B72753"/>
    <w:rsid w:val="00B72890"/>
    <w:rsid w:val="00B729E3"/>
    <w:rsid w:val="00B72E37"/>
    <w:rsid w:val="00B72F60"/>
    <w:rsid w:val="00B73836"/>
    <w:rsid w:val="00B73E04"/>
    <w:rsid w:val="00B741AE"/>
    <w:rsid w:val="00B74254"/>
    <w:rsid w:val="00B742EE"/>
    <w:rsid w:val="00B74931"/>
    <w:rsid w:val="00B74C48"/>
    <w:rsid w:val="00B75245"/>
    <w:rsid w:val="00B75721"/>
    <w:rsid w:val="00B758A4"/>
    <w:rsid w:val="00B75A19"/>
    <w:rsid w:val="00B76231"/>
    <w:rsid w:val="00B76310"/>
    <w:rsid w:val="00B766EF"/>
    <w:rsid w:val="00B767A3"/>
    <w:rsid w:val="00B76AC4"/>
    <w:rsid w:val="00B77E9F"/>
    <w:rsid w:val="00B80B6F"/>
    <w:rsid w:val="00B8122D"/>
    <w:rsid w:val="00B818B0"/>
    <w:rsid w:val="00B821B5"/>
    <w:rsid w:val="00B823E2"/>
    <w:rsid w:val="00B82592"/>
    <w:rsid w:val="00B82F0E"/>
    <w:rsid w:val="00B83339"/>
    <w:rsid w:val="00B840B6"/>
    <w:rsid w:val="00B84239"/>
    <w:rsid w:val="00B84479"/>
    <w:rsid w:val="00B845D6"/>
    <w:rsid w:val="00B84669"/>
    <w:rsid w:val="00B84DCB"/>
    <w:rsid w:val="00B85617"/>
    <w:rsid w:val="00B85EEE"/>
    <w:rsid w:val="00B86008"/>
    <w:rsid w:val="00B86023"/>
    <w:rsid w:val="00B867E9"/>
    <w:rsid w:val="00B86AD8"/>
    <w:rsid w:val="00B87029"/>
    <w:rsid w:val="00B87144"/>
    <w:rsid w:val="00B8732D"/>
    <w:rsid w:val="00B905E3"/>
    <w:rsid w:val="00B90ED7"/>
    <w:rsid w:val="00B910C0"/>
    <w:rsid w:val="00B91254"/>
    <w:rsid w:val="00B9126F"/>
    <w:rsid w:val="00B913DB"/>
    <w:rsid w:val="00B91A0B"/>
    <w:rsid w:val="00B91A62"/>
    <w:rsid w:val="00B924EA"/>
    <w:rsid w:val="00B925B3"/>
    <w:rsid w:val="00B92746"/>
    <w:rsid w:val="00B92B85"/>
    <w:rsid w:val="00B92E25"/>
    <w:rsid w:val="00B931D2"/>
    <w:rsid w:val="00B93B7B"/>
    <w:rsid w:val="00B93DC0"/>
    <w:rsid w:val="00B93DC9"/>
    <w:rsid w:val="00B94199"/>
    <w:rsid w:val="00B94416"/>
    <w:rsid w:val="00B946DA"/>
    <w:rsid w:val="00B94877"/>
    <w:rsid w:val="00B94F7A"/>
    <w:rsid w:val="00B9508C"/>
    <w:rsid w:val="00B95148"/>
    <w:rsid w:val="00B953C4"/>
    <w:rsid w:val="00B957F3"/>
    <w:rsid w:val="00B95C51"/>
    <w:rsid w:val="00B962A8"/>
    <w:rsid w:val="00B9658E"/>
    <w:rsid w:val="00B968DA"/>
    <w:rsid w:val="00B97200"/>
    <w:rsid w:val="00B97E96"/>
    <w:rsid w:val="00BA06FA"/>
    <w:rsid w:val="00BA079C"/>
    <w:rsid w:val="00BA09CB"/>
    <w:rsid w:val="00BA0F44"/>
    <w:rsid w:val="00BA1240"/>
    <w:rsid w:val="00BA1322"/>
    <w:rsid w:val="00BA1E9F"/>
    <w:rsid w:val="00BA21DE"/>
    <w:rsid w:val="00BA25C6"/>
    <w:rsid w:val="00BA2792"/>
    <w:rsid w:val="00BA2AFF"/>
    <w:rsid w:val="00BA2D65"/>
    <w:rsid w:val="00BA342A"/>
    <w:rsid w:val="00BA3522"/>
    <w:rsid w:val="00BA356E"/>
    <w:rsid w:val="00BA36F5"/>
    <w:rsid w:val="00BA3781"/>
    <w:rsid w:val="00BA3B07"/>
    <w:rsid w:val="00BA4283"/>
    <w:rsid w:val="00BA4403"/>
    <w:rsid w:val="00BA46A5"/>
    <w:rsid w:val="00BA48BE"/>
    <w:rsid w:val="00BA4CBC"/>
    <w:rsid w:val="00BA566E"/>
    <w:rsid w:val="00BA56D4"/>
    <w:rsid w:val="00BA6266"/>
    <w:rsid w:val="00BA65EA"/>
    <w:rsid w:val="00BA6959"/>
    <w:rsid w:val="00BA6B15"/>
    <w:rsid w:val="00BA6EAC"/>
    <w:rsid w:val="00BA7013"/>
    <w:rsid w:val="00BA781D"/>
    <w:rsid w:val="00BA7A6A"/>
    <w:rsid w:val="00BB0C5F"/>
    <w:rsid w:val="00BB0C95"/>
    <w:rsid w:val="00BB0E16"/>
    <w:rsid w:val="00BB214E"/>
    <w:rsid w:val="00BB237B"/>
    <w:rsid w:val="00BB23C1"/>
    <w:rsid w:val="00BB285A"/>
    <w:rsid w:val="00BB2990"/>
    <w:rsid w:val="00BB2A09"/>
    <w:rsid w:val="00BB32D6"/>
    <w:rsid w:val="00BB3663"/>
    <w:rsid w:val="00BB36CF"/>
    <w:rsid w:val="00BB39F0"/>
    <w:rsid w:val="00BB3A8B"/>
    <w:rsid w:val="00BB3DE1"/>
    <w:rsid w:val="00BB42AC"/>
    <w:rsid w:val="00BB4F6C"/>
    <w:rsid w:val="00BB54C4"/>
    <w:rsid w:val="00BB5F75"/>
    <w:rsid w:val="00BB622C"/>
    <w:rsid w:val="00BB6992"/>
    <w:rsid w:val="00BB6B27"/>
    <w:rsid w:val="00BB6B86"/>
    <w:rsid w:val="00BB6E35"/>
    <w:rsid w:val="00BB71F0"/>
    <w:rsid w:val="00BB7B9F"/>
    <w:rsid w:val="00BB7D67"/>
    <w:rsid w:val="00BC052F"/>
    <w:rsid w:val="00BC0D2D"/>
    <w:rsid w:val="00BC10EF"/>
    <w:rsid w:val="00BC18A1"/>
    <w:rsid w:val="00BC1A38"/>
    <w:rsid w:val="00BC1FFF"/>
    <w:rsid w:val="00BC26AA"/>
    <w:rsid w:val="00BC28CF"/>
    <w:rsid w:val="00BC2CB2"/>
    <w:rsid w:val="00BC2DC7"/>
    <w:rsid w:val="00BC3A95"/>
    <w:rsid w:val="00BC3AD7"/>
    <w:rsid w:val="00BC3B8F"/>
    <w:rsid w:val="00BC3D18"/>
    <w:rsid w:val="00BC3DE5"/>
    <w:rsid w:val="00BC3F7A"/>
    <w:rsid w:val="00BC465D"/>
    <w:rsid w:val="00BC4676"/>
    <w:rsid w:val="00BC480C"/>
    <w:rsid w:val="00BC4AC8"/>
    <w:rsid w:val="00BC5435"/>
    <w:rsid w:val="00BC54F3"/>
    <w:rsid w:val="00BC5770"/>
    <w:rsid w:val="00BC5DA2"/>
    <w:rsid w:val="00BC6273"/>
    <w:rsid w:val="00BC6828"/>
    <w:rsid w:val="00BC69AE"/>
    <w:rsid w:val="00BC6A71"/>
    <w:rsid w:val="00BC7131"/>
    <w:rsid w:val="00BC7E39"/>
    <w:rsid w:val="00BC7F8A"/>
    <w:rsid w:val="00BD04CA"/>
    <w:rsid w:val="00BD04E7"/>
    <w:rsid w:val="00BD0BA6"/>
    <w:rsid w:val="00BD0DD5"/>
    <w:rsid w:val="00BD0F1B"/>
    <w:rsid w:val="00BD11DB"/>
    <w:rsid w:val="00BD1501"/>
    <w:rsid w:val="00BD1EB5"/>
    <w:rsid w:val="00BD237A"/>
    <w:rsid w:val="00BD2397"/>
    <w:rsid w:val="00BD23B9"/>
    <w:rsid w:val="00BD23EA"/>
    <w:rsid w:val="00BD2823"/>
    <w:rsid w:val="00BD3154"/>
    <w:rsid w:val="00BD3379"/>
    <w:rsid w:val="00BD3586"/>
    <w:rsid w:val="00BD3633"/>
    <w:rsid w:val="00BD3E28"/>
    <w:rsid w:val="00BD3EA7"/>
    <w:rsid w:val="00BD3FBD"/>
    <w:rsid w:val="00BD451D"/>
    <w:rsid w:val="00BD47A7"/>
    <w:rsid w:val="00BD4A0D"/>
    <w:rsid w:val="00BD5241"/>
    <w:rsid w:val="00BD56AB"/>
    <w:rsid w:val="00BD5802"/>
    <w:rsid w:val="00BD5950"/>
    <w:rsid w:val="00BD5E28"/>
    <w:rsid w:val="00BD6026"/>
    <w:rsid w:val="00BD6245"/>
    <w:rsid w:val="00BD6387"/>
    <w:rsid w:val="00BD6645"/>
    <w:rsid w:val="00BD729B"/>
    <w:rsid w:val="00BD746D"/>
    <w:rsid w:val="00BD74DE"/>
    <w:rsid w:val="00BD7526"/>
    <w:rsid w:val="00BD78E7"/>
    <w:rsid w:val="00BE0078"/>
    <w:rsid w:val="00BE0157"/>
    <w:rsid w:val="00BE055C"/>
    <w:rsid w:val="00BE096F"/>
    <w:rsid w:val="00BE0BA3"/>
    <w:rsid w:val="00BE11EA"/>
    <w:rsid w:val="00BE1764"/>
    <w:rsid w:val="00BE1C9F"/>
    <w:rsid w:val="00BE1D6A"/>
    <w:rsid w:val="00BE1E9A"/>
    <w:rsid w:val="00BE217B"/>
    <w:rsid w:val="00BE2732"/>
    <w:rsid w:val="00BE326C"/>
    <w:rsid w:val="00BE3299"/>
    <w:rsid w:val="00BE3495"/>
    <w:rsid w:val="00BE3746"/>
    <w:rsid w:val="00BE39D7"/>
    <w:rsid w:val="00BE3B17"/>
    <w:rsid w:val="00BE3B9A"/>
    <w:rsid w:val="00BE3F2A"/>
    <w:rsid w:val="00BE4BC4"/>
    <w:rsid w:val="00BE501A"/>
    <w:rsid w:val="00BE56D3"/>
    <w:rsid w:val="00BE5E88"/>
    <w:rsid w:val="00BE5FA5"/>
    <w:rsid w:val="00BE6043"/>
    <w:rsid w:val="00BE6422"/>
    <w:rsid w:val="00BE66E1"/>
    <w:rsid w:val="00BE6787"/>
    <w:rsid w:val="00BE6A44"/>
    <w:rsid w:val="00BE6A47"/>
    <w:rsid w:val="00BE6B10"/>
    <w:rsid w:val="00BE6E54"/>
    <w:rsid w:val="00BE73E6"/>
    <w:rsid w:val="00BE79BC"/>
    <w:rsid w:val="00BF0D82"/>
    <w:rsid w:val="00BF1290"/>
    <w:rsid w:val="00BF12A3"/>
    <w:rsid w:val="00BF13B4"/>
    <w:rsid w:val="00BF159E"/>
    <w:rsid w:val="00BF1B50"/>
    <w:rsid w:val="00BF1C56"/>
    <w:rsid w:val="00BF235A"/>
    <w:rsid w:val="00BF2372"/>
    <w:rsid w:val="00BF265B"/>
    <w:rsid w:val="00BF29C8"/>
    <w:rsid w:val="00BF2ED9"/>
    <w:rsid w:val="00BF2FF4"/>
    <w:rsid w:val="00BF3463"/>
    <w:rsid w:val="00BF34D6"/>
    <w:rsid w:val="00BF38AF"/>
    <w:rsid w:val="00BF4B7F"/>
    <w:rsid w:val="00BF4F8F"/>
    <w:rsid w:val="00BF4FB7"/>
    <w:rsid w:val="00BF56B9"/>
    <w:rsid w:val="00BF58D9"/>
    <w:rsid w:val="00BF5944"/>
    <w:rsid w:val="00BF5987"/>
    <w:rsid w:val="00BF5A1A"/>
    <w:rsid w:val="00BF5AE5"/>
    <w:rsid w:val="00BF606F"/>
    <w:rsid w:val="00BF651F"/>
    <w:rsid w:val="00BF69F1"/>
    <w:rsid w:val="00BF6A28"/>
    <w:rsid w:val="00BF6A47"/>
    <w:rsid w:val="00BF7156"/>
    <w:rsid w:val="00BF7265"/>
    <w:rsid w:val="00BF76E5"/>
    <w:rsid w:val="00BF776E"/>
    <w:rsid w:val="00BF78AB"/>
    <w:rsid w:val="00BF7A1E"/>
    <w:rsid w:val="00BF7BA3"/>
    <w:rsid w:val="00C00135"/>
    <w:rsid w:val="00C00267"/>
    <w:rsid w:val="00C006A2"/>
    <w:rsid w:val="00C00C94"/>
    <w:rsid w:val="00C00E21"/>
    <w:rsid w:val="00C0132C"/>
    <w:rsid w:val="00C013F2"/>
    <w:rsid w:val="00C01545"/>
    <w:rsid w:val="00C01631"/>
    <w:rsid w:val="00C0193E"/>
    <w:rsid w:val="00C01A79"/>
    <w:rsid w:val="00C01BC2"/>
    <w:rsid w:val="00C02321"/>
    <w:rsid w:val="00C02E9A"/>
    <w:rsid w:val="00C03B1A"/>
    <w:rsid w:val="00C03B3B"/>
    <w:rsid w:val="00C03D33"/>
    <w:rsid w:val="00C04213"/>
    <w:rsid w:val="00C04B4F"/>
    <w:rsid w:val="00C05154"/>
    <w:rsid w:val="00C055CF"/>
    <w:rsid w:val="00C059AE"/>
    <w:rsid w:val="00C05C33"/>
    <w:rsid w:val="00C060E7"/>
    <w:rsid w:val="00C0623B"/>
    <w:rsid w:val="00C064F3"/>
    <w:rsid w:val="00C06A6E"/>
    <w:rsid w:val="00C07289"/>
    <w:rsid w:val="00C07300"/>
    <w:rsid w:val="00C074E9"/>
    <w:rsid w:val="00C07768"/>
    <w:rsid w:val="00C07BA8"/>
    <w:rsid w:val="00C07D74"/>
    <w:rsid w:val="00C1034B"/>
    <w:rsid w:val="00C1053C"/>
    <w:rsid w:val="00C108B4"/>
    <w:rsid w:val="00C10D23"/>
    <w:rsid w:val="00C110C1"/>
    <w:rsid w:val="00C11C25"/>
    <w:rsid w:val="00C11D68"/>
    <w:rsid w:val="00C11DB5"/>
    <w:rsid w:val="00C126EF"/>
    <w:rsid w:val="00C128DC"/>
    <w:rsid w:val="00C12FE7"/>
    <w:rsid w:val="00C12FEC"/>
    <w:rsid w:val="00C13163"/>
    <w:rsid w:val="00C13260"/>
    <w:rsid w:val="00C132B1"/>
    <w:rsid w:val="00C13396"/>
    <w:rsid w:val="00C135F8"/>
    <w:rsid w:val="00C136B2"/>
    <w:rsid w:val="00C13A3A"/>
    <w:rsid w:val="00C13A43"/>
    <w:rsid w:val="00C13A8B"/>
    <w:rsid w:val="00C1420D"/>
    <w:rsid w:val="00C14ABC"/>
    <w:rsid w:val="00C14EF6"/>
    <w:rsid w:val="00C1586E"/>
    <w:rsid w:val="00C1623F"/>
    <w:rsid w:val="00C16D61"/>
    <w:rsid w:val="00C174AF"/>
    <w:rsid w:val="00C175E2"/>
    <w:rsid w:val="00C17C1D"/>
    <w:rsid w:val="00C17E77"/>
    <w:rsid w:val="00C17EC8"/>
    <w:rsid w:val="00C20024"/>
    <w:rsid w:val="00C201A1"/>
    <w:rsid w:val="00C201B1"/>
    <w:rsid w:val="00C20AEE"/>
    <w:rsid w:val="00C20BBA"/>
    <w:rsid w:val="00C21DBF"/>
    <w:rsid w:val="00C2204C"/>
    <w:rsid w:val="00C222A8"/>
    <w:rsid w:val="00C223B7"/>
    <w:rsid w:val="00C2265E"/>
    <w:rsid w:val="00C22808"/>
    <w:rsid w:val="00C228DF"/>
    <w:rsid w:val="00C22F72"/>
    <w:rsid w:val="00C23760"/>
    <w:rsid w:val="00C2378B"/>
    <w:rsid w:val="00C237C7"/>
    <w:rsid w:val="00C23E8F"/>
    <w:rsid w:val="00C24323"/>
    <w:rsid w:val="00C247C0"/>
    <w:rsid w:val="00C24856"/>
    <w:rsid w:val="00C24AC5"/>
    <w:rsid w:val="00C24ADB"/>
    <w:rsid w:val="00C24EE3"/>
    <w:rsid w:val="00C24F40"/>
    <w:rsid w:val="00C250D6"/>
    <w:rsid w:val="00C25490"/>
    <w:rsid w:val="00C255C0"/>
    <w:rsid w:val="00C25EAC"/>
    <w:rsid w:val="00C2610D"/>
    <w:rsid w:val="00C26251"/>
    <w:rsid w:val="00C26494"/>
    <w:rsid w:val="00C2670B"/>
    <w:rsid w:val="00C26C3D"/>
    <w:rsid w:val="00C26E93"/>
    <w:rsid w:val="00C27384"/>
    <w:rsid w:val="00C27439"/>
    <w:rsid w:val="00C275C5"/>
    <w:rsid w:val="00C2782D"/>
    <w:rsid w:val="00C27987"/>
    <w:rsid w:val="00C279A8"/>
    <w:rsid w:val="00C27BC9"/>
    <w:rsid w:val="00C27BDD"/>
    <w:rsid w:val="00C27ED5"/>
    <w:rsid w:val="00C30311"/>
    <w:rsid w:val="00C303C5"/>
    <w:rsid w:val="00C3070E"/>
    <w:rsid w:val="00C30BE3"/>
    <w:rsid w:val="00C30C89"/>
    <w:rsid w:val="00C30F78"/>
    <w:rsid w:val="00C31556"/>
    <w:rsid w:val="00C31C6D"/>
    <w:rsid w:val="00C328BD"/>
    <w:rsid w:val="00C336CA"/>
    <w:rsid w:val="00C33BED"/>
    <w:rsid w:val="00C33C3C"/>
    <w:rsid w:val="00C33EB2"/>
    <w:rsid w:val="00C33EBC"/>
    <w:rsid w:val="00C3402B"/>
    <w:rsid w:val="00C34075"/>
    <w:rsid w:val="00C344A4"/>
    <w:rsid w:val="00C348F3"/>
    <w:rsid w:val="00C34997"/>
    <w:rsid w:val="00C34EA8"/>
    <w:rsid w:val="00C35371"/>
    <w:rsid w:val="00C3548A"/>
    <w:rsid w:val="00C35608"/>
    <w:rsid w:val="00C35CD4"/>
    <w:rsid w:val="00C35D94"/>
    <w:rsid w:val="00C36601"/>
    <w:rsid w:val="00C368C4"/>
    <w:rsid w:val="00C36A32"/>
    <w:rsid w:val="00C36B7A"/>
    <w:rsid w:val="00C36BDE"/>
    <w:rsid w:val="00C371BD"/>
    <w:rsid w:val="00C373D9"/>
    <w:rsid w:val="00C373ED"/>
    <w:rsid w:val="00C376B3"/>
    <w:rsid w:val="00C37C36"/>
    <w:rsid w:val="00C37D55"/>
    <w:rsid w:val="00C37E8C"/>
    <w:rsid w:val="00C37EC3"/>
    <w:rsid w:val="00C40044"/>
    <w:rsid w:val="00C40747"/>
    <w:rsid w:val="00C4086A"/>
    <w:rsid w:val="00C40EF5"/>
    <w:rsid w:val="00C414F1"/>
    <w:rsid w:val="00C415C1"/>
    <w:rsid w:val="00C4199A"/>
    <w:rsid w:val="00C426CD"/>
    <w:rsid w:val="00C42A78"/>
    <w:rsid w:val="00C43341"/>
    <w:rsid w:val="00C43FDD"/>
    <w:rsid w:val="00C440D5"/>
    <w:rsid w:val="00C441C3"/>
    <w:rsid w:val="00C44BA3"/>
    <w:rsid w:val="00C44CCE"/>
    <w:rsid w:val="00C44DE3"/>
    <w:rsid w:val="00C451B0"/>
    <w:rsid w:val="00C45233"/>
    <w:rsid w:val="00C45457"/>
    <w:rsid w:val="00C455B4"/>
    <w:rsid w:val="00C45809"/>
    <w:rsid w:val="00C45E4D"/>
    <w:rsid w:val="00C45F69"/>
    <w:rsid w:val="00C464CF"/>
    <w:rsid w:val="00C46615"/>
    <w:rsid w:val="00C469D1"/>
    <w:rsid w:val="00C478CF"/>
    <w:rsid w:val="00C50609"/>
    <w:rsid w:val="00C50E14"/>
    <w:rsid w:val="00C5180E"/>
    <w:rsid w:val="00C51AF1"/>
    <w:rsid w:val="00C52139"/>
    <w:rsid w:val="00C521C5"/>
    <w:rsid w:val="00C52CBA"/>
    <w:rsid w:val="00C52D85"/>
    <w:rsid w:val="00C52F76"/>
    <w:rsid w:val="00C537AA"/>
    <w:rsid w:val="00C53B84"/>
    <w:rsid w:val="00C54134"/>
    <w:rsid w:val="00C543ED"/>
    <w:rsid w:val="00C545FC"/>
    <w:rsid w:val="00C546CE"/>
    <w:rsid w:val="00C54745"/>
    <w:rsid w:val="00C54799"/>
    <w:rsid w:val="00C54937"/>
    <w:rsid w:val="00C5534C"/>
    <w:rsid w:val="00C55383"/>
    <w:rsid w:val="00C554F8"/>
    <w:rsid w:val="00C55EE4"/>
    <w:rsid w:val="00C56840"/>
    <w:rsid w:val="00C5741D"/>
    <w:rsid w:val="00C57933"/>
    <w:rsid w:val="00C57B72"/>
    <w:rsid w:val="00C57C22"/>
    <w:rsid w:val="00C57CB6"/>
    <w:rsid w:val="00C60176"/>
    <w:rsid w:val="00C60583"/>
    <w:rsid w:val="00C60BA4"/>
    <w:rsid w:val="00C60D1B"/>
    <w:rsid w:val="00C60DBC"/>
    <w:rsid w:val="00C61465"/>
    <w:rsid w:val="00C614B7"/>
    <w:rsid w:val="00C61824"/>
    <w:rsid w:val="00C61B64"/>
    <w:rsid w:val="00C61F62"/>
    <w:rsid w:val="00C61F83"/>
    <w:rsid w:val="00C625B7"/>
    <w:rsid w:val="00C62786"/>
    <w:rsid w:val="00C62BCE"/>
    <w:rsid w:val="00C6356A"/>
    <w:rsid w:val="00C638BC"/>
    <w:rsid w:val="00C63DC2"/>
    <w:rsid w:val="00C63EEC"/>
    <w:rsid w:val="00C64AC3"/>
    <w:rsid w:val="00C64D74"/>
    <w:rsid w:val="00C65995"/>
    <w:rsid w:val="00C659BC"/>
    <w:rsid w:val="00C65DC1"/>
    <w:rsid w:val="00C660BA"/>
    <w:rsid w:val="00C6616E"/>
    <w:rsid w:val="00C665D6"/>
    <w:rsid w:val="00C66753"/>
    <w:rsid w:val="00C66B94"/>
    <w:rsid w:val="00C66CCB"/>
    <w:rsid w:val="00C66CD9"/>
    <w:rsid w:val="00C66F1C"/>
    <w:rsid w:val="00C66FCA"/>
    <w:rsid w:val="00C6791B"/>
    <w:rsid w:val="00C67B40"/>
    <w:rsid w:val="00C704DF"/>
    <w:rsid w:val="00C70652"/>
    <w:rsid w:val="00C70939"/>
    <w:rsid w:val="00C7094C"/>
    <w:rsid w:val="00C70A67"/>
    <w:rsid w:val="00C70A83"/>
    <w:rsid w:val="00C70F58"/>
    <w:rsid w:val="00C7122B"/>
    <w:rsid w:val="00C7123D"/>
    <w:rsid w:val="00C71515"/>
    <w:rsid w:val="00C71551"/>
    <w:rsid w:val="00C71DED"/>
    <w:rsid w:val="00C71FFE"/>
    <w:rsid w:val="00C728A8"/>
    <w:rsid w:val="00C73095"/>
    <w:rsid w:val="00C73759"/>
    <w:rsid w:val="00C73E6D"/>
    <w:rsid w:val="00C7410F"/>
    <w:rsid w:val="00C74862"/>
    <w:rsid w:val="00C7496D"/>
    <w:rsid w:val="00C749B3"/>
    <w:rsid w:val="00C752D5"/>
    <w:rsid w:val="00C753EB"/>
    <w:rsid w:val="00C75464"/>
    <w:rsid w:val="00C7546E"/>
    <w:rsid w:val="00C75926"/>
    <w:rsid w:val="00C75ECA"/>
    <w:rsid w:val="00C7629E"/>
    <w:rsid w:val="00C762F5"/>
    <w:rsid w:val="00C766B9"/>
    <w:rsid w:val="00C76BF1"/>
    <w:rsid w:val="00C77789"/>
    <w:rsid w:val="00C77A02"/>
    <w:rsid w:val="00C77FAF"/>
    <w:rsid w:val="00C80043"/>
    <w:rsid w:val="00C8005E"/>
    <w:rsid w:val="00C8099F"/>
    <w:rsid w:val="00C80EF5"/>
    <w:rsid w:val="00C823C1"/>
    <w:rsid w:val="00C8257B"/>
    <w:rsid w:val="00C827A9"/>
    <w:rsid w:val="00C82E2F"/>
    <w:rsid w:val="00C839D9"/>
    <w:rsid w:val="00C83DBF"/>
    <w:rsid w:val="00C83E51"/>
    <w:rsid w:val="00C84231"/>
    <w:rsid w:val="00C844DA"/>
    <w:rsid w:val="00C8460A"/>
    <w:rsid w:val="00C8491A"/>
    <w:rsid w:val="00C84E7E"/>
    <w:rsid w:val="00C854AA"/>
    <w:rsid w:val="00C86209"/>
    <w:rsid w:val="00C86421"/>
    <w:rsid w:val="00C86642"/>
    <w:rsid w:val="00C869E9"/>
    <w:rsid w:val="00C869F9"/>
    <w:rsid w:val="00C870DA"/>
    <w:rsid w:val="00C87367"/>
    <w:rsid w:val="00C87551"/>
    <w:rsid w:val="00C87688"/>
    <w:rsid w:val="00C879AC"/>
    <w:rsid w:val="00C87D1B"/>
    <w:rsid w:val="00C87F9F"/>
    <w:rsid w:val="00C90709"/>
    <w:rsid w:val="00C909E5"/>
    <w:rsid w:val="00C90E19"/>
    <w:rsid w:val="00C914DE"/>
    <w:rsid w:val="00C9239E"/>
    <w:rsid w:val="00C92620"/>
    <w:rsid w:val="00C926A0"/>
    <w:rsid w:val="00C926BE"/>
    <w:rsid w:val="00C929F8"/>
    <w:rsid w:val="00C92A3F"/>
    <w:rsid w:val="00C9304D"/>
    <w:rsid w:val="00C93097"/>
    <w:rsid w:val="00C93F3D"/>
    <w:rsid w:val="00C94527"/>
    <w:rsid w:val="00C94917"/>
    <w:rsid w:val="00C94BDC"/>
    <w:rsid w:val="00C950D3"/>
    <w:rsid w:val="00C950E9"/>
    <w:rsid w:val="00C95C71"/>
    <w:rsid w:val="00C95D88"/>
    <w:rsid w:val="00C96B98"/>
    <w:rsid w:val="00C96DB8"/>
    <w:rsid w:val="00C9708D"/>
    <w:rsid w:val="00C97166"/>
    <w:rsid w:val="00C971DF"/>
    <w:rsid w:val="00C97415"/>
    <w:rsid w:val="00C977E8"/>
    <w:rsid w:val="00C97F2B"/>
    <w:rsid w:val="00C97FA5"/>
    <w:rsid w:val="00CA0B5D"/>
    <w:rsid w:val="00CA12CD"/>
    <w:rsid w:val="00CA1C04"/>
    <w:rsid w:val="00CA1C66"/>
    <w:rsid w:val="00CA2065"/>
    <w:rsid w:val="00CA20B5"/>
    <w:rsid w:val="00CA222A"/>
    <w:rsid w:val="00CA259A"/>
    <w:rsid w:val="00CA2BFB"/>
    <w:rsid w:val="00CA3385"/>
    <w:rsid w:val="00CA3691"/>
    <w:rsid w:val="00CA41AD"/>
    <w:rsid w:val="00CA45DE"/>
    <w:rsid w:val="00CA502E"/>
    <w:rsid w:val="00CA516B"/>
    <w:rsid w:val="00CA532B"/>
    <w:rsid w:val="00CA5D35"/>
    <w:rsid w:val="00CA5D9D"/>
    <w:rsid w:val="00CA61BD"/>
    <w:rsid w:val="00CA64B3"/>
    <w:rsid w:val="00CA69E7"/>
    <w:rsid w:val="00CA6A40"/>
    <w:rsid w:val="00CA7056"/>
    <w:rsid w:val="00CA73A7"/>
    <w:rsid w:val="00CA73F2"/>
    <w:rsid w:val="00CA7465"/>
    <w:rsid w:val="00CA7B48"/>
    <w:rsid w:val="00CB001F"/>
    <w:rsid w:val="00CB0658"/>
    <w:rsid w:val="00CB0733"/>
    <w:rsid w:val="00CB0DD4"/>
    <w:rsid w:val="00CB0E93"/>
    <w:rsid w:val="00CB0F3B"/>
    <w:rsid w:val="00CB0FA4"/>
    <w:rsid w:val="00CB1044"/>
    <w:rsid w:val="00CB11A9"/>
    <w:rsid w:val="00CB12CE"/>
    <w:rsid w:val="00CB1BDA"/>
    <w:rsid w:val="00CB1D12"/>
    <w:rsid w:val="00CB244A"/>
    <w:rsid w:val="00CB277B"/>
    <w:rsid w:val="00CB2E4D"/>
    <w:rsid w:val="00CB2EC2"/>
    <w:rsid w:val="00CB32F8"/>
    <w:rsid w:val="00CB38B8"/>
    <w:rsid w:val="00CB3FA2"/>
    <w:rsid w:val="00CB43E0"/>
    <w:rsid w:val="00CB457B"/>
    <w:rsid w:val="00CB4595"/>
    <w:rsid w:val="00CB4AC8"/>
    <w:rsid w:val="00CB4D5C"/>
    <w:rsid w:val="00CB5320"/>
    <w:rsid w:val="00CB5C5B"/>
    <w:rsid w:val="00CB6532"/>
    <w:rsid w:val="00CB6914"/>
    <w:rsid w:val="00CB6E71"/>
    <w:rsid w:val="00CB716F"/>
    <w:rsid w:val="00CB721E"/>
    <w:rsid w:val="00CB79D9"/>
    <w:rsid w:val="00CB7B44"/>
    <w:rsid w:val="00CC07EA"/>
    <w:rsid w:val="00CC1459"/>
    <w:rsid w:val="00CC1CE8"/>
    <w:rsid w:val="00CC1DFB"/>
    <w:rsid w:val="00CC1E05"/>
    <w:rsid w:val="00CC29BC"/>
    <w:rsid w:val="00CC2BE9"/>
    <w:rsid w:val="00CC2F0C"/>
    <w:rsid w:val="00CC342B"/>
    <w:rsid w:val="00CC3A06"/>
    <w:rsid w:val="00CC4101"/>
    <w:rsid w:val="00CC4A86"/>
    <w:rsid w:val="00CC4AC4"/>
    <w:rsid w:val="00CC5AF6"/>
    <w:rsid w:val="00CC5C42"/>
    <w:rsid w:val="00CC639F"/>
    <w:rsid w:val="00CC65FA"/>
    <w:rsid w:val="00CC69D8"/>
    <w:rsid w:val="00CC6DFB"/>
    <w:rsid w:val="00CC6FDC"/>
    <w:rsid w:val="00CC714E"/>
    <w:rsid w:val="00CC7E74"/>
    <w:rsid w:val="00CC7ED6"/>
    <w:rsid w:val="00CD002E"/>
    <w:rsid w:val="00CD068D"/>
    <w:rsid w:val="00CD097D"/>
    <w:rsid w:val="00CD0CB3"/>
    <w:rsid w:val="00CD0D0F"/>
    <w:rsid w:val="00CD1141"/>
    <w:rsid w:val="00CD2FB0"/>
    <w:rsid w:val="00CD32C9"/>
    <w:rsid w:val="00CD3516"/>
    <w:rsid w:val="00CD35F0"/>
    <w:rsid w:val="00CD3EAB"/>
    <w:rsid w:val="00CD3F64"/>
    <w:rsid w:val="00CD4294"/>
    <w:rsid w:val="00CD4831"/>
    <w:rsid w:val="00CD4868"/>
    <w:rsid w:val="00CD4F0A"/>
    <w:rsid w:val="00CD534F"/>
    <w:rsid w:val="00CD559F"/>
    <w:rsid w:val="00CD5934"/>
    <w:rsid w:val="00CD5B49"/>
    <w:rsid w:val="00CD5E6D"/>
    <w:rsid w:val="00CD5F77"/>
    <w:rsid w:val="00CD5F90"/>
    <w:rsid w:val="00CD6008"/>
    <w:rsid w:val="00CD63C4"/>
    <w:rsid w:val="00CD6A5A"/>
    <w:rsid w:val="00CD6CB2"/>
    <w:rsid w:val="00CD7148"/>
    <w:rsid w:val="00CD72F0"/>
    <w:rsid w:val="00CD739B"/>
    <w:rsid w:val="00CD7B31"/>
    <w:rsid w:val="00CE002E"/>
    <w:rsid w:val="00CE0273"/>
    <w:rsid w:val="00CE0465"/>
    <w:rsid w:val="00CE077E"/>
    <w:rsid w:val="00CE0BEB"/>
    <w:rsid w:val="00CE0E04"/>
    <w:rsid w:val="00CE1337"/>
    <w:rsid w:val="00CE1FED"/>
    <w:rsid w:val="00CE20FE"/>
    <w:rsid w:val="00CE218A"/>
    <w:rsid w:val="00CE22F4"/>
    <w:rsid w:val="00CE24FA"/>
    <w:rsid w:val="00CE2618"/>
    <w:rsid w:val="00CE261E"/>
    <w:rsid w:val="00CE2712"/>
    <w:rsid w:val="00CE2BD4"/>
    <w:rsid w:val="00CE3275"/>
    <w:rsid w:val="00CE3594"/>
    <w:rsid w:val="00CE3777"/>
    <w:rsid w:val="00CE377A"/>
    <w:rsid w:val="00CE3B3E"/>
    <w:rsid w:val="00CE4060"/>
    <w:rsid w:val="00CE4228"/>
    <w:rsid w:val="00CE4379"/>
    <w:rsid w:val="00CE4546"/>
    <w:rsid w:val="00CE47B8"/>
    <w:rsid w:val="00CE49D9"/>
    <w:rsid w:val="00CE5045"/>
    <w:rsid w:val="00CE54F6"/>
    <w:rsid w:val="00CE5D36"/>
    <w:rsid w:val="00CE6379"/>
    <w:rsid w:val="00CE68B5"/>
    <w:rsid w:val="00CE6965"/>
    <w:rsid w:val="00CE6E19"/>
    <w:rsid w:val="00CE6E63"/>
    <w:rsid w:val="00CE777A"/>
    <w:rsid w:val="00CE7BAF"/>
    <w:rsid w:val="00CE7EFF"/>
    <w:rsid w:val="00CF01B3"/>
    <w:rsid w:val="00CF05D1"/>
    <w:rsid w:val="00CF0ACF"/>
    <w:rsid w:val="00CF113E"/>
    <w:rsid w:val="00CF11B8"/>
    <w:rsid w:val="00CF1390"/>
    <w:rsid w:val="00CF13AD"/>
    <w:rsid w:val="00CF154F"/>
    <w:rsid w:val="00CF1B9F"/>
    <w:rsid w:val="00CF1BE0"/>
    <w:rsid w:val="00CF1E5C"/>
    <w:rsid w:val="00CF1FA6"/>
    <w:rsid w:val="00CF205D"/>
    <w:rsid w:val="00CF2776"/>
    <w:rsid w:val="00CF2D01"/>
    <w:rsid w:val="00CF31C8"/>
    <w:rsid w:val="00CF3AC8"/>
    <w:rsid w:val="00CF3E2D"/>
    <w:rsid w:val="00CF424E"/>
    <w:rsid w:val="00CF4956"/>
    <w:rsid w:val="00CF618F"/>
    <w:rsid w:val="00CF6403"/>
    <w:rsid w:val="00CF6C63"/>
    <w:rsid w:val="00CF6C72"/>
    <w:rsid w:val="00CF6FAE"/>
    <w:rsid w:val="00CF6FD1"/>
    <w:rsid w:val="00CF70E7"/>
    <w:rsid w:val="00CF757D"/>
    <w:rsid w:val="00CF75B3"/>
    <w:rsid w:val="00CF79E5"/>
    <w:rsid w:val="00D00365"/>
    <w:rsid w:val="00D00587"/>
    <w:rsid w:val="00D00788"/>
    <w:rsid w:val="00D008D4"/>
    <w:rsid w:val="00D00B7A"/>
    <w:rsid w:val="00D00D37"/>
    <w:rsid w:val="00D01004"/>
    <w:rsid w:val="00D02364"/>
    <w:rsid w:val="00D027F8"/>
    <w:rsid w:val="00D02912"/>
    <w:rsid w:val="00D030E7"/>
    <w:rsid w:val="00D03177"/>
    <w:rsid w:val="00D03200"/>
    <w:rsid w:val="00D033BB"/>
    <w:rsid w:val="00D035FA"/>
    <w:rsid w:val="00D03DF0"/>
    <w:rsid w:val="00D04028"/>
    <w:rsid w:val="00D040C3"/>
    <w:rsid w:val="00D04AE4"/>
    <w:rsid w:val="00D05467"/>
    <w:rsid w:val="00D0586B"/>
    <w:rsid w:val="00D05A89"/>
    <w:rsid w:val="00D05E25"/>
    <w:rsid w:val="00D06AD4"/>
    <w:rsid w:val="00D06D46"/>
    <w:rsid w:val="00D0784A"/>
    <w:rsid w:val="00D07CB1"/>
    <w:rsid w:val="00D07F8E"/>
    <w:rsid w:val="00D10387"/>
    <w:rsid w:val="00D10A6C"/>
    <w:rsid w:val="00D10A9E"/>
    <w:rsid w:val="00D10D26"/>
    <w:rsid w:val="00D1104C"/>
    <w:rsid w:val="00D114C3"/>
    <w:rsid w:val="00D11A60"/>
    <w:rsid w:val="00D11AAE"/>
    <w:rsid w:val="00D11CB1"/>
    <w:rsid w:val="00D121D8"/>
    <w:rsid w:val="00D12609"/>
    <w:rsid w:val="00D12892"/>
    <w:rsid w:val="00D12ADB"/>
    <w:rsid w:val="00D12BC0"/>
    <w:rsid w:val="00D13C06"/>
    <w:rsid w:val="00D13F8A"/>
    <w:rsid w:val="00D1509A"/>
    <w:rsid w:val="00D15386"/>
    <w:rsid w:val="00D153C2"/>
    <w:rsid w:val="00D15487"/>
    <w:rsid w:val="00D154E4"/>
    <w:rsid w:val="00D1588F"/>
    <w:rsid w:val="00D15E39"/>
    <w:rsid w:val="00D16357"/>
    <w:rsid w:val="00D1676F"/>
    <w:rsid w:val="00D16A56"/>
    <w:rsid w:val="00D16A99"/>
    <w:rsid w:val="00D16EDC"/>
    <w:rsid w:val="00D16F6B"/>
    <w:rsid w:val="00D16FA6"/>
    <w:rsid w:val="00D17253"/>
    <w:rsid w:val="00D172AD"/>
    <w:rsid w:val="00D172C5"/>
    <w:rsid w:val="00D177E7"/>
    <w:rsid w:val="00D17E7E"/>
    <w:rsid w:val="00D204AA"/>
    <w:rsid w:val="00D2054E"/>
    <w:rsid w:val="00D2058D"/>
    <w:rsid w:val="00D2077A"/>
    <w:rsid w:val="00D20E5D"/>
    <w:rsid w:val="00D21102"/>
    <w:rsid w:val="00D21260"/>
    <w:rsid w:val="00D212AC"/>
    <w:rsid w:val="00D21F5E"/>
    <w:rsid w:val="00D221AC"/>
    <w:rsid w:val="00D22550"/>
    <w:rsid w:val="00D2353D"/>
    <w:rsid w:val="00D23566"/>
    <w:rsid w:val="00D2392E"/>
    <w:rsid w:val="00D24169"/>
    <w:rsid w:val="00D24271"/>
    <w:rsid w:val="00D243C2"/>
    <w:rsid w:val="00D2493B"/>
    <w:rsid w:val="00D24D1E"/>
    <w:rsid w:val="00D25013"/>
    <w:rsid w:val="00D2502C"/>
    <w:rsid w:val="00D250B9"/>
    <w:rsid w:val="00D25146"/>
    <w:rsid w:val="00D25929"/>
    <w:rsid w:val="00D2613F"/>
    <w:rsid w:val="00D26417"/>
    <w:rsid w:val="00D2669E"/>
    <w:rsid w:val="00D2686C"/>
    <w:rsid w:val="00D27168"/>
    <w:rsid w:val="00D27FD1"/>
    <w:rsid w:val="00D301FA"/>
    <w:rsid w:val="00D3091B"/>
    <w:rsid w:val="00D3092F"/>
    <w:rsid w:val="00D30930"/>
    <w:rsid w:val="00D31046"/>
    <w:rsid w:val="00D310D5"/>
    <w:rsid w:val="00D3125D"/>
    <w:rsid w:val="00D31322"/>
    <w:rsid w:val="00D31D97"/>
    <w:rsid w:val="00D31F2C"/>
    <w:rsid w:val="00D32440"/>
    <w:rsid w:val="00D3258D"/>
    <w:rsid w:val="00D327C2"/>
    <w:rsid w:val="00D327E1"/>
    <w:rsid w:val="00D331E2"/>
    <w:rsid w:val="00D33580"/>
    <w:rsid w:val="00D33A69"/>
    <w:rsid w:val="00D3608F"/>
    <w:rsid w:val="00D36AD3"/>
    <w:rsid w:val="00D37726"/>
    <w:rsid w:val="00D37B66"/>
    <w:rsid w:val="00D37E30"/>
    <w:rsid w:val="00D402AE"/>
    <w:rsid w:val="00D407EA"/>
    <w:rsid w:val="00D40E4A"/>
    <w:rsid w:val="00D41748"/>
    <w:rsid w:val="00D41E52"/>
    <w:rsid w:val="00D42113"/>
    <w:rsid w:val="00D421AD"/>
    <w:rsid w:val="00D42318"/>
    <w:rsid w:val="00D428E0"/>
    <w:rsid w:val="00D42BA8"/>
    <w:rsid w:val="00D42E02"/>
    <w:rsid w:val="00D43750"/>
    <w:rsid w:val="00D440B7"/>
    <w:rsid w:val="00D44107"/>
    <w:rsid w:val="00D442E0"/>
    <w:rsid w:val="00D44302"/>
    <w:rsid w:val="00D4457D"/>
    <w:rsid w:val="00D44AB6"/>
    <w:rsid w:val="00D4531F"/>
    <w:rsid w:val="00D45BDE"/>
    <w:rsid w:val="00D45EEE"/>
    <w:rsid w:val="00D463D2"/>
    <w:rsid w:val="00D46449"/>
    <w:rsid w:val="00D4681B"/>
    <w:rsid w:val="00D46991"/>
    <w:rsid w:val="00D46E28"/>
    <w:rsid w:val="00D470B1"/>
    <w:rsid w:val="00D474BB"/>
    <w:rsid w:val="00D47745"/>
    <w:rsid w:val="00D478C3"/>
    <w:rsid w:val="00D478CD"/>
    <w:rsid w:val="00D47C8C"/>
    <w:rsid w:val="00D47DB5"/>
    <w:rsid w:val="00D47E08"/>
    <w:rsid w:val="00D5193D"/>
    <w:rsid w:val="00D51A43"/>
    <w:rsid w:val="00D533BC"/>
    <w:rsid w:val="00D53555"/>
    <w:rsid w:val="00D537DC"/>
    <w:rsid w:val="00D53B84"/>
    <w:rsid w:val="00D53CC1"/>
    <w:rsid w:val="00D53D31"/>
    <w:rsid w:val="00D53F7A"/>
    <w:rsid w:val="00D54A27"/>
    <w:rsid w:val="00D55ED9"/>
    <w:rsid w:val="00D5644D"/>
    <w:rsid w:val="00D56796"/>
    <w:rsid w:val="00D56EA1"/>
    <w:rsid w:val="00D570CF"/>
    <w:rsid w:val="00D572E1"/>
    <w:rsid w:val="00D574BE"/>
    <w:rsid w:val="00D5757F"/>
    <w:rsid w:val="00D57A6B"/>
    <w:rsid w:val="00D57B73"/>
    <w:rsid w:val="00D60920"/>
    <w:rsid w:val="00D60B42"/>
    <w:rsid w:val="00D60C5D"/>
    <w:rsid w:val="00D60F34"/>
    <w:rsid w:val="00D610ED"/>
    <w:rsid w:val="00D6135A"/>
    <w:rsid w:val="00D61539"/>
    <w:rsid w:val="00D61EE2"/>
    <w:rsid w:val="00D62709"/>
    <w:rsid w:val="00D62CF2"/>
    <w:rsid w:val="00D62EB6"/>
    <w:rsid w:val="00D631D3"/>
    <w:rsid w:val="00D63231"/>
    <w:rsid w:val="00D634D1"/>
    <w:rsid w:val="00D635B6"/>
    <w:rsid w:val="00D6388E"/>
    <w:rsid w:val="00D639B2"/>
    <w:rsid w:val="00D63C3D"/>
    <w:rsid w:val="00D63E19"/>
    <w:rsid w:val="00D64619"/>
    <w:rsid w:val="00D6483D"/>
    <w:rsid w:val="00D6492F"/>
    <w:rsid w:val="00D64FEE"/>
    <w:rsid w:val="00D650B7"/>
    <w:rsid w:val="00D65893"/>
    <w:rsid w:val="00D65B20"/>
    <w:rsid w:val="00D65DFA"/>
    <w:rsid w:val="00D65E46"/>
    <w:rsid w:val="00D65E9A"/>
    <w:rsid w:val="00D6601E"/>
    <w:rsid w:val="00D662E6"/>
    <w:rsid w:val="00D66404"/>
    <w:rsid w:val="00D700C4"/>
    <w:rsid w:val="00D718B4"/>
    <w:rsid w:val="00D721E8"/>
    <w:rsid w:val="00D72E2D"/>
    <w:rsid w:val="00D72F34"/>
    <w:rsid w:val="00D72FCE"/>
    <w:rsid w:val="00D730F4"/>
    <w:rsid w:val="00D7377F"/>
    <w:rsid w:val="00D73937"/>
    <w:rsid w:val="00D74223"/>
    <w:rsid w:val="00D744DB"/>
    <w:rsid w:val="00D74608"/>
    <w:rsid w:val="00D74615"/>
    <w:rsid w:val="00D74901"/>
    <w:rsid w:val="00D74A72"/>
    <w:rsid w:val="00D75D68"/>
    <w:rsid w:val="00D75D88"/>
    <w:rsid w:val="00D76173"/>
    <w:rsid w:val="00D76232"/>
    <w:rsid w:val="00D76BAC"/>
    <w:rsid w:val="00D76CBC"/>
    <w:rsid w:val="00D76D23"/>
    <w:rsid w:val="00D77878"/>
    <w:rsid w:val="00D77901"/>
    <w:rsid w:val="00D77B32"/>
    <w:rsid w:val="00D77C59"/>
    <w:rsid w:val="00D77F8F"/>
    <w:rsid w:val="00D800A6"/>
    <w:rsid w:val="00D803CC"/>
    <w:rsid w:val="00D80699"/>
    <w:rsid w:val="00D8090C"/>
    <w:rsid w:val="00D80E77"/>
    <w:rsid w:val="00D81340"/>
    <w:rsid w:val="00D8172E"/>
    <w:rsid w:val="00D81B4E"/>
    <w:rsid w:val="00D81DBA"/>
    <w:rsid w:val="00D81ED0"/>
    <w:rsid w:val="00D82141"/>
    <w:rsid w:val="00D82604"/>
    <w:rsid w:val="00D828BF"/>
    <w:rsid w:val="00D82BFE"/>
    <w:rsid w:val="00D82CB0"/>
    <w:rsid w:val="00D82DEA"/>
    <w:rsid w:val="00D84AB0"/>
    <w:rsid w:val="00D84E1A"/>
    <w:rsid w:val="00D851B6"/>
    <w:rsid w:val="00D864F5"/>
    <w:rsid w:val="00D86539"/>
    <w:rsid w:val="00D866F8"/>
    <w:rsid w:val="00D8695B"/>
    <w:rsid w:val="00D906C0"/>
    <w:rsid w:val="00D90787"/>
    <w:rsid w:val="00D908DF"/>
    <w:rsid w:val="00D9145D"/>
    <w:rsid w:val="00D91A9E"/>
    <w:rsid w:val="00D91AC8"/>
    <w:rsid w:val="00D91B78"/>
    <w:rsid w:val="00D9253D"/>
    <w:rsid w:val="00D92842"/>
    <w:rsid w:val="00D92A11"/>
    <w:rsid w:val="00D93152"/>
    <w:rsid w:val="00D932E9"/>
    <w:rsid w:val="00D93300"/>
    <w:rsid w:val="00D943AA"/>
    <w:rsid w:val="00D94884"/>
    <w:rsid w:val="00D9492D"/>
    <w:rsid w:val="00D949F3"/>
    <w:rsid w:val="00D94A32"/>
    <w:rsid w:val="00D94B5F"/>
    <w:rsid w:val="00D94D36"/>
    <w:rsid w:val="00D9577B"/>
    <w:rsid w:val="00D95B2A"/>
    <w:rsid w:val="00D965B8"/>
    <w:rsid w:val="00D9701B"/>
    <w:rsid w:val="00D9752E"/>
    <w:rsid w:val="00D97B32"/>
    <w:rsid w:val="00DA070B"/>
    <w:rsid w:val="00DA1B3A"/>
    <w:rsid w:val="00DA1FD3"/>
    <w:rsid w:val="00DA2244"/>
    <w:rsid w:val="00DA23AC"/>
    <w:rsid w:val="00DA259B"/>
    <w:rsid w:val="00DA26BE"/>
    <w:rsid w:val="00DA2AEB"/>
    <w:rsid w:val="00DA33F0"/>
    <w:rsid w:val="00DA3691"/>
    <w:rsid w:val="00DA48D3"/>
    <w:rsid w:val="00DA4982"/>
    <w:rsid w:val="00DA4B29"/>
    <w:rsid w:val="00DA4B6E"/>
    <w:rsid w:val="00DA53D8"/>
    <w:rsid w:val="00DA54B4"/>
    <w:rsid w:val="00DA5945"/>
    <w:rsid w:val="00DA5E7D"/>
    <w:rsid w:val="00DA61C7"/>
    <w:rsid w:val="00DA6459"/>
    <w:rsid w:val="00DA6C7E"/>
    <w:rsid w:val="00DA6CCB"/>
    <w:rsid w:val="00DA70A3"/>
    <w:rsid w:val="00DA7441"/>
    <w:rsid w:val="00DA787B"/>
    <w:rsid w:val="00DA7A1D"/>
    <w:rsid w:val="00DB0598"/>
    <w:rsid w:val="00DB0690"/>
    <w:rsid w:val="00DB0C08"/>
    <w:rsid w:val="00DB1136"/>
    <w:rsid w:val="00DB1A2E"/>
    <w:rsid w:val="00DB1CB8"/>
    <w:rsid w:val="00DB1E92"/>
    <w:rsid w:val="00DB23CA"/>
    <w:rsid w:val="00DB2400"/>
    <w:rsid w:val="00DB2411"/>
    <w:rsid w:val="00DB29BD"/>
    <w:rsid w:val="00DB2B8D"/>
    <w:rsid w:val="00DB2F2D"/>
    <w:rsid w:val="00DB3055"/>
    <w:rsid w:val="00DB364E"/>
    <w:rsid w:val="00DB37DF"/>
    <w:rsid w:val="00DB3CF4"/>
    <w:rsid w:val="00DB42EE"/>
    <w:rsid w:val="00DB4D54"/>
    <w:rsid w:val="00DB54F4"/>
    <w:rsid w:val="00DB5630"/>
    <w:rsid w:val="00DB5E6D"/>
    <w:rsid w:val="00DB5FAB"/>
    <w:rsid w:val="00DB5FC3"/>
    <w:rsid w:val="00DB60AA"/>
    <w:rsid w:val="00DB6231"/>
    <w:rsid w:val="00DB665D"/>
    <w:rsid w:val="00DB6833"/>
    <w:rsid w:val="00DB68C9"/>
    <w:rsid w:val="00DB6EBA"/>
    <w:rsid w:val="00DB6F90"/>
    <w:rsid w:val="00DC005B"/>
    <w:rsid w:val="00DC04E6"/>
    <w:rsid w:val="00DC061C"/>
    <w:rsid w:val="00DC0B5A"/>
    <w:rsid w:val="00DC0E2D"/>
    <w:rsid w:val="00DC1462"/>
    <w:rsid w:val="00DC155B"/>
    <w:rsid w:val="00DC1A36"/>
    <w:rsid w:val="00DC1B3F"/>
    <w:rsid w:val="00DC1D83"/>
    <w:rsid w:val="00DC211A"/>
    <w:rsid w:val="00DC2737"/>
    <w:rsid w:val="00DC2AE4"/>
    <w:rsid w:val="00DC2DBA"/>
    <w:rsid w:val="00DC2EA2"/>
    <w:rsid w:val="00DC2F34"/>
    <w:rsid w:val="00DC2FF1"/>
    <w:rsid w:val="00DC309F"/>
    <w:rsid w:val="00DC326C"/>
    <w:rsid w:val="00DC3481"/>
    <w:rsid w:val="00DC42EB"/>
    <w:rsid w:val="00DC4471"/>
    <w:rsid w:val="00DC4F71"/>
    <w:rsid w:val="00DC4FCC"/>
    <w:rsid w:val="00DC5667"/>
    <w:rsid w:val="00DC5768"/>
    <w:rsid w:val="00DC5802"/>
    <w:rsid w:val="00DC5B64"/>
    <w:rsid w:val="00DC5D66"/>
    <w:rsid w:val="00DC6067"/>
    <w:rsid w:val="00DC6374"/>
    <w:rsid w:val="00DC6894"/>
    <w:rsid w:val="00DC71B0"/>
    <w:rsid w:val="00DC73BC"/>
    <w:rsid w:val="00DC73DC"/>
    <w:rsid w:val="00DC7496"/>
    <w:rsid w:val="00DC749A"/>
    <w:rsid w:val="00DC7553"/>
    <w:rsid w:val="00DC7731"/>
    <w:rsid w:val="00DD0302"/>
    <w:rsid w:val="00DD0332"/>
    <w:rsid w:val="00DD0590"/>
    <w:rsid w:val="00DD094F"/>
    <w:rsid w:val="00DD0959"/>
    <w:rsid w:val="00DD168E"/>
    <w:rsid w:val="00DD16E4"/>
    <w:rsid w:val="00DD180D"/>
    <w:rsid w:val="00DD190C"/>
    <w:rsid w:val="00DD23C4"/>
    <w:rsid w:val="00DD259A"/>
    <w:rsid w:val="00DD27CE"/>
    <w:rsid w:val="00DD28CB"/>
    <w:rsid w:val="00DD2BD3"/>
    <w:rsid w:val="00DD2CCC"/>
    <w:rsid w:val="00DD2FF6"/>
    <w:rsid w:val="00DD3728"/>
    <w:rsid w:val="00DD3744"/>
    <w:rsid w:val="00DD3DB7"/>
    <w:rsid w:val="00DD411D"/>
    <w:rsid w:val="00DD456A"/>
    <w:rsid w:val="00DD457A"/>
    <w:rsid w:val="00DD4640"/>
    <w:rsid w:val="00DD4BFE"/>
    <w:rsid w:val="00DD4DC5"/>
    <w:rsid w:val="00DD4E88"/>
    <w:rsid w:val="00DD4F6B"/>
    <w:rsid w:val="00DD61E3"/>
    <w:rsid w:val="00DD6364"/>
    <w:rsid w:val="00DD64EC"/>
    <w:rsid w:val="00DD678D"/>
    <w:rsid w:val="00DD6E93"/>
    <w:rsid w:val="00DD6F10"/>
    <w:rsid w:val="00DD78F7"/>
    <w:rsid w:val="00DD7D7F"/>
    <w:rsid w:val="00DD7E82"/>
    <w:rsid w:val="00DE0932"/>
    <w:rsid w:val="00DE10F9"/>
    <w:rsid w:val="00DE1BCC"/>
    <w:rsid w:val="00DE245A"/>
    <w:rsid w:val="00DE2DFE"/>
    <w:rsid w:val="00DE311C"/>
    <w:rsid w:val="00DE3248"/>
    <w:rsid w:val="00DE407B"/>
    <w:rsid w:val="00DE4099"/>
    <w:rsid w:val="00DE40F7"/>
    <w:rsid w:val="00DE42DF"/>
    <w:rsid w:val="00DE4762"/>
    <w:rsid w:val="00DE47FD"/>
    <w:rsid w:val="00DE4D45"/>
    <w:rsid w:val="00DE4D80"/>
    <w:rsid w:val="00DE5456"/>
    <w:rsid w:val="00DE5C01"/>
    <w:rsid w:val="00DE5C26"/>
    <w:rsid w:val="00DE5E8C"/>
    <w:rsid w:val="00DE643E"/>
    <w:rsid w:val="00DE68B3"/>
    <w:rsid w:val="00DE7D3D"/>
    <w:rsid w:val="00DF00AA"/>
    <w:rsid w:val="00DF0380"/>
    <w:rsid w:val="00DF0A88"/>
    <w:rsid w:val="00DF0AB8"/>
    <w:rsid w:val="00DF0BCE"/>
    <w:rsid w:val="00DF1B67"/>
    <w:rsid w:val="00DF21AE"/>
    <w:rsid w:val="00DF2C9F"/>
    <w:rsid w:val="00DF2F26"/>
    <w:rsid w:val="00DF3329"/>
    <w:rsid w:val="00DF3D78"/>
    <w:rsid w:val="00DF3D90"/>
    <w:rsid w:val="00DF3FC8"/>
    <w:rsid w:val="00DF49F7"/>
    <w:rsid w:val="00DF4D17"/>
    <w:rsid w:val="00DF4DB1"/>
    <w:rsid w:val="00DF5021"/>
    <w:rsid w:val="00DF591D"/>
    <w:rsid w:val="00DF616A"/>
    <w:rsid w:val="00DF67F6"/>
    <w:rsid w:val="00DF769B"/>
    <w:rsid w:val="00E0011A"/>
    <w:rsid w:val="00E00B18"/>
    <w:rsid w:val="00E00BA2"/>
    <w:rsid w:val="00E00BE5"/>
    <w:rsid w:val="00E00CC9"/>
    <w:rsid w:val="00E00D35"/>
    <w:rsid w:val="00E00D3E"/>
    <w:rsid w:val="00E00E51"/>
    <w:rsid w:val="00E00FE0"/>
    <w:rsid w:val="00E01028"/>
    <w:rsid w:val="00E0108C"/>
    <w:rsid w:val="00E01192"/>
    <w:rsid w:val="00E01205"/>
    <w:rsid w:val="00E0154A"/>
    <w:rsid w:val="00E015A1"/>
    <w:rsid w:val="00E0186E"/>
    <w:rsid w:val="00E0198A"/>
    <w:rsid w:val="00E01DDD"/>
    <w:rsid w:val="00E02053"/>
    <w:rsid w:val="00E023F6"/>
    <w:rsid w:val="00E02FD1"/>
    <w:rsid w:val="00E034B2"/>
    <w:rsid w:val="00E0399B"/>
    <w:rsid w:val="00E03DD2"/>
    <w:rsid w:val="00E046D8"/>
    <w:rsid w:val="00E04C32"/>
    <w:rsid w:val="00E0511E"/>
    <w:rsid w:val="00E05CD0"/>
    <w:rsid w:val="00E05E33"/>
    <w:rsid w:val="00E05FF0"/>
    <w:rsid w:val="00E0615B"/>
    <w:rsid w:val="00E0698C"/>
    <w:rsid w:val="00E0701B"/>
    <w:rsid w:val="00E072E7"/>
    <w:rsid w:val="00E077A1"/>
    <w:rsid w:val="00E077B9"/>
    <w:rsid w:val="00E07A36"/>
    <w:rsid w:val="00E07A72"/>
    <w:rsid w:val="00E07DF1"/>
    <w:rsid w:val="00E07EEB"/>
    <w:rsid w:val="00E10265"/>
    <w:rsid w:val="00E103E9"/>
    <w:rsid w:val="00E109E8"/>
    <w:rsid w:val="00E114D4"/>
    <w:rsid w:val="00E1199A"/>
    <w:rsid w:val="00E123CC"/>
    <w:rsid w:val="00E12496"/>
    <w:rsid w:val="00E1297F"/>
    <w:rsid w:val="00E12A5E"/>
    <w:rsid w:val="00E12F9B"/>
    <w:rsid w:val="00E1314D"/>
    <w:rsid w:val="00E133B7"/>
    <w:rsid w:val="00E13528"/>
    <w:rsid w:val="00E14103"/>
    <w:rsid w:val="00E146A1"/>
    <w:rsid w:val="00E1477B"/>
    <w:rsid w:val="00E14786"/>
    <w:rsid w:val="00E1481C"/>
    <w:rsid w:val="00E14A21"/>
    <w:rsid w:val="00E14FE3"/>
    <w:rsid w:val="00E1502C"/>
    <w:rsid w:val="00E15127"/>
    <w:rsid w:val="00E1533A"/>
    <w:rsid w:val="00E159A4"/>
    <w:rsid w:val="00E15A88"/>
    <w:rsid w:val="00E15DB8"/>
    <w:rsid w:val="00E16516"/>
    <w:rsid w:val="00E16B89"/>
    <w:rsid w:val="00E16DEE"/>
    <w:rsid w:val="00E16E45"/>
    <w:rsid w:val="00E17014"/>
    <w:rsid w:val="00E17040"/>
    <w:rsid w:val="00E20317"/>
    <w:rsid w:val="00E207A4"/>
    <w:rsid w:val="00E21015"/>
    <w:rsid w:val="00E21121"/>
    <w:rsid w:val="00E2143C"/>
    <w:rsid w:val="00E21655"/>
    <w:rsid w:val="00E21B5C"/>
    <w:rsid w:val="00E21DB2"/>
    <w:rsid w:val="00E22BF9"/>
    <w:rsid w:val="00E24166"/>
    <w:rsid w:val="00E244BF"/>
    <w:rsid w:val="00E2453E"/>
    <w:rsid w:val="00E24685"/>
    <w:rsid w:val="00E24871"/>
    <w:rsid w:val="00E24B98"/>
    <w:rsid w:val="00E2501A"/>
    <w:rsid w:val="00E254A4"/>
    <w:rsid w:val="00E25E3D"/>
    <w:rsid w:val="00E25F17"/>
    <w:rsid w:val="00E263FF"/>
    <w:rsid w:val="00E26618"/>
    <w:rsid w:val="00E2696B"/>
    <w:rsid w:val="00E26C82"/>
    <w:rsid w:val="00E270E3"/>
    <w:rsid w:val="00E27598"/>
    <w:rsid w:val="00E27A9C"/>
    <w:rsid w:val="00E305AE"/>
    <w:rsid w:val="00E30B51"/>
    <w:rsid w:val="00E30BFE"/>
    <w:rsid w:val="00E30DB4"/>
    <w:rsid w:val="00E30E4B"/>
    <w:rsid w:val="00E3131D"/>
    <w:rsid w:val="00E319F6"/>
    <w:rsid w:val="00E31B79"/>
    <w:rsid w:val="00E31ED7"/>
    <w:rsid w:val="00E32D0A"/>
    <w:rsid w:val="00E32EBA"/>
    <w:rsid w:val="00E33271"/>
    <w:rsid w:val="00E33522"/>
    <w:rsid w:val="00E33905"/>
    <w:rsid w:val="00E339BA"/>
    <w:rsid w:val="00E34213"/>
    <w:rsid w:val="00E34299"/>
    <w:rsid w:val="00E34300"/>
    <w:rsid w:val="00E344A5"/>
    <w:rsid w:val="00E34736"/>
    <w:rsid w:val="00E34ABC"/>
    <w:rsid w:val="00E34F74"/>
    <w:rsid w:val="00E35206"/>
    <w:rsid w:val="00E35318"/>
    <w:rsid w:val="00E3572D"/>
    <w:rsid w:val="00E35E20"/>
    <w:rsid w:val="00E36FE7"/>
    <w:rsid w:val="00E37C94"/>
    <w:rsid w:val="00E4004D"/>
    <w:rsid w:val="00E40347"/>
    <w:rsid w:val="00E403FE"/>
    <w:rsid w:val="00E40A25"/>
    <w:rsid w:val="00E40C88"/>
    <w:rsid w:val="00E40D49"/>
    <w:rsid w:val="00E40DAF"/>
    <w:rsid w:val="00E4114D"/>
    <w:rsid w:val="00E4136E"/>
    <w:rsid w:val="00E41965"/>
    <w:rsid w:val="00E422E7"/>
    <w:rsid w:val="00E4241E"/>
    <w:rsid w:val="00E428BD"/>
    <w:rsid w:val="00E42D05"/>
    <w:rsid w:val="00E43A14"/>
    <w:rsid w:val="00E43A69"/>
    <w:rsid w:val="00E43CC7"/>
    <w:rsid w:val="00E43FB7"/>
    <w:rsid w:val="00E44217"/>
    <w:rsid w:val="00E449CF"/>
    <w:rsid w:val="00E44FF9"/>
    <w:rsid w:val="00E45480"/>
    <w:rsid w:val="00E4554F"/>
    <w:rsid w:val="00E4605B"/>
    <w:rsid w:val="00E46273"/>
    <w:rsid w:val="00E4659B"/>
    <w:rsid w:val="00E4677C"/>
    <w:rsid w:val="00E467A4"/>
    <w:rsid w:val="00E46882"/>
    <w:rsid w:val="00E47341"/>
    <w:rsid w:val="00E47D65"/>
    <w:rsid w:val="00E50CB0"/>
    <w:rsid w:val="00E51110"/>
    <w:rsid w:val="00E51833"/>
    <w:rsid w:val="00E5186B"/>
    <w:rsid w:val="00E51A3F"/>
    <w:rsid w:val="00E520D6"/>
    <w:rsid w:val="00E52285"/>
    <w:rsid w:val="00E52A92"/>
    <w:rsid w:val="00E52B8C"/>
    <w:rsid w:val="00E52DD0"/>
    <w:rsid w:val="00E537D5"/>
    <w:rsid w:val="00E53880"/>
    <w:rsid w:val="00E53950"/>
    <w:rsid w:val="00E53ED2"/>
    <w:rsid w:val="00E548B1"/>
    <w:rsid w:val="00E5525B"/>
    <w:rsid w:val="00E55A21"/>
    <w:rsid w:val="00E5670A"/>
    <w:rsid w:val="00E56C46"/>
    <w:rsid w:val="00E5793D"/>
    <w:rsid w:val="00E57A6D"/>
    <w:rsid w:val="00E57A7A"/>
    <w:rsid w:val="00E57B72"/>
    <w:rsid w:val="00E57DDC"/>
    <w:rsid w:val="00E57FA1"/>
    <w:rsid w:val="00E6066E"/>
    <w:rsid w:val="00E60E87"/>
    <w:rsid w:val="00E60EF8"/>
    <w:rsid w:val="00E6117F"/>
    <w:rsid w:val="00E61A2E"/>
    <w:rsid w:val="00E6208C"/>
    <w:rsid w:val="00E63A12"/>
    <w:rsid w:val="00E64182"/>
    <w:rsid w:val="00E642DB"/>
    <w:rsid w:val="00E64726"/>
    <w:rsid w:val="00E6498B"/>
    <w:rsid w:val="00E64D11"/>
    <w:rsid w:val="00E65822"/>
    <w:rsid w:val="00E65DE1"/>
    <w:rsid w:val="00E660EB"/>
    <w:rsid w:val="00E66162"/>
    <w:rsid w:val="00E66654"/>
    <w:rsid w:val="00E66A28"/>
    <w:rsid w:val="00E674C0"/>
    <w:rsid w:val="00E67D07"/>
    <w:rsid w:val="00E67F0E"/>
    <w:rsid w:val="00E7051C"/>
    <w:rsid w:val="00E70576"/>
    <w:rsid w:val="00E70B0B"/>
    <w:rsid w:val="00E70CD7"/>
    <w:rsid w:val="00E715E2"/>
    <w:rsid w:val="00E716EC"/>
    <w:rsid w:val="00E71A22"/>
    <w:rsid w:val="00E71F3F"/>
    <w:rsid w:val="00E72138"/>
    <w:rsid w:val="00E72765"/>
    <w:rsid w:val="00E727F2"/>
    <w:rsid w:val="00E72F72"/>
    <w:rsid w:val="00E734BD"/>
    <w:rsid w:val="00E735D4"/>
    <w:rsid w:val="00E73FF3"/>
    <w:rsid w:val="00E74059"/>
    <w:rsid w:val="00E741C4"/>
    <w:rsid w:val="00E7450A"/>
    <w:rsid w:val="00E755DA"/>
    <w:rsid w:val="00E756A8"/>
    <w:rsid w:val="00E7572A"/>
    <w:rsid w:val="00E75D16"/>
    <w:rsid w:val="00E761F4"/>
    <w:rsid w:val="00E80251"/>
    <w:rsid w:val="00E802FC"/>
    <w:rsid w:val="00E80B4F"/>
    <w:rsid w:val="00E80EA2"/>
    <w:rsid w:val="00E815D1"/>
    <w:rsid w:val="00E81654"/>
    <w:rsid w:val="00E81736"/>
    <w:rsid w:val="00E81889"/>
    <w:rsid w:val="00E81AC5"/>
    <w:rsid w:val="00E82655"/>
    <w:rsid w:val="00E8269B"/>
    <w:rsid w:val="00E82995"/>
    <w:rsid w:val="00E83A63"/>
    <w:rsid w:val="00E83C64"/>
    <w:rsid w:val="00E83D77"/>
    <w:rsid w:val="00E84289"/>
    <w:rsid w:val="00E84385"/>
    <w:rsid w:val="00E849A4"/>
    <w:rsid w:val="00E850A1"/>
    <w:rsid w:val="00E85672"/>
    <w:rsid w:val="00E85858"/>
    <w:rsid w:val="00E8599F"/>
    <w:rsid w:val="00E85CEB"/>
    <w:rsid w:val="00E86760"/>
    <w:rsid w:val="00E86A1D"/>
    <w:rsid w:val="00E87126"/>
    <w:rsid w:val="00E872E1"/>
    <w:rsid w:val="00E87300"/>
    <w:rsid w:val="00E874AC"/>
    <w:rsid w:val="00E875A1"/>
    <w:rsid w:val="00E87948"/>
    <w:rsid w:val="00E87B58"/>
    <w:rsid w:val="00E87BC9"/>
    <w:rsid w:val="00E87DF9"/>
    <w:rsid w:val="00E90282"/>
    <w:rsid w:val="00E9043F"/>
    <w:rsid w:val="00E90665"/>
    <w:rsid w:val="00E91600"/>
    <w:rsid w:val="00E91638"/>
    <w:rsid w:val="00E91D90"/>
    <w:rsid w:val="00E92133"/>
    <w:rsid w:val="00E9277F"/>
    <w:rsid w:val="00E92DE4"/>
    <w:rsid w:val="00E93545"/>
    <w:rsid w:val="00E93737"/>
    <w:rsid w:val="00E93823"/>
    <w:rsid w:val="00E93B3D"/>
    <w:rsid w:val="00E93F43"/>
    <w:rsid w:val="00E94101"/>
    <w:rsid w:val="00E942D1"/>
    <w:rsid w:val="00E942F8"/>
    <w:rsid w:val="00E946D6"/>
    <w:rsid w:val="00E94865"/>
    <w:rsid w:val="00E95368"/>
    <w:rsid w:val="00E95794"/>
    <w:rsid w:val="00E95A4E"/>
    <w:rsid w:val="00E95E48"/>
    <w:rsid w:val="00E9627C"/>
    <w:rsid w:val="00E964A1"/>
    <w:rsid w:val="00E964F4"/>
    <w:rsid w:val="00E9660D"/>
    <w:rsid w:val="00E9691A"/>
    <w:rsid w:val="00E969C6"/>
    <w:rsid w:val="00E97147"/>
    <w:rsid w:val="00E97558"/>
    <w:rsid w:val="00E97597"/>
    <w:rsid w:val="00E977D1"/>
    <w:rsid w:val="00E97A0D"/>
    <w:rsid w:val="00E97FF8"/>
    <w:rsid w:val="00EA0047"/>
    <w:rsid w:val="00EA07F3"/>
    <w:rsid w:val="00EA0964"/>
    <w:rsid w:val="00EA0E94"/>
    <w:rsid w:val="00EA1012"/>
    <w:rsid w:val="00EA13BC"/>
    <w:rsid w:val="00EA209C"/>
    <w:rsid w:val="00EA245D"/>
    <w:rsid w:val="00EA25AB"/>
    <w:rsid w:val="00EA26F5"/>
    <w:rsid w:val="00EA27A9"/>
    <w:rsid w:val="00EA27EB"/>
    <w:rsid w:val="00EA2C44"/>
    <w:rsid w:val="00EA3A94"/>
    <w:rsid w:val="00EA3D25"/>
    <w:rsid w:val="00EA4082"/>
    <w:rsid w:val="00EA475C"/>
    <w:rsid w:val="00EA4853"/>
    <w:rsid w:val="00EA4DEA"/>
    <w:rsid w:val="00EA5334"/>
    <w:rsid w:val="00EA55E9"/>
    <w:rsid w:val="00EA5621"/>
    <w:rsid w:val="00EA573F"/>
    <w:rsid w:val="00EA5914"/>
    <w:rsid w:val="00EA5AAF"/>
    <w:rsid w:val="00EA5CEF"/>
    <w:rsid w:val="00EA5F31"/>
    <w:rsid w:val="00EA5F78"/>
    <w:rsid w:val="00EA5FBE"/>
    <w:rsid w:val="00EA6325"/>
    <w:rsid w:val="00EA63AB"/>
    <w:rsid w:val="00EA6E81"/>
    <w:rsid w:val="00EA74D4"/>
    <w:rsid w:val="00EA77CA"/>
    <w:rsid w:val="00EA7943"/>
    <w:rsid w:val="00EA7DB5"/>
    <w:rsid w:val="00EA7E63"/>
    <w:rsid w:val="00EB04A6"/>
    <w:rsid w:val="00EB04CC"/>
    <w:rsid w:val="00EB0CAD"/>
    <w:rsid w:val="00EB0D0D"/>
    <w:rsid w:val="00EB1D72"/>
    <w:rsid w:val="00EB20D8"/>
    <w:rsid w:val="00EB2253"/>
    <w:rsid w:val="00EB2971"/>
    <w:rsid w:val="00EB2D58"/>
    <w:rsid w:val="00EB3B0F"/>
    <w:rsid w:val="00EB3DAA"/>
    <w:rsid w:val="00EB45F1"/>
    <w:rsid w:val="00EB4BE0"/>
    <w:rsid w:val="00EB4C95"/>
    <w:rsid w:val="00EB4EF1"/>
    <w:rsid w:val="00EB4F54"/>
    <w:rsid w:val="00EB51FB"/>
    <w:rsid w:val="00EB545F"/>
    <w:rsid w:val="00EB550B"/>
    <w:rsid w:val="00EB653D"/>
    <w:rsid w:val="00EB6B60"/>
    <w:rsid w:val="00EB6DBE"/>
    <w:rsid w:val="00EB725D"/>
    <w:rsid w:val="00EB7380"/>
    <w:rsid w:val="00EB7461"/>
    <w:rsid w:val="00EB7A79"/>
    <w:rsid w:val="00EB7B70"/>
    <w:rsid w:val="00EC0CDE"/>
    <w:rsid w:val="00EC0D1B"/>
    <w:rsid w:val="00EC0E6A"/>
    <w:rsid w:val="00EC1055"/>
    <w:rsid w:val="00EC10B7"/>
    <w:rsid w:val="00EC118C"/>
    <w:rsid w:val="00EC16BD"/>
    <w:rsid w:val="00EC191C"/>
    <w:rsid w:val="00EC2046"/>
    <w:rsid w:val="00EC3075"/>
    <w:rsid w:val="00EC30C6"/>
    <w:rsid w:val="00EC39EA"/>
    <w:rsid w:val="00EC4287"/>
    <w:rsid w:val="00EC44A4"/>
    <w:rsid w:val="00EC4807"/>
    <w:rsid w:val="00EC5738"/>
    <w:rsid w:val="00EC5CEE"/>
    <w:rsid w:val="00EC5F47"/>
    <w:rsid w:val="00EC615C"/>
    <w:rsid w:val="00EC68E5"/>
    <w:rsid w:val="00EC6A83"/>
    <w:rsid w:val="00EC6BDA"/>
    <w:rsid w:val="00EC6C32"/>
    <w:rsid w:val="00EC70F6"/>
    <w:rsid w:val="00EC733A"/>
    <w:rsid w:val="00EC7409"/>
    <w:rsid w:val="00EC7547"/>
    <w:rsid w:val="00EC7738"/>
    <w:rsid w:val="00EC7B10"/>
    <w:rsid w:val="00ED04BF"/>
    <w:rsid w:val="00ED0B30"/>
    <w:rsid w:val="00ED0E47"/>
    <w:rsid w:val="00ED0F3A"/>
    <w:rsid w:val="00ED0F81"/>
    <w:rsid w:val="00ED0FE2"/>
    <w:rsid w:val="00ED107C"/>
    <w:rsid w:val="00ED11E2"/>
    <w:rsid w:val="00ED13A0"/>
    <w:rsid w:val="00ED1820"/>
    <w:rsid w:val="00ED1A83"/>
    <w:rsid w:val="00ED1D5E"/>
    <w:rsid w:val="00ED1D63"/>
    <w:rsid w:val="00ED1F78"/>
    <w:rsid w:val="00ED2197"/>
    <w:rsid w:val="00ED2653"/>
    <w:rsid w:val="00ED2717"/>
    <w:rsid w:val="00ED282E"/>
    <w:rsid w:val="00ED30C5"/>
    <w:rsid w:val="00ED37C8"/>
    <w:rsid w:val="00ED3AF7"/>
    <w:rsid w:val="00ED3B0A"/>
    <w:rsid w:val="00ED440B"/>
    <w:rsid w:val="00ED479C"/>
    <w:rsid w:val="00ED5067"/>
    <w:rsid w:val="00ED527A"/>
    <w:rsid w:val="00ED54B3"/>
    <w:rsid w:val="00ED56C3"/>
    <w:rsid w:val="00ED5CC6"/>
    <w:rsid w:val="00ED5D74"/>
    <w:rsid w:val="00ED5FA9"/>
    <w:rsid w:val="00ED63E3"/>
    <w:rsid w:val="00ED7280"/>
    <w:rsid w:val="00ED73D1"/>
    <w:rsid w:val="00ED7553"/>
    <w:rsid w:val="00ED7A57"/>
    <w:rsid w:val="00ED7C14"/>
    <w:rsid w:val="00ED7F24"/>
    <w:rsid w:val="00ED7F3C"/>
    <w:rsid w:val="00ED7FFA"/>
    <w:rsid w:val="00EE0588"/>
    <w:rsid w:val="00EE0F28"/>
    <w:rsid w:val="00EE10A0"/>
    <w:rsid w:val="00EE1C09"/>
    <w:rsid w:val="00EE1FED"/>
    <w:rsid w:val="00EE257E"/>
    <w:rsid w:val="00EE2E4B"/>
    <w:rsid w:val="00EE2F6E"/>
    <w:rsid w:val="00EE2F9B"/>
    <w:rsid w:val="00EE3285"/>
    <w:rsid w:val="00EE359C"/>
    <w:rsid w:val="00EE3E53"/>
    <w:rsid w:val="00EE3EC9"/>
    <w:rsid w:val="00EE4CEB"/>
    <w:rsid w:val="00EE4D9F"/>
    <w:rsid w:val="00EE50D5"/>
    <w:rsid w:val="00EE5C7C"/>
    <w:rsid w:val="00EE6B88"/>
    <w:rsid w:val="00EE7371"/>
    <w:rsid w:val="00EE75AA"/>
    <w:rsid w:val="00EE7D99"/>
    <w:rsid w:val="00EF0316"/>
    <w:rsid w:val="00EF069A"/>
    <w:rsid w:val="00EF0B6D"/>
    <w:rsid w:val="00EF0E11"/>
    <w:rsid w:val="00EF0E2D"/>
    <w:rsid w:val="00EF17E9"/>
    <w:rsid w:val="00EF1D5E"/>
    <w:rsid w:val="00EF20E6"/>
    <w:rsid w:val="00EF2957"/>
    <w:rsid w:val="00EF2A6F"/>
    <w:rsid w:val="00EF2E1A"/>
    <w:rsid w:val="00EF30FA"/>
    <w:rsid w:val="00EF3462"/>
    <w:rsid w:val="00EF3464"/>
    <w:rsid w:val="00EF36E8"/>
    <w:rsid w:val="00EF3990"/>
    <w:rsid w:val="00EF3B89"/>
    <w:rsid w:val="00EF4337"/>
    <w:rsid w:val="00EF4588"/>
    <w:rsid w:val="00EF45F7"/>
    <w:rsid w:val="00EF46EC"/>
    <w:rsid w:val="00EF4932"/>
    <w:rsid w:val="00EF4A20"/>
    <w:rsid w:val="00EF4A49"/>
    <w:rsid w:val="00EF4DEF"/>
    <w:rsid w:val="00EF551F"/>
    <w:rsid w:val="00EF5BBA"/>
    <w:rsid w:val="00EF6019"/>
    <w:rsid w:val="00EF602D"/>
    <w:rsid w:val="00EF64AB"/>
    <w:rsid w:val="00EF6822"/>
    <w:rsid w:val="00EF765E"/>
    <w:rsid w:val="00EF773B"/>
    <w:rsid w:val="00EF7E5B"/>
    <w:rsid w:val="00F00239"/>
    <w:rsid w:val="00F003E3"/>
    <w:rsid w:val="00F005E4"/>
    <w:rsid w:val="00F006F4"/>
    <w:rsid w:val="00F00CF9"/>
    <w:rsid w:val="00F01A16"/>
    <w:rsid w:val="00F01D33"/>
    <w:rsid w:val="00F01DDE"/>
    <w:rsid w:val="00F01F16"/>
    <w:rsid w:val="00F021BC"/>
    <w:rsid w:val="00F025E0"/>
    <w:rsid w:val="00F02670"/>
    <w:rsid w:val="00F02865"/>
    <w:rsid w:val="00F02DD3"/>
    <w:rsid w:val="00F03654"/>
    <w:rsid w:val="00F03E5C"/>
    <w:rsid w:val="00F03F7D"/>
    <w:rsid w:val="00F042A4"/>
    <w:rsid w:val="00F04656"/>
    <w:rsid w:val="00F046EA"/>
    <w:rsid w:val="00F04F47"/>
    <w:rsid w:val="00F050E9"/>
    <w:rsid w:val="00F05231"/>
    <w:rsid w:val="00F0531B"/>
    <w:rsid w:val="00F055A9"/>
    <w:rsid w:val="00F05A0C"/>
    <w:rsid w:val="00F05C8B"/>
    <w:rsid w:val="00F06011"/>
    <w:rsid w:val="00F0615F"/>
    <w:rsid w:val="00F061A2"/>
    <w:rsid w:val="00F066C9"/>
    <w:rsid w:val="00F06A06"/>
    <w:rsid w:val="00F06E0F"/>
    <w:rsid w:val="00F06F3B"/>
    <w:rsid w:val="00F079B4"/>
    <w:rsid w:val="00F07ABE"/>
    <w:rsid w:val="00F07C0E"/>
    <w:rsid w:val="00F07CE3"/>
    <w:rsid w:val="00F07D3B"/>
    <w:rsid w:val="00F10D0C"/>
    <w:rsid w:val="00F10F04"/>
    <w:rsid w:val="00F10F70"/>
    <w:rsid w:val="00F11138"/>
    <w:rsid w:val="00F11490"/>
    <w:rsid w:val="00F1157B"/>
    <w:rsid w:val="00F1173D"/>
    <w:rsid w:val="00F11A3F"/>
    <w:rsid w:val="00F11BFE"/>
    <w:rsid w:val="00F11F25"/>
    <w:rsid w:val="00F1223E"/>
    <w:rsid w:val="00F12266"/>
    <w:rsid w:val="00F12426"/>
    <w:rsid w:val="00F12634"/>
    <w:rsid w:val="00F12E2A"/>
    <w:rsid w:val="00F130D9"/>
    <w:rsid w:val="00F136F7"/>
    <w:rsid w:val="00F13B3D"/>
    <w:rsid w:val="00F13BEF"/>
    <w:rsid w:val="00F14164"/>
    <w:rsid w:val="00F14793"/>
    <w:rsid w:val="00F15143"/>
    <w:rsid w:val="00F153FF"/>
    <w:rsid w:val="00F15996"/>
    <w:rsid w:val="00F15B5B"/>
    <w:rsid w:val="00F16277"/>
    <w:rsid w:val="00F16970"/>
    <w:rsid w:val="00F17658"/>
    <w:rsid w:val="00F17808"/>
    <w:rsid w:val="00F1783A"/>
    <w:rsid w:val="00F17854"/>
    <w:rsid w:val="00F1790B"/>
    <w:rsid w:val="00F17B1C"/>
    <w:rsid w:val="00F2014F"/>
    <w:rsid w:val="00F20192"/>
    <w:rsid w:val="00F2071B"/>
    <w:rsid w:val="00F20FC3"/>
    <w:rsid w:val="00F21089"/>
    <w:rsid w:val="00F212F5"/>
    <w:rsid w:val="00F2161F"/>
    <w:rsid w:val="00F21CD2"/>
    <w:rsid w:val="00F23241"/>
    <w:rsid w:val="00F23B21"/>
    <w:rsid w:val="00F2410A"/>
    <w:rsid w:val="00F249A4"/>
    <w:rsid w:val="00F250EA"/>
    <w:rsid w:val="00F251BC"/>
    <w:rsid w:val="00F25ABC"/>
    <w:rsid w:val="00F25B69"/>
    <w:rsid w:val="00F25D53"/>
    <w:rsid w:val="00F25EFD"/>
    <w:rsid w:val="00F2617E"/>
    <w:rsid w:val="00F261C5"/>
    <w:rsid w:val="00F26421"/>
    <w:rsid w:val="00F2666B"/>
    <w:rsid w:val="00F2706B"/>
    <w:rsid w:val="00F27468"/>
    <w:rsid w:val="00F277E4"/>
    <w:rsid w:val="00F27941"/>
    <w:rsid w:val="00F27A06"/>
    <w:rsid w:val="00F27A5F"/>
    <w:rsid w:val="00F27D40"/>
    <w:rsid w:val="00F27DBB"/>
    <w:rsid w:val="00F27E8A"/>
    <w:rsid w:val="00F27FE2"/>
    <w:rsid w:val="00F300AA"/>
    <w:rsid w:val="00F300DC"/>
    <w:rsid w:val="00F300DE"/>
    <w:rsid w:val="00F30534"/>
    <w:rsid w:val="00F306FA"/>
    <w:rsid w:val="00F309A7"/>
    <w:rsid w:val="00F31041"/>
    <w:rsid w:val="00F312B2"/>
    <w:rsid w:val="00F320DA"/>
    <w:rsid w:val="00F321C2"/>
    <w:rsid w:val="00F327BC"/>
    <w:rsid w:val="00F332C0"/>
    <w:rsid w:val="00F336F1"/>
    <w:rsid w:val="00F338B1"/>
    <w:rsid w:val="00F33DA4"/>
    <w:rsid w:val="00F33E4A"/>
    <w:rsid w:val="00F34024"/>
    <w:rsid w:val="00F34291"/>
    <w:rsid w:val="00F34C3B"/>
    <w:rsid w:val="00F34CF1"/>
    <w:rsid w:val="00F34D88"/>
    <w:rsid w:val="00F35276"/>
    <w:rsid w:val="00F35479"/>
    <w:rsid w:val="00F35667"/>
    <w:rsid w:val="00F35AAB"/>
    <w:rsid w:val="00F364B3"/>
    <w:rsid w:val="00F3697E"/>
    <w:rsid w:val="00F36B82"/>
    <w:rsid w:val="00F37182"/>
    <w:rsid w:val="00F37612"/>
    <w:rsid w:val="00F37926"/>
    <w:rsid w:val="00F37AB1"/>
    <w:rsid w:val="00F37CD2"/>
    <w:rsid w:val="00F37DB3"/>
    <w:rsid w:val="00F404A1"/>
    <w:rsid w:val="00F408DE"/>
    <w:rsid w:val="00F408FC"/>
    <w:rsid w:val="00F40CD2"/>
    <w:rsid w:val="00F40F4C"/>
    <w:rsid w:val="00F4110B"/>
    <w:rsid w:val="00F41E5D"/>
    <w:rsid w:val="00F41ECB"/>
    <w:rsid w:val="00F4205E"/>
    <w:rsid w:val="00F42384"/>
    <w:rsid w:val="00F42443"/>
    <w:rsid w:val="00F4262C"/>
    <w:rsid w:val="00F426D1"/>
    <w:rsid w:val="00F42702"/>
    <w:rsid w:val="00F428FD"/>
    <w:rsid w:val="00F42E07"/>
    <w:rsid w:val="00F43073"/>
    <w:rsid w:val="00F43641"/>
    <w:rsid w:val="00F43B83"/>
    <w:rsid w:val="00F44040"/>
    <w:rsid w:val="00F445D6"/>
    <w:rsid w:val="00F44E51"/>
    <w:rsid w:val="00F44FFE"/>
    <w:rsid w:val="00F45550"/>
    <w:rsid w:val="00F45B3E"/>
    <w:rsid w:val="00F45B99"/>
    <w:rsid w:val="00F45EE6"/>
    <w:rsid w:val="00F4612C"/>
    <w:rsid w:val="00F46252"/>
    <w:rsid w:val="00F4643A"/>
    <w:rsid w:val="00F46C27"/>
    <w:rsid w:val="00F47005"/>
    <w:rsid w:val="00F47426"/>
    <w:rsid w:val="00F474E3"/>
    <w:rsid w:val="00F47532"/>
    <w:rsid w:val="00F47CF3"/>
    <w:rsid w:val="00F47F4E"/>
    <w:rsid w:val="00F50250"/>
    <w:rsid w:val="00F508F7"/>
    <w:rsid w:val="00F50E62"/>
    <w:rsid w:val="00F50EF7"/>
    <w:rsid w:val="00F51076"/>
    <w:rsid w:val="00F51A72"/>
    <w:rsid w:val="00F521F5"/>
    <w:rsid w:val="00F52C76"/>
    <w:rsid w:val="00F52FC4"/>
    <w:rsid w:val="00F53684"/>
    <w:rsid w:val="00F53A12"/>
    <w:rsid w:val="00F5404E"/>
    <w:rsid w:val="00F5438C"/>
    <w:rsid w:val="00F545C6"/>
    <w:rsid w:val="00F54EA6"/>
    <w:rsid w:val="00F54F7E"/>
    <w:rsid w:val="00F54F89"/>
    <w:rsid w:val="00F550E2"/>
    <w:rsid w:val="00F55327"/>
    <w:rsid w:val="00F55D7D"/>
    <w:rsid w:val="00F55FB0"/>
    <w:rsid w:val="00F5655F"/>
    <w:rsid w:val="00F56873"/>
    <w:rsid w:val="00F5690D"/>
    <w:rsid w:val="00F5697D"/>
    <w:rsid w:val="00F56E5B"/>
    <w:rsid w:val="00F5778D"/>
    <w:rsid w:val="00F578E3"/>
    <w:rsid w:val="00F57C1D"/>
    <w:rsid w:val="00F6034D"/>
    <w:rsid w:val="00F60D09"/>
    <w:rsid w:val="00F60E8C"/>
    <w:rsid w:val="00F60EF1"/>
    <w:rsid w:val="00F618BE"/>
    <w:rsid w:val="00F61E56"/>
    <w:rsid w:val="00F61EAD"/>
    <w:rsid w:val="00F62FC8"/>
    <w:rsid w:val="00F632B1"/>
    <w:rsid w:val="00F63898"/>
    <w:rsid w:val="00F63B46"/>
    <w:rsid w:val="00F644E5"/>
    <w:rsid w:val="00F64704"/>
    <w:rsid w:val="00F64770"/>
    <w:rsid w:val="00F647CB"/>
    <w:rsid w:val="00F65071"/>
    <w:rsid w:val="00F6571A"/>
    <w:rsid w:val="00F65C98"/>
    <w:rsid w:val="00F662E8"/>
    <w:rsid w:val="00F66450"/>
    <w:rsid w:val="00F6686D"/>
    <w:rsid w:val="00F66938"/>
    <w:rsid w:val="00F66958"/>
    <w:rsid w:val="00F66AEE"/>
    <w:rsid w:val="00F67247"/>
    <w:rsid w:val="00F67DD2"/>
    <w:rsid w:val="00F70156"/>
    <w:rsid w:val="00F70492"/>
    <w:rsid w:val="00F707D2"/>
    <w:rsid w:val="00F70A1D"/>
    <w:rsid w:val="00F71831"/>
    <w:rsid w:val="00F71B27"/>
    <w:rsid w:val="00F72902"/>
    <w:rsid w:val="00F73273"/>
    <w:rsid w:val="00F7342C"/>
    <w:rsid w:val="00F73AF2"/>
    <w:rsid w:val="00F73F20"/>
    <w:rsid w:val="00F7403F"/>
    <w:rsid w:val="00F74488"/>
    <w:rsid w:val="00F74527"/>
    <w:rsid w:val="00F75565"/>
    <w:rsid w:val="00F7586A"/>
    <w:rsid w:val="00F759F8"/>
    <w:rsid w:val="00F772C8"/>
    <w:rsid w:val="00F77C9D"/>
    <w:rsid w:val="00F80718"/>
    <w:rsid w:val="00F80B24"/>
    <w:rsid w:val="00F80B43"/>
    <w:rsid w:val="00F81163"/>
    <w:rsid w:val="00F81884"/>
    <w:rsid w:val="00F8198D"/>
    <w:rsid w:val="00F81F48"/>
    <w:rsid w:val="00F81FE7"/>
    <w:rsid w:val="00F82E72"/>
    <w:rsid w:val="00F8359C"/>
    <w:rsid w:val="00F8466B"/>
    <w:rsid w:val="00F84916"/>
    <w:rsid w:val="00F84D28"/>
    <w:rsid w:val="00F857D5"/>
    <w:rsid w:val="00F858B6"/>
    <w:rsid w:val="00F8592C"/>
    <w:rsid w:val="00F85A74"/>
    <w:rsid w:val="00F85CFF"/>
    <w:rsid w:val="00F85E1E"/>
    <w:rsid w:val="00F8626C"/>
    <w:rsid w:val="00F8676F"/>
    <w:rsid w:val="00F87656"/>
    <w:rsid w:val="00F87961"/>
    <w:rsid w:val="00F87F8C"/>
    <w:rsid w:val="00F902EB"/>
    <w:rsid w:val="00F9046D"/>
    <w:rsid w:val="00F90799"/>
    <w:rsid w:val="00F90DE0"/>
    <w:rsid w:val="00F90FC2"/>
    <w:rsid w:val="00F9153E"/>
    <w:rsid w:val="00F916D0"/>
    <w:rsid w:val="00F91A80"/>
    <w:rsid w:val="00F91F9F"/>
    <w:rsid w:val="00F924C2"/>
    <w:rsid w:val="00F92550"/>
    <w:rsid w:val="00F92576"/>
    <w:rsid w:val="00F92710"/>
    <w:rsid w:val="00F92904"/>
    <w:rsid w:val="00F92941"/>
    <w:rsid w:val="00F92B57"/>
    <w:rsid w:val="00F92CDC"/>
    <w:rsid w:val="00F92DF3"/>
    <w:rsid w:val="00F93434"/>
    <w:rsid w:val="00F93E6B"/>
    <w:rsid w:val="00F94068"/>
    <w:rsid w:val="00F94AB8"/>
    <w:rsid w:val="00F94B31"/>
    <w:rsid w:val="00F94B97"/>
    <w:rsid w:val="00F94BDA"/>
    <w:rsid w:val="00F94D03"/>
    <w:rsid w:val="00F94D0F"/>
    <w:rsid w:val="00F95669"/>
    <w:rsid w:val="00F9570F"/>
    <w:rsid w:val="00F95847"/>
    <w:rsid w:val="00F95D18"/>
    <w:rsid w:val="00F96402"/>
    <w:rsid w:val="00F96551"/>
    <w:rsid w:val="00F97D33"/>
    <w:rsid w:val="00F97F58"/>
    <w:rsid w:val="00FA04E0"/>
    <w:rsid w:val="00FA0771"/>
    <w:rsid w:val="00FA0952"/>
    <w:rsid w:val="00FA0B0C"/>
    <w:rsid w:val="00FA0D6A"/>
    <w:rsid w:val="00FA11EF"/>
    <w:rsid w:val="00FA191C"/>
    <w:rsid w:val="00FA1925"/>
    <w:rsid w:val="00FA1981"/>
    <w:rsid w:val="00FA1B45"/>
    <w:rsid w:val="00FA1E63"/>
    <w:rsid w:val="00FA2160"/>
    <w:rsid w:val="00FA21DC"/>
    <w:rsid w:val="00FA24F1"/>
    <w:rsid w:val="00FA2A74"/>
    <w:rsid w:val="00FA2DA2"/>
    <w:rsid w:val="00FA3085"/>
    <w:rsid w:val="00FA334D"/>
    <w:rsid w:val="00FA33E6"/>
    <w:rsid w:val="00FA40EF"/>
    <w:rsid w:val="00FA43FB"/>
    <w:rsid w:val="00FA451D"/>
    <w:rsid w:val="00FA465F"/>
    <w:rsid w:val="00FA4D3C"/>
    <w:rsid w:val="00FA516A"/>
    <w:rsid w:val="00FA52C3"/>
    <w:rsid w:val="00FA58CA"/>
    <w:rsid w:val="00FA59C8"/>
    <w:rsid w:val="00FA5F23"/>
    <w:rsid w:val="00FA6115"/>
    <w:rsid w:val="00FA6326"/>
    <w:rsid w:val="00FA65C8"/>
    <w:rsid w:val="00FA696C"/>
    <w:rsid w:val="00FA6E00"/>
    <w:rsid w:val="00FA74CA"/>
    <w:rsid w:val="00FA7E7A"/>
    <w:rsid w:val="00FB0430"/>
    <w:rsid w:val="00FB04A8"/>
    <w:rsid w:val="00FB0556"/>
    <w:rsid w:val="00FB0CBE"/>
    <w:rsid w:val="00FB0DA3"/>
    <w:rsid w:val="00FB0FE1"/>
    <w:rsid w:val="00FB12D3"/>
    <w:rsid w:val="00FB16BD"/>
    <w:rsid w:val="00FB1FAB"/>
    <w:rsid w:val="00FB231B"/>
    <w:rsid w:val="00FB231C"/>
    <w:rsid w:val="00FB238A"/>
    <w:rsid w:val="00FB275C"/>
    <w:rsid w:val="00FB3511"/>
    <w:rsid w:val="00FB3BB7"/>
    <w:rsid w:val="00FB3CD2"/>
    <w:rsid w:val="00FB3CFC"/>
    <w:rsid w:val="00FB3D07"/>
    <w:rsid w:val="00FB4244"/>
    <w:rsid w:val="00FB451C"/>
    <w:rsid w:val="00FB4B49"/>
    <w:rsid w:val="00FB587E"/>
    <w:rsid w:val="00FB65A5"/>
    <w:rsid w:val="00FB69B8"/>
    <w:rsid w:val="00FB69F8"/>
    <w:rsid w:val="00FB7723"/>
    <w:rsid w:val="00FC0007"/>
    <w:rsid w:val="00FC05B7"/>
    <w:rsid w:val="00FC09A7"/>
    <w:rsid w:val="00FC14E2"/>
    <w:rsid w:val="00FC15AD"/>
    <w:rsid w:val="00FC1702"/>
    <w:rsid w:val="00FC18C8"/>
    <w:rsid w:val="00FC2CD9"/>
    <w:rsid w:val="00FC2F73"/>
    <w:rsid w:val="00FC2F7C"/>
    <w:rsid w:val="00FC368D"/>
    <w:rsid w:val="00FC3E57"/>
    <w:rsid w:val="00FC3F0E"/>
    <w:rsid w:val="00FC3F56"/>
    <w:rsid w:val="00FC4122"/>
    <w:rsid w:val="00FC4633"/>
    <w:rsid w:val="00FC476F"/>
    <w:rsid w:val="00FC4878"/>
    <w:rsid w:val="00FC5425"/>
    <w:rsid w:val="00FC5828"/>
    <w:rsid w:val="00FC5AD7"/>
    <w:rsid w:val="00FC5EB9"/>
    <w:rsid w:val="00FC605C"/>
    <w:rsid w:val="00FC6084"/>
    <w:rsid w:val="00FC694F"/>
    <w:rsid w:val="00FC6B0A"/>
    <w:rsid w:val="00FC7254"/>
    <w:rsid w:val="00FC7651"/>
    <w:rsid w:val="00FC76C8"/>
    <w:rsid w:val="00FC7F8E"/>
    <w:rsid w:val="00FD0526"/>
    <w:rsid w:val="00FD0851"/>
    <w:rsid w:val="00FD0951"/>
    <w:rsid w:val="00FD0C76"/>
    <w:rsid w:val="00FD10FB"/>
    <w:rsid w:val="00FD17DB"/>
    <w:rsid w:val="00FD1A60"/>
    <w:rsid w:val="00FD1A73"/>
    <w:rsid w:val="00FD1D0E"/>
    <w:rsid w:val="00FD277C"/>
    <w:rsid w:val="00FD278B"/>
    <w:rsid w:val="00FD2A8D"/>
    <w:rsid w:val="00FD3173"/>
    <w:rsid w:val="00FD3193"/>
    <w:rsid w:val="00FD32D8"/>
    <w:rsid w:val="00FD34F3"/>
    <w:rsid w:val="00FD3A6B"/>
    <w:rsid w:val="00FD3AFA"/>
    <w:rsid w:val="00FD4D4C"/>
    <w:rsid w:val="00FD506A"/>
    <w:rsid w:val="00FD51B2"/>
    <w:rsid w:val="00FD5A20"/>
    <w:rsid w:val="00FD5AE5"/>
    <w:rsid w:val="00FD5C35"/>
    <w:rsid w:val="00FD6134"/>
    <w:rsid w:val="00FD62F4"/>
    <w:rsid w:val="00FD70AC"/>
    <w:rsid w:val="00FD7D13"/>
    <w:rsid w:val="00FD7DBC"/>
    <w:rsid w:val="00FD7F42"/>
    <w:rsid w:val="00FE011C"/>
    <w:rsid w:val="00FE063B"/>
    <w:rsid w:val="00FE0730"/>
    <w:rsid w:val="00FE0C55"/>
    <w:rsid w:val="00FE0FD9"/>
    <w:rsid w:val="00FE1406"/>
    <w:rsid w:val="00FE18CE"/>
    <w:rsid w:val="00FE1BF3"/>
    <w:rsid w:val="00FE1E37"/>
    <w:rsid w:val="00FE2022"/>
    <w:rsid w:val="00FE2348"/>
    <w:rsid w:val="00FE2C26"/>
    <w:rsid w:val="00FE34BE"/>
    <w:rsid w:val="00FE3657"/>
    <w:rsid w:val="00FE37A5"/>
    <w:rsid w:val="00FE3A31"/>
    <w:rsid w:val="00FE3A34"/>
    <w:rsid w:val="00FE3B23"/>
    <w:rsid w:val="00FE3BBA"/>
    <w:rsid w:val="00FE4CEC"/>
    <w:rsid w:val="00FE4E6B"/>
    <w:rsid w:val="00FE5025"/>
    <w:rsid w:val="00FE5265"/>
    <w:rsid w:val="00FE527D"/>
    <w:rsid w:val="00FE52E9"/>
    <w:rsid w:val="00FE57EF"/>
    <w:rsid w:val="00FE5A58"/>
    <w:rsid w:val="00FE5D7A"/>
    <w:rsid w:val="00FE5DF8"/>
    <w:rsid w:val="00FE6849"/>
    <w:rsid w:val="00FE68DB"/>
    <w:rsid w:val="00FE6F88"/>
    <w:rsid w:val="00FE7462"/>
    <w:rsid w:val="00FE74BA"/>
    <w:rsid w:val="00FE791F"/>
    <w:rsid w:val="00FF0052"/>
    <w:rsid w:val="00FF0560"/>
    <w:rsid w:val="00FF0919"/>
    <w:rsid w:val="00FF0E1D"/>
    <w:rsid w:val="00FF1017"/>
    <w:rsid w:val="00FF11AE"/>
    <w:rsid w:val="00FF18B6"/>
    <w:rsid w:val="00FF2134"/>
    <w:rsid w:val="00FF242A"/>
    <w:rsid w:val="00FF2606"/>
    <w:rsid w:val="00FF267F"/>
    <w:rsid w:val="00FF2A1D"/>
    <w:rsid w:val="00FF2C1F"/>
    <w:rsid w:val="00FF2DB2"/>
    <w:rsid w:val="00FF3465"/>
    <w:rsid w:val="00FF3DB7"/>
    <w:rsid w:val="00FF3E8C"/>
    <w:rsid w:val="00FF403D"/>
    <w:rsid w:val="00FF416F"/>
    <w:rsid w:val="00FF4781"/>
    <w:rsid w:val="00FF482E"/>
    <w:rsid w:val="00FF4D07"/>
    <w:rsid w:val="00FF4E5B"/>
    <w:rsid w:val="00FF516C"/>
    <w:rsid w:val="00FF603E"/>
    <w:rsid w:val="00FF643C"/>
    <w:rsid w:val="00FF6C69"/>
    <w:rsid w:val="00FF6DFF"/>
    <w:rsid w:val="00FF6F79"/>
    <w:rsid w:val="00FF721D"/>
    <w:rsid w:val="00FF77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Body Text First Indent"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E25"/>
    <w:rPr>
      <w:sz w:val="24"/>
      <w:szCs w:val="24"/>
    </w:rPr>
  </w:style>
  <w:style w:type="paragraph" w:styleId="1">
    <w:name w:val="heading 1"/>
    <w:basedOn w:val="a"/>
    <w:next w:val="a"/>
    <w:link w:val="1Char"/>
    <w:qFormat/>
    <w:rsid w:val="005B6E0D"/>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99330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B5DEE"/>
    <w:pPr>
      <w:keepNext/>
      <w:spacing w:before="240" w:after="60"/>
      <w:outlineLvl w:val="2"/>
    </w:pPr>
    <w:rPr>
      <w:rFonts w:ascii="Arial" w:hAnsi="Arial" w:cs="Arial"/>
      <w:b/>
      <w:bCs/>
      <w:sz w:val="26"/>
      <w:szCs w:val="26"/>
    </w:rPr>
  </w:style>
  <w:style w:type="paragraph" w:styleId="4">
    <w:name w:val="heading 4"/>
    <w:basedOn w:val="a"/>
    <w:next w:val="a"/>
    <w:link w:val="4Char"/>
    <w:qFormat/>
    <w:rsid w:val="0034482B"/>
    <w:pPr>
      <w:keepNext/>
      <w:jc w:val="both"/>
      <w:outlineLvl w:val="3"/>
    </w:pPr>
    <w:rPr>
      <w:rFonts w:ascii="Arial Narrow" w:hAnsi="Arial Narrow"/>
      <w:b/>
      <w:i/>
      <w:color w:val="000080"/>
      <w:szCs w:val="22"/>
    </w:rPr>
  </w:style>
  <w:style w:type="paragraph" w:styleId="5">
    <w:name w:val="heading 5"/>
    <w:basedOn w:val="a"/>
    <w:next w:val="a"/>
    <w:link w:val="5Char"/>
    <w:qFormat/>
    <w:rsid w:val="0034482B"/>
    <w:pPr>
      <w:keepNext/>
      <w:jc w:val="both"/>
      <w:outlineLvl w:val="4"/>
    </w:pPr>
    <w:rPr>
      <w:rFonts w:ascii="Arial Narrow" w:hAnsi="Arial Narrow"/>
      <w:b/>
      <w:sz w:val="22"/>
      <w:szCs w:val="22"/>
    </w:rPr>
  </w:style>
  <w:style w:type="paragraph" w:styleId="6">
    <w:name w:val="heading 6"/>
    <w:basedOn w:val="a"/>
    <w:next w:val="a"/>
    <w:link w:val="6Char"/>
    <w:qFormat/>
    <w:rsid w:val="0022549F"/>
    <w:pPr>
      <w:keepNext/>
      <w:jc w:val="both"/>
      <w:outlineLvl w:val="5"/>
    </w:pPr>
    <w:rPr>
      <w:rFonts w:ascii="Arial Narrow" w:hAnsi="Arial Narrow"/>
      <w:b/>
      <w:color w:val="000080"/>
      <w:sz w:val="26"/>
      <w:szCs w:val="22"/>
    </w:rPr>
  </w:style>
  <w:style w:type="paragraph" w:styleId="7">
    <w:name w:val="heading 7"/>
    <w:basedOn w:val="a"/>
    <w:next w:val="a"/>
    <w:link w:val="7Char"/>
    <w:qFormat/>
    <w:rsid w:val="006C6D1A"/>
    <w:pPr>
      <w:keepNext/>
      <w:jc w:val="both"/>
      <w:outlineLvl w:val="6"/>
    </w:pPr>
    <w:rPr>
      <w:rFonts w:ascii="Arial Narrow" w:hAnsi="Arial Narrow"/>
      <w:b/>
      <w:color w:val="000080"/>
      <w:sz w:val="22"/>
      <w:szCs w:val="22"/>
    </w:rPr>
  </w:style>
  <w:style w:type="paragraph" w:styleId="8">
    <w:name w:val="heading 8"/>
    <w:basedOn w:val="a"/>
    <w:next w:val="a"/>
    <w:link w:val="8Char"/>
    <w:qFormat/>
    <w:rsid w:val="006C6D1A"/>
    <w:pPr>
      <w:keepNext/>
      <w:jc w:val="both"/>
      <w:outlineLvl w:val="7"/>
    </w:pPr>
    <w:rPr>
      <w:rFonts w:ascii="Arial Narrow" w:hAnsi="Arial Narrow"/>
      <w:b/>
      <w:i/>
      <w:sz w:val="22"/>
      <w:szCs w:val="22"/>
    </w:rPr>
  </w:style>
  <w:style w:type="paragraph" w:styleId="9">
    <w:name w:val="heading 9"/>
    <w:basedOn w:val="a"/>
    <w:next w:val="a"/>
    <w:link w:val="9Char"/>
    <w:qFormat/>
    <w:rsid w:val="00DB56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0E4A"/>
    <w:pPr>
      <w:tabs>
        <w:tab w:val="center" w:pos="4153"/>
        <w:tab w:val="right" w:pos="8306"/>
      </w:tabs>
    </w:pPr>
  </w:style>
  <w:style w:type="paragraph" w:styleId="a4">
    <w:name w:val="footer"/>
    <w:basedOn w:val="a"/>
    <w:link w:val="Char0"/>
    <w:rsid w:val="00D40E4A"/>
    <w:pPr>
      <w:tabs>
        <w:tab w:val="center" w:pos="4153"/>
        <w:tab w:val="right" w:pos="8306"/>
      </w:tabs>
    </w:pPr>
  </w:style>
  <w:style w:type="character" w:styleId="a5">
    <w:name w:val="page number"/>
    <w:basedOn w:val="a0"/>
    <w:rsid w:val="00D40E4A"/>
  </w:style>
  <w:style w:type="paragraph" w:styleId="a6">
    <w:name w:val="Balloon Text"/>
    <w:basedOn w:val="a"/>
    <w:link w:val="Char1"/>
    <w:semiHidden/>
    <w:rsid w:val="001561CD"/>
    <w:rPr>
      <w:rFonts w:ascii="Tahoma" w:hAnsi="Tahoma" w:cs="Tahoma"/>
      <w:sz w:val="16"/>
      <w:szCs w:val="16"/>
    </w:rPr>
  </w:style>
  <w:style w:type="paragraph" w:customStyle="1" w:styleId="aplo">
    <w:name w:val="aplo"/>
    <w:basedOn w:val="a"/>
    <w:rsid w:val="00A90E25"/>
    <w:pPr>
      <w:tabs>
        <w:tab w:val="left" w:pos="567"/>
      </w:tabs>
      <w:spacing w:before="120"/>
      <w:jc w:val="both"/>
    </w:pPr>
    <w:rPr>
      <w:sz w:val="22"/>
      <w:szCs w:val="20"/>
      <w:lang w:val="en-GB"/>
    </w:rPr>
  </w:style>
  <w:style w:type="paragraph" w:styleId="20">
    <w:name w:val="Body Text 2"/>
    <w:basedOn w:val="a"/>
    <w:link w:val="2Char0"/>
    <w:rsid w:val="0022549F"/>
    <w:pPr>
      <w:jc w:val="both"/>
    </w:pPr>
    <w:rPr>
      <w:szCs w:val="22"/>
    </w:rPr>
  </w:style>
  <w:style w:type="table" w:styleId="a7">
    <w:name w:val="Table Grid"/>
    <w:basedOn w:val="a1"/>
    <w:rsid w:val="00702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2"/>
    <w:rsid w:val="00DB5630"/>
    <w:pPr>
      <w:jc w:val="both"/>
    </w:pPr>
    <w:rPr>
      <w:sz w:val="22"/>
      <w:szCs w:val="22"/>
    </w:rPr>
  </w:style>
  <w:style w:type="paragraph" w:styleId="a9">
    <w:name w:val="Title"/>
    <w:basedOn w:val="a"/>
    <w:link w:val="Char3"/>
    <w:qFormat/>
    <w:rsid w:val="00DB5630"/>
    <w:pPr>
      <w:jc w:val="center"/>
    </w:pPr>
    <w:rPr>
      <w:b/>
      <w:bCs/>
      <w:lang w:eastAsia="en-US"/>
    </w:rPr>
  </w:style>
  <w:style w:type="numbering" w:customStyle="1" w:styleId="10">
    <w:name w:val="Χωρίς λίστα1"/>
    <w:next w:val="a2"/>
    <w:semiHidden/>
    <w:rsid w:val="00DB5630"/>
  </w:style>
  <w:style w:type="paragraph" w:customStyle="1" w:styleId="keimeno">
    <w:name w:val="keimeno"/>
    <w:basedOn w:val="a"/>
    <w:rsid w:val="00DB5630"/>
    <w:pPr>
      <w:jc w:val="both"/>
    </w:pPr>
    <w:rPr>
      <w:rFonts w:ascii="Arial" w:hAnsi="Arial"/>
      <w:sz w:val="22"/>
      <w:szCs w:val="20"/>
    </w:rPr>
  </w:style>
  <w:style w:type="paragraph" w:styleId="aa">
    <w:name w:val="Body Text Indent"/>
    <w:basedOn w:val="a"/>
    <w:link w:val="Char4"/>
    <w:rsid w:val="00DB5630"/>
    <w:pPr>
      <w:ind w:firstLine="720"/>
      <w:jc w:val="both"/>
    </w:pPr>
    <w:rPr>
      <w:sz w:val="22"/>
      <w:szCs w:val="20"/>
    </w:rPr>
  </w:style>
  <w:style w:type="paragraph" w:styleId="30">
    <w:name w:val="Body Text 3"/>
    <w:basedOn w:val="a"/>
    <w:link w:val="3Char0"/>
    <w:rsid w:val="00DB5630"/>
    <w:pPr>
      <w:jc w:val="both"/>
    </w:pPr>
    <w:rPr>
      <w:sz w:val="22"/>
      <w:szCs w:val="20"/>
    </w:rPr>
  </w:style>
  <w:style w:type="paragraph" w:customStyle="1" w:styleId="Giota">
    <w:name w:val="Giota"/>
    <w:basedOn w:val="a"/>
    <w:rsid w:val="00DB5630"/>
    <w:pPr>
      <w:tabs>
        <w:tab w:val="left" w:pos="567"/>
        <w:tab w:val="left" w:pos="1134"/>
        <w:tab w:val="left" w:pos="1701"/>
      </w:tabs>
      <w:jc w:val="both"/>
    </w:pPr>
    <w:rPr>
      <w:rFonts w:ascii="Arial" w:hAnsi="Arial"/>
      <w:sz w:val="18"/>
      <w:szCs w:val="20"/>
    </w:rPr>
  </w:style>
  <w:style w:type="paragraph" w:customStyle="1" w:styleId="11">
    <w:name w:val="Στυλ1"/>
    <w:basedOn w:val="a"/>
    <w:rsid w:val="00DB5630"/>
    <w:pPr>
      <w:spacing w:before="120"/>
      <w:ind w:firstLine="567"/>
    </w:pPr>
    <w:rPr>
      <w:rFonts w:ascii="Arial" w:hAnsi="Arial"/>
      <w:sz w:val="20"/>
      <w:szCs w:val="20"/>
    </w:rPr>
  </w:style>
  <w:style w:type="paragraph" w:styleId="21">
    <w:name w:val="Body Text Indent 2"/>
    <w:basedOn w:val="a"/>
    <w:link w:val="2Char1"/>
    <w:rsid w:val="00DB5630"/>
    <w:pPr>
      <w:ind w:left="720" w:hanging="720"/>
      <w:jc w:val="both"/>
    </w:pPr>
    <w:rPr>
      <w:rFonts w:ascii="Tahoma" w:hAnsi="Tahoma"/>
      <w:b/>
      <w:color w:val="0000FF"/>
      <w:sz w:val="20"/>
      <w:szCs w:val="20"/>
    </w:rPr>
  </w:style>
  <w:style w:type="paragraph" w:styleId="ab">
    <w:name w:val="Plain Text"/>
    <w:basedOn w:val="a"/>
    <w:link w:val="Char5"/>
    <w:rsid w:val="00DB5630"/>
    <w:rPr>
      <w:rFonts w:ascii="Courier New" w:hAnsi="Courier New"/>
      <w:sz w:val="20"/>
      <w:szCs w:val="20"/>
    </w:rPr>
  </w:style>
  <w:style w:type="paragraph" w:styleId="31">
    <w:name w:val="Body Text Indent 3"/>
    <w:basedOn w:val="a"/>
    <w:link w:val="3Char1"/>
    <w:rsid w:val="00DB5630"/>
    <w:pPr>
      <w:tabs>
        <w:tab w:val="num" w:pos="652"/>
      </w:tabs>
      <w:spacing w:after="120"/>
      <w:ind w:left="652" w:hanging="652"/>
      <w:jc w:val="both"/>
    </w:pPr>
    <w:rPr>
      <w:sz w:val="22"/>
      <w:szCs w:val="20"/>
    </w:rPr>
  </w:style>
  <w:style w:type="character" w:styleId="ac">
    <w:name w:val="annotation reference"/>
    <w:basedOn w:val="a0"/>
    <w:uiPriority w:val="99"/>
    <w:semiHidden/>
    <w:rsid w:val="00DC5802"/>
    <w:rPr>
      <w:sz w:val="16"/>
      <w:szCs w:val="16"/>
    </w:rPr>
  </w:style>
  <w:style w:type="paragraph" w:styleId="ad">
    <w:name w:val="annotation text"/>
    <w:basedOn w:val="a"/>
    <w:link w:val="Char6"/>
    <w:uiPriority w:val="99"/>
    <w:semiHidden/>
    <w:rsid w:val="00DC5802"/>
    <w:rPr>
      <w:sz w:val="20"/>
      <w:szCs w:val="20"/>
    </w:rPr>
  </w:style>
  <w:style w:type="paragraph" w:styleId="ae">
    <w:name w:val="annotation subject"/>
    <w:basedOn w:val="ad"/>
    <w:next w:val="ad"/>
    <w:link w:val="Char7"/>
    <w:semiHidden/>
    <w:rsid w:val="00DC5802"/>
    <w:rPr>
      <w:b/>
      <w:bCs/>
    </w:rPr>
  </w:style>
  <w:style w:type="character" w:styleId="-">
    <w:name w:val="Hyperlink"/>
    <w:basedOn w:val="a0"/>
    <w:uiPriority w:val="99"/>
    <w:rsid w:val="00EB7A79"/>
    <w:rPr>
      <w:color w:val="0000FF"/>
      <w:u w:val="single"/>
    </w:rPr>
  </w:style>
  <w:style w:type="paragraph" w:styleId="af">
    <w:name w:val="footnote text"/>
    <w:basedOn w:val="a"/>
    <w:link w:val="Char8"/>
    <w:uiPriority w:val="99"/>
    <w:semiHidden/>
    <w:rsid w:val="005F3BAB"/>
    <w:rPr>
      <w:sz w:val="20"/>
      <w:szCs w:val="20"/>
    </w:rPr>
  </w:style>
  <w:style w:type="character" w:styleId="af0">
    <w:name w:val="footnote reference"/>
    <w:basedOn w:val="a0"/>
    <w:uiPriority w:val="99"/>
    <w:semiHidden/>
    <w:rsid w:val="005F3BAB"/>
    <w:rPr>
      <w:vertAlign w:val="superscript"/>
    </w:rPr>
  </w:style>
  <w:style w:type="paragraph" w:customStyle="1" w:styleId="CharCharCharCharCharCharCharCharCharCharCharCharChar">
    <w:name w:val="Char Char Char Char Char Char Char Char Char Char Char Char Char"/>
    <w:basedOn w:val="a"/>
    <w:rsid w:val="0022502F"/>
    <w:pPr>
      <w:spacing w:after="160" w:line="240" w:lineRule="exact"/>
      <w:jc w:val="both"/>
    </w:pPr>
    <w:rPr>
      <w:rFonts w:ascii="Verdana" w:hAnsi="Verdana"/>
      <w:sz w:val="20"/>
      <w:szCs w:val="20"/>
      <w:lang w:val="en-US" w:eastAsia="en-US"/>
    </w:rPr>
  </w:style>
  <w:style w:type="numbering" w:customStyle="1" w:styleId="22">
    <w:name w:val="Χωρίς λίστα2"/>
    <w:next w:val="a2"/>
    <w:semiHidden/>
    <w:rsid w:val="00F66AEE"/>
  </w:style>
  <w:style w:type="paragraph" w:styleId="af1">
    <w:name w:val="Block Text"/>
    <w:basedOn w:val="a"/>
    <w:rsid w:val="00F66AEE"/>
    <w:pPr>
      <w:ind w:left="360" w:right="70" w:hanging="360"/>
      <w:jc w:val="both"/>
    </w:pPr>
    <w:rPr>
      <w:sz w:val="16"/>
      <w:szCs w:val="22"/>
    </w:rPr>
  </w:style>
  <w:style w:type="paragraph" w:customStyle="1" w:styleId="CharCharCharChar">
    <w:name w:val="Char Char Char Char"/>
    <w:basedOn w:val="a"/>
    <w:rsid w:val="00C2204C"/>
    <w:pPr>
      <w:spacing w:before="120" w:after="160" w:line="240" w:lineRule="exact"/>
    </w:pPr>
    <w:rPr>
      <w:rFonts w:ascii="Verdana" w:hAnsi="Verdana"/>
      <w:sz w:val="20"/>
      <w:szCs w:val="20"/>
      <w:lang w:val="en-US" w:eastAsia="en-US"/>
    </w:rPr>
  </w:style>
  <w:style w:type="paragraph" w:customStyle="1" w:styleId="CharCharCharCharCharCharCharCharCharChar11pt">
    <w:name w:val="Char Char Char Char Char Char Char Char Char Char Βασικό+11pt"/>
    <w:basedOn w:val="a"/>
    <w:rsid w:val="00B73E04"/>
    <w:pPr>
      <w:jc w:val="both"/>
    </w:pPr>
    <w:rPr>
      <w:b/>
      <w:sz w:val="22"/>
    </w:rPr>
  </w:style>
  <w:style w:type="paragraph" w:styleId="af2">
    <w:name w:val="List Paragraph"/>
    <w:basedOn w:val="a"/>
    <w:uiPriority w:val="34"/>
    <w:qFormat/>
    <w:rsid w:val="00B73E04"/>
    <w:pPr>
      <w:spacing w:after="200" w:line="276" w:lineRule="auto"/>
      <w:ind w:left="720"/>
      <w:contextualSpacing/>
    </w:pPr>
    <w:rPr>
      <w:rFonts w:ascii="Calibri" w:eastAsia="Calibri" w:hAnsi="Calibri"/>
      <w:sz w:val="22"/>
      <w:szCs w:val="22"/>
      <w:lang w:eastAsia="en-US"/>
    </w:rPr>
  </w:style>
  <w:style w:type="paragraph" w:customStyle="1" w:styleId="Char9">
    <w:name w:val="Char"/>
    <w:basedOn w:val="a"/>
    <w:rsid w:val="00A71D8F"/>
    <w:pPr>
      <w:spacing w:after="160" w:line="240" w:lineRule="exact"/>
      <w:jc w:val="both"/>
    </w:pPr>
    <w:rPr>
      <w:rFonts w:ascii="Verdana" w:hAnsi="Verdana"/>
      <w:sz w:val="20"/>
      <w:szCs w:val="20"/>
      <w:lang w:val="en-US" w:eastAsia="en-US"/>
    </w:rPr>
  </w:style>
  <w:style w:type="paragraph" w:customStyle="1" w:styleId="Pinakastitlos">
    <w:name w:val="Pinakas_titlos"/>
    <w:basedOn w:val="a"/>
    <w:qFormat/>
    <w:rsid w:val="001B4685"/>
    <w:pPr>
      <w:spacing w:before="120"/>
      <w:ind w:right="-1"/>
      <w:jc w:val="center"/>
    </w:pPr>
    <w:rPr>
      <w:rFonts w:ascii="Arial Narrow" w:hAnsi="Arial Narrow"/>
      <w:b/>
      <w:color w:val="FFFFFF"/>
    </w:rPr>
  </w:style>
  <w:style w:type="character" w:customStyle="1" w:styleId="Char1">
    <w:name w:val="Κείμενο πλαισίου Char"/>
    <w:basedOn w:val="a0"/>
    <w:link w:val="a6"/>
    <w:semiHidden/>
    <w:rsid w:val="001B4685"/>
    <w:rPr>
      <w:rFonts w:ascii="Tahoma" w:hAnsi="Tahoma" w:cs="Tahoma"/>
      <w:sz w:val="16"/>
      <w:szCs w:val="16"/>
    </w:rPr>
  </w:style>
  <w:style w:type="paragraph" w:customStyle="1" w:styleId="12">
    <w:name w:val="Παράγραφος λίστας1"/>
    <w:basedOn w:val="a"/>
    <w:rsid w:val="001B4685"/>
    <w:pPr>
      <w:spacing w:after="200" w:line="276" w:lineRule="auto"/>
      <w:ind w:left="720"/>
    </w:pPr>
    <w:rPr>
      <w:rFonts w:ascii="Calibri" w:hAnsi="Calibri" w:cs="Calibri"/>
      <w:sz w:val="22"/>
      <w:szCs w:val="22"/>
      <w:lang w:eastAsia="en-US"/>
    </w:rPr>
  </w:style>
  <w:style w:type="character" w:customStyle="1" w:styleId="2Char1">
    <w:name w:val="Σώμα κείμενου με εσοχή 2 Char"/>
    <w:basedOn w:val="a0"/>
    <w:link w:val="21"/>
    <w:rsid w:val="00C56840"/>
    <w:rPr>
      <w:rFonts w:ascii="Tahoma" w:hAnsi="Tahoma"/>
      <w:b/>
      <w:color w:val="0000FF"/>
    </w:rPr>
  </w:style>
  <w:style w:type="character" w:customStyle="1" w:styleId="Char6">
    <w:name w:val="Κείμενο σχολίου Char"/>
    <w:basedOn w:val="a0"/>
    <w:link w:val="ad"/>
    <w:uiPriority w:val="99"/>
    <w:semiHidden/>
    <w:rsid w:val="00156E94"/>
  </w:style>
  <w:style w:type="character" w:customStyle="1" w:styleId="Char7">
    <w:name w:val="Θέμα σχολίου Char"/>
    <w:basedOn w:val="Char6"/>
    <w:link w:val="ae"/>
    <w:semiHidden/>
    <w:rsid w:val="00156E94"/>
    <w:rPr>
      <w:b/>
      <w:bCs/>
    </w:rPr>
  </w:style>
  <w:style w:type="paragraph" w:customStyle="1" w:styleId="CharCharCharCharCharCharCharCharCharCharCharCharChar0">
    <w:name w:val="Char Char Char Char Char Char Char Char Char Char Char Char Char"/>
    <w:basedOn w:val="a"/>
    <w:rsid w:val="005F39F3"/>
    <w:pPr>
      <w:spacing w:after="160" w:line="240" w:lineRule="exact"/>
      <w:jc w:val="both"/>
    </w:pPr>
    <w:rPr>
      <w:rFonts w:ascii="Verdana" w:hAnsi="Verdana"/>
      <w:sz w:val="20"/>
      <w:szCs w:val="20"/>
      <w:lang w:val="en-US" w:eastAsia="en-US"/>
    </w:rPr>
  </w:style>
  <w:style w:type="paragraph" w:customStyle="1" w:styleId="CharCharCharChar0">
    <w:name w:val="Char Char Char Char"/>
    <w:basedOn w:val="a"/>
    <w:rsid w:val="005F39F3"/>
    <w:pPr>
      <w:spacing w:before="120" w:after="160" w:line="240" w:lineRule="exact"/>
    </w:pPr>
    <w:rPr>
      <w:rFonts w:ascii="Verdana" w:hAnsi="Verdana"/>
      <w:sz w:val="20"/>
      <w:szCs w:val="20"/>
      <w:lang w:val="en-US" w:eastAsia="en-US"/>
    </w:rPr>
  </w:style>
  <w:style w:type="character" w:styleId="-0">
    <w:name w:val="FollowedHyperlink"/>
    <w:basedOn w:val="a0"/>
    <w:uiPriority w:val="99"/>
    <w:rsid w:val="005F39F3"/>
    <w:rPr>
      <w:color w:val="800080"/>
      <w:u w:val="single"/>
    </w:rPr>
  </w:style>
  <w:style w:type="paragraph" w:customStyle="1" w:styleId="xl70">
    <w:name w:val="xl70"/>
    <w:basedOn w:val="a"/>
    <w:rsid w:val="005F39F3"/>
    <w:pPr>
      <w:spacing w:before="100" w:beforeAutospacing="1" w:after="100" w:afterAutospacing="1"/>
      <w:textAlignment w:val="center"/>
    </w:pPr>
    <w:rPr>
      <w:rFonts w:ascii="Arial" w:hAnsi="Arial" w:cs="Arial"/>
      <w:sz w:val="22"/>
      <w:szCs w:val="22"/>
    </w:rPr>
  </w:style>
  <w:style w:type="paragraph" w:customStyle="1" w:styleId="xl71">
    <w:name w:val="xl71"/>
    <w:basedOn w:val="a"/>
    <w:rsid w:val="005F39F3"/>
    <w:pPr>
      <w:pBdr>
        <w:left w:val="single" w:sz="8" w:space="0" w:color="auto"/>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2">
    <w:name w:val="xl72"/>
    <w:basedOn w:val="a"/>
    <w:rsid w:val="005F39F3"/>
    <w:pPr>
      <w:pBdr>
        <w:left w:val="single" w:sz="4" w:space="0" w:color="000000"/>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3">
    <w:name w:val="xl73"/>
    <w:basedOn w:val="a"/>
    <w:rsid w:val="005F39F3"/>
    <w:pPr>
      <w:pBdr>
        <w:left w:val="single" w:sz="4" w:space="0" w:color="000000"/>
        <w:right w:val="single" w:sz="8"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
    <w:rsid w:val="005F39F3"/>
    <w:pPr>
      <w:pBdr>
        <w:left w:val="single" w:sz="4" w:space="0" w:color="000000"/>
        <w:right w:val="single" w:sz="4" w:space="0" w:color="000000"/>
      </w:pBdr>
      <w:spacing w:before="100" w:beforeAutospacing="1" w:after="100" w:afterAutospacing="1"/>
      <w:jc w:val="right"/>
      <w:textAlignment w:val="center"/>
    </w:pPr>
    <w:rPr>
      <w:rFonts w:ascii="Arial" w:hAnsi="Arial" w:cs="Arial"/>
      <w:sz w:val="22"/>
      <w:szCs w:val="22"/>
    </w:rPr>
  </w:style>
  <w:style w:type="paragraph" w:customStyle="1" w:styleId="xl75">
    <w:name w:val="xl75"/>
    <w:basedOn w:val="a"/>
    <w:rsid w:val="005F39F3"/>
    <w:pPr>
      <w:pBdr>
        <w:left w:val="single" w:sz="4" w:space="0" w:color="000000"/>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23">
    <w:name w:val="Παράγραφος λίστας2"/>
    <w:basedOn w:val="a"/>
    <w:rsid w:val="005F39F3"/>
    <w:pPr>
      <w:spacing w:after="200" w:line="276" w:lineRule="auto"/>
      <w:ind w:left="720"/>
    </w:pPr>
    <w:rPr>
      <w:rFonts w:ascii="Calibri" w:hAnsi="Calibri" w:cs="Calibri"/>
      <w:sz w:val="22"/>
      <w:szCs w:val="22"/>
      <w:lang w:eastAsia="en-US"/>
    </w:rPr>
  </w:style>
  <w:style w:type="character" w:customStyle="1" w:styleId="1Char">
    <w:name w:val="Επικεφαλίδα 1 Char"/>
    <w:basedOn w:val="a0"/>
    <w:link w:val="1"/>
    <w:rsid w:val="002C76E1"/>
    <w:rPr>
      <w:rFonts w:ascii="Arial" w:hAnsi="Arial" w:cs="Arial"/>
      <w:b/>
      <w:bCs/>
      <w:kern w:val="32"/>
      <w:sz w:val="32"/>
      <w:szCs w:val="32"/>
    </w:rPr>
  </w:style>
  <w:style w:type="character" w:customStyle="1" w:styleId="2Char">
    <w:name w:val="Επικεφαλίδα 2 Char"/>
    <w:basedOn w:val="a0"/>
    <w:link w:val="2"/>
    <w:rsid w:val="002C76E1"/>
    <w:rPr>
      <w:rFonts w:ascii="Arial" w:hAnsi="Arial" w:cs="Arial"/>
      <w:b/>
      <w:bCs/>
      <w:i/>
      <w:iCs/>
      <w:sz w:val="28"/>
      <w:szCs w:val="28"/>
    </w:rPr>
  </w:style>
  <w:style w:type="character" w:customStyle="1" w:styleId="3Char">
    <w:name w:val="Επικεφαλίδα 3 Char"/>
    <w:basedOn w:val="a0"/>
    <w:link w:val="3"/>
    <w:rsid w:val="002C76E1"/>
    <w:rPr>
      <w:rFonts w:ascii="Arial" w:hAnsi="Arial" w:cs="Arial"/>
      <w:b/>
      <w:bCs/>
      <w:sz w:val="26"/>
      <w:szCs w:val="26"/>
    </w:rPr>
  </w:style>
  <w:style w:type="character" w:customStyle="1" w:styleId="4Char">
    <w:name w:val="Επικεφαλίδα 4 Char"/>
    <w:basedOn w:val="a0"/>
    <w:link w:val="4"/>
    <w:rsid w:val="002C76E1"/>
    <w:rPr>
      <w:rFonts w:ascii="Arial Narrow" w:hAnsi="Arial Narrow"/>
      <w:b/>
      <w:i/>
      <w:color w:val="000080"/>
      <w:sz w:val="24"/>
      <w:szCs w:val="22"/>
    </w:rPr>
  </w:style>
  <w:style w:type="character" w:customStyle="1" w:styleId="5Char">
    <w:name w:val="Επικεφαλίδα 5 Char"/>
    <w:basedOn w:val="a0"/>
    <w:link w:val="5"/>
    <w:rsid w:val="002C76E1"/>
    <w:rPr>
      <w:rFonts w:ascii="Arial Narrow" w:hAnsi="Arial Narrow"/>
      <w:b/>
      <w:sz w:val="22"/>
      <w:szCs w:val="22"/>
    </w:rPr>
  </w:style>
  <w:style w:type="character" w:customStyle="1" w:styleId="6Char">
    <w:name w:val="Επικεφαλίδα 6 Char"/>
    <w:basedOn w:val="a0"/>
    <w:link w:val="6"/>
    <w:rsid w:val="002C76E1"/>
    <w:rPr>
      <w:rFonts w:ascii="Arial Narrow" w:hAnsi="Arial Narrow"/>
      <w:b/>
      <w:color w:val="000080"/>
      <w:sz w:val="26"/>
      <w:szCs w:val="22"/>
    </w:rPr>
  </w:style>
  <w:style w:type="character" w:customStyle="1" w:styleId="7Char">
    <w:name w:val="Επικεφαλίδα 7 Char"/>
    <w:basedOn w:val="a0"/>
    <w:link w:val="7"/>
    <w:rsid w:val="002C76E1"/>
    <w:rPr>
      <w:rFonts w:ascii="Arial Narrow" w:hAnsi="Arial Narrow"/>
      <w:b/>
      <w:color w:val="000080"/>
      <w:sz w:val="22"/>
      <w:szCs w:val="22"/>
    </w:rPr>
  </w:style>
  <w:style w:type="character" w:customStyle="1" w:styleId="8Char">
    <w:name w:val="Επικεφαλίδα 8 Char"/>
    <w:basedOn w:val="a0"/>
    <w:link w:val="8"/>
    <w:rsid w:val="002C76E1"/>
    <w:rPr>
      <w:rFonts w:ascii="Arial Narrow" w:hAnsi="Arial Narrow"/>
      <w:b/>
      <w:i/>
      <w:sz w:val="22"/>
      <w:szCs w:val="22"/>
    </w:rPr>
  </w:style>
  <w:style w:type="character" w:customStyle="1" w:styleId="9Char">
    <w:name w:val="Επικεφαλίδα 9 Char"/>
    <w:basedOn w:val="a0"/>
    <w:link w:val="9"/>
    <w:rsid w:val="002C76E1"/>
    <w:rPr>
      <w:rFonts w:ascii="Arial" w:hAnsi="Arial" w:cs="Arial"/>
      <w:sz w:val="22"/>
      <w:szCs w:val="22"/>
    </w:rPr>
  </w:style>
  <w:style w:type="character" w:customStyle="1" w:styleId="Char">
    <w:name w:val="Κεφαλίδα Char"/>
    <w:basedOn w:val="a0"/>
    <w:link w:val="a3"/>
    <w:rsid w:val="002C76E1"/>
    <w:rPr>
      <w:sz w:val="24"/>
      <w:szCs w:val="24"/>
    </w:rPr>
  </w:style>
  <w:style w:type="character" w:customStyle="1" w:styleId="Char0">
    <w:name w:val="Υποσέλιδο Char"/>
    <w:basedOn w:val="a0"/>
    <w:link w:val="a4"/>
    <w:rsid w:val="002C76E1"/>
    <w:rPr>
      <w:sz w:val="24"/>
      <w:szCs w:val="24"/>
    </w:rPr>
  </w:style>
  <w:style w:type="character" w:customStyle="1" w:styleId="2Char0">
    <w:name w:val="Σώμα κείμενου 2 Char"/>
    <w:basedOn w:val="a0"/>
    <w:link w:val="20"/>
    <w:rsid w:val="002C76E1"/>
    <w:rPr>
      <w:sz w:val="24"/>
      <w:szCs w:val="22"/>
    </w:rPr>
  </w:style>
  <w:style w:type="character" w:customStyle="1" w:styleId="Char2">
    <w:name w:val="Σώμα κειμένου Char"/>
    <w:basedOn w:val="a0"/>
    <w:link w:val="a8"/>
    <w:rsid w:val="002C76E1"/>
    <w:rPr>
      <w:sz w:val="22"/>
      <w:szCs w:val="22"/>
    </w:rPr>
  </w:style>
  <w:style w:type="character" w:customStyle="1" w:styleId="Char3">
    <w:name w:val="Τίτλος Char"/>
    <w:basedOn w:val="a0"/>
    <w:link w:val="a9"/>
    <w:rsid w:val="002C76E1"/>
    <w:rPr>
      <w:b/>
      <w:bCs/>
      <w:sz w:val="24"/>
      <w:szCs w:val="24"/>
      <w:lang w:eastAsia="en-US"/>
    </w:rPr>
  </w:style>
  <w:style w:type="character" w:customStyle="1" w:styleId="Char4">
    <w:name w:val="Σώμα κείμενου με εσοχή Char"/>
    <w:basedOn w:val="a0"/>
    <w:link w:val="aa"/>
    <w:rsid w:val="002C76E1"/>
    <w:rPr>
      <w:sz w:val="22"/>
    </w:rPr>
  </w:style>
  <w:style w:type="character" w:customStyle="1" w:styleId="3Char0">
    <w:name w:val="Σώμα κείμενου 3 Char"/>
    <w:basedOn w:val="a0"/>
    <w:link w:val="30"/>
    <w:rsid w:val="002C76E1"/>
    <w:rPr>
      <w:sz w:val="22"/>
    </w:rPr>
  </w:style>
  <w:style w:type="character" w:customStyle="1" w:styleId="Char5">
    <w:name w:val="Απλό κείμενο Char"/>
    <w:basedOn w:val="a0"/>
    <w:link w:val="ab"/>
    <w:rsid w:val="002C76E1"/>
    <w:rPr>
      <w:rFonts w:ascii="Courier New" w:hAnsi="Courier New"/>
    </w:rPr>
  </w:style>
  <w:style w:type="character" w:customStyle="1" w:styleId="3Char1">
    <w:name w:val="Σώμα κείμενου με εσοχή 3 Char"/>
    <w:basedOn w:val="a0"/>
    <w:link w:val="31"/>
    <w:rsid w:val="002C76E1"/>
    <w:rPr>
      <w:sz w:val="22"/>
    </w:rPr>
  </w:style>
  <w:style w:type="character" w:customStyle="1" w:styleId="Char8">
    <w:name w:val="Κείμενο υποσημείωσης Char"/>
    <w:basedOn w:val="a0"/>
    <w:link w:val="af"/>
    <w:uiPriority w:val="99"/>
    <w:semiHidden/>
    <w:rsid w:val="002C76E1"/>
  </w:style>
  <w:style w:type="paragraph" w:customStyle="1" w:styleId="font5">
    <w:name w:val="font5"/>
    <w:basedOn w:val="a"/>
    <w:rsid w:val="00886B62"/>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886B62"/>
    <w:pPr>
      <w:spacing w:before="100" w:beforeAutospacing="1" w:after="100" w:afterAutospacing="1"/>
    </w:pPr>
    <w:rPr>
      <w:rFonts w:ascii="Tahoma" w:hAnsi="Tahoma" w:cs="Tahoma"/>
      <w:color w:val="000000"/>
      <w:sz w:val="18"/>
      <w:szCs w:val="18"/>
    </w:rPr>
  </w:style>
  <w:style w:type="paragraph" w:customStyle="1" w:styleId="xl76">
    <w:name w:val="xl76"/>
    <w:basedOn w:val="a"/>
    <w:rsid w:val="00886B62"/>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77">
    <w:name w:val="xl77"/>
    <w:basedOn w:val="a"/>
    <w:rsid w:val="00886B62"/>
    <w:pP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78">
    <w:name w:val="xl78"/>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79">
    <w:name w:val="xl79"/>
    <w:basedOn w:val="a"/>
    <w:rsid w:val="00886B62"/>
    <w:pPr>
      <w:pBdr>
        <w:top w:val="single" w:sz="4" w:space="0" w:color="auto"/>
        <w:left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0">
    <w:name w:val="xl80"/>
    <w:basedOn w:val="a"/>
    <w:rsid w:val="00886B62"/>
    <w:pPr>
      <w:pBdr>
        <w:top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a"/>
    <w:rsid w:val="00886B62"/>
    <w:pPr>
      <w:pBdr>
        <w:top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83">
    <w:name w:val="xl83"/>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4">
    <w:name w:val="xl84"/>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85">
    <w:name w:val="xl85"/>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6">
    <w:name w:val="xl8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7">
    <w:name w:val="xl87"/>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88">
    <w:name w:val="xl88"/>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9">
    <w:name w:val="xl89"/>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0">
    <w:name w:val="xl90"/>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i/>
      <w:iCs/>
      <w:sz w:val="16"/>
      <w:szCs w:val="16"/>
    </w:rPr>
  </w:style>
  <w:style w:type="paragraph" w:customStyle="1" w:styleId="xl91">
    <w:name w:val="xl91"/>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2">
    <w:name w:val="xl92"/>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3">
    <w:name w:val="xl93"/>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Narrow" w:hAnsi="Arial Narrow"/>
      <w:b/>
      <w:bCs/>
      <w:i/>
      <w:iCs/>
      <w:sz w:val="16"/>
      <w:szCs w:val="16"/>
    </w:rPr>
  </w:style>
  <w:style w:type="paragraph" w:customStyle="1" w:styleId="xl94">
    <w:name w:val="xl94"/>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5">
    <w:name w:val="xl9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96">
    <w:name w:val="xl96"/>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7">
    <w:name w:val="xl97"/>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8">
    <w:name w:val="xl98"/>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99">
    <w:name w:val="xl99"/>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0">
    <w:name w:val="xl100"/>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1">
    <w:name w:val="xl101"/>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02">
    <w:name w:val="xl102"/>
    <w:basedOn w:val="a"/>
    <w:rsid w:val="00886B62"/>
    <w:pPr>
      <w:pBdr>
        <w:top w:val="single" w:sz="4" w:space="0" w:color="auto"/>
        <w:left w:val="single" w:sz="8" w:space="0" w:color="auto"/>
        <w:bottom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3">
    <w:name w:val="xl103"/>
    <w:basedOn w:val="a"/>
    <w:rsid w:val="00886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i/>
      <w:iCs/>
      <w:sz w:val="16"/>
      <w:szCs w:val="16"/>
    </w:rPr>
  </w:style>
  <w:style w:type="paragraph" w:customStyle="1" w:styleId="xl104">
    <w:name w:val="xl104"/>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a"/>
    <w:rsid w:val="00886B62"/>
    <w:pPr>
      <w:pBdr>
        <w:top w:val="single" w:sz="4" w:space="0" w:color="auto"/>
        <w:left w:val="single" w:sz="4" w:space="0" w:color="auto"/>
        <w:bottom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8">
    <w:name w:val="xl108"/>
    <w:basedOn w:val="a"/>
    <w:rsid w:val="00886B62"/>
    <w:pPr>
      <w:pBdr>
        <w:top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9">
    <w:name w:val="xl109"/>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0">
    <w:name w:val="xl110"/>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1">
    <w:name w:val="xl111"/>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sz w:val="16"/>
      <w:szCs w:val="16"/>
    </w:rPr>
  </w:style>
  <w:style w:type="paragraph" w:customStyle="1" w:styleId="xl112">
    <w:name w:val="xl112"/>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3">
    <w:name w:val="xl113"/>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4">
    <w:name w:val="xl114"/>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15">
    <w:name w:val="xl11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16">
    <w:name w:val="xl11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7">
    <w:name w:val="xl117"/>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18">
    <w:name w:val="xl118"/>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119">
    <w:name w:val="xl119"/>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20">
    <w:name w:val="xl120"/>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121">
    <w:name w:val="xl121"/>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sz w:val="16"/>
      <w:szCs w:val="16"/>
    </w:rPr>
  </w:style>
  <w:style w:type="paragraph" w:customStyle="1" w:styleId="xl122">
    <w:name w:val="xl122"/>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styleId="af3">
    <w:name w:val="No Spacing"/>
    <w:uiPriority w:val="1"/>
    <w:qFormat/>
    <w:rsid w:val="00235EF9"/>
    <w:rPr>
      <w:rFonts w:asciiTheme="minorHAnsi" w:eastAsiaTheme="minorHAnsi" w:hAnsiTheme="minorHAnsi" w:cstheme="minorBidi"/>
      <w:sz w:val="22"/>
      <w:szCs w:val="22"/>
      <w:lang w:eastAsia="en-US"/>
    </w:rPr>
  </w:style>
  <w:style w:type="paragraph" w:styleId="Web">
    <w:name w:val="Normal (Web)"/>
    <w:basedOn w:val="a"/>
    <w:uiPriority w:val="99"/>
    <w:rsid w:val="00D31046"/>
    <w:pPr>
      <w:spacing w:before="100" w:beforeAutospacing="1" w:after="119"/>
    </w:pPr>
  </w:style>
  <w:style w:type="character" w:styleId="af4">
    <w:name w:val="line number"/>
    <w:basedOn w:val="a0"/>
    <w:rsid w:val="00D31046"/>
  </w:style>
  <w:style w:type="character" w:styleId="af5">
    <w:name w:val="Strong"/>
    <w:basedOn w:val="a0"/>
    <w:qFormat/>
    <w:rsid w:val="00D31046"/>
    <w:rPr>
      <w:b/>
      <w:bCs/>
    </w:rPr>
  </w:style>
  <w:style w:type="paragraph" w:customStyle="1" w:styleId="Default">
    <w:name w:val="Default"/>
    <w:rsid w:val="00D31046"/>
    <w:pPr>
      <w:autoSpaceDE w:val="0"/>
      <w:autoSpaceDN w:val="0"/>
      <w:adjustRightInd w:val="0"/>
    </w:pPr>
    <w:rPr>
      <w:rFonts w:eastAsia="Calibri"/>
      <w:color w:val="000000"/>
      <w:sz w:val="24"/>
      <w:szCs w:val="24"/>
      <w:lang w:eastAsia="en-US"/>
    </w:rPr>
  </w:style>
  <w:style w:type="paragraph" w:styleId="-HTML">
    <w:name w:val="HTML Preformatted"/>
    <w:basedOn w:val="a"/>
    <w:link w:val="-HTMLChar"/>
    <w:uiPriority w:val="99"/>
    <w:unhideWhenUsed/>
    <w:rsid w:val="00EF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EF2957"/>
    <w:rPr>
      <w:rFonts w:ascii="Courier New" w:hAnsi="Courier New" w:cs="Courier New"/>
    </w:rPr>
  </w:style>
  <w:style w:type="paragraph" w:customStyle="1" w:styleId="font7">
    <w:name w:val="font7"/>
    <w:basedOn w:val="a"/>
    <w:rsid w:val="00EF2957"/>
    <w:pPr>
      <w:spacing w:before="100" w:beforeAutospacing="1" w:after="100" w:afterAutospacing="1"/>
    </w:pPr>
    <w:rPr>
      <w:rFonts w:ascii="Segoe UI" w:hAnsi="Segoe UI" w:cs="Segoe UI"/>
      <w:b/>
      <w:bCs/>
      <w:i/>
      <w:iCs/>
      <w:sz w:val="16"/>
      <w:szCs w:val="16"/>
    </w:rPr>
  </w:style>
  <w:style w:type="paragraph" w:customStyle="1" w:styleId="xl52827">
    <w:name w:val="xl52827"/>
    <w:basedOn w:val="a"/>
    <w:rsid w:val="00EF2957"/>
    <w:pPr>
      <w:spacing w:before="100" w:beforeAutospacing="1" w:after="100" w:afterAutospacing="1"/>
      <w:textAlignment w:val="center"/>
    </w:pPr>
    <w:rPr>
      <w:rFonts w:ascii="Segoe UI" w:hAnsi="Segoe UI" w:cs="Segoe UI"/>
      <w:sz w:val="16"/>
      <w:szCs w:val="16"/>
    </w:rPr>
  </w:style>
  <w:style w:type="paragraph" w:customStyle="1" w:styleId="xl52828">
    <w:name w:val="xl52828"/>
    <w:basedOn w:val="a"/>
    <w:rsid w:val="00EF2957"/>
    <w:pPr>
      <w:shd w:val="clear" w:color="000000" w:fill="BFBFBF"/>
      <w:spacing w:before="100" w:beforeAutospacing="1" w:after="100" w:afterAutospacing="1"/>
      <w:textAlignment w:val="center"/>
    </w:pPr>
    <w:rPr>
      <w:rFonts w:ascii="Segoe UI" w:hAnsi="Segoe UI" w:cs="Segoe UI"/>
      <w:sz w:val="16"/>
      <w:szCs w:val="16"/>
    </w:rPr>
  </w:style>
  <w:style w:type="paragraph" w:customStyle="1" w:styleId="xl52829">
    <w:name w:val="xl52829"/>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0">
    <w:name w:val="xl52830"/>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1">
    <w:name w:val="xl52831"/>
    <w:basedOn w:val="a"/>
    <w:rsid w:val="00EF2957"/>
    <w:pPr>
      <w:spacing w:before="100" w:beforeAutospacing="1" w:after="100" w:afterAutospacing="1"/>
      <w:textAlignment w:val="center"/>
    </w:pPr>
    <w:rPr>
      <w:rFonts w:ascii="Segoe UI" w:hAnsi="Segoe UI" w:cs="Segoe UI"/>
      <w:b/>
      <w:bCs/>
      <w:sz w:val="16"/>
      <w:szCs w:val="16"/>
    </w:rPr>
  </w:style>
  <w:style w:type="paragraph" w:customStyle="1" w:styleId="xl52832">
    <w:name w:val="xl52832"/>
    <w:basedOn w:val="a"/>
    <w:rsid w:val="00EF2957"/>
    <w:pPr>
      <w:shd w:val="clear" w:color="000000" w:fill="BFBFBF"/>
      <w:spacing w:before="100" w:beforeAutospacing="1" w:after="100" w:afterAutospacing="1"/>
      <w:textAlignment w:val="center"/>
    </w:pPr>
    <w:rPr>
      <w:rFonts w:ascii="Segoe UI" w:hAnsi="Segoe UI" w:cs="Segoe UI"/>
      <w:b/>
      <w:bCs/>
      <w:sz w:val="16"/>
      <w:szCs w:val="16"/>
    </w:rPr>
  </w:style>
  <w:style w:type="paragraph" w:customStyle="1" w:styleId="xl52833">
    <w:name w:val="xl52833"/>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4">
    <w:name w:val="xl52834"/>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5">
    <w:name w:val="xl52835"/>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6">
    <w:name w:val="xl52836"/>
    <w:basedOn w:val="a"/>
    <w:rsid w:val="00EF2957"/>
    <w:pPr>
      <w:spacing w:before="100" w:beforeAutospacing="1" w:after="100" w:afterAutospacing="1"/>
      <w:textAlignment w:val="center"/>
    </w:pPr>
    <w:rPr>
      <w:rFonts w:ascii="Segoe UI" w:hAnsi="Segoe UI" w:cs="Segoe UI"/>
      <w:color w:val="C00000"/>
      <w:sz w:val="16"/>
      <w:szCs w:val="16"/>
    </w:rPr>
  </w:style>
  <w:style w:type="paragraph" w:customStyle="1" w:styleId="xl52837">
    <w:name w:val="xl52837"/>
    <w:basedOn w:val="a"/>
    <w:rsid w:val="00EF2957"/>
    <w:pPr>
      <w:pBdr>
        <w:left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8">
    <w:name w:val="xl52838"/>
    <w:basedOn w:val="a"/>
    <w:rsid w:val="00EF2957"/>
    <w:pPr>
      <w:pBdr>
        <w:left w:val="single" w:sz="4" w:space="0" w:color="auto"/>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9">
    <w:name w:val="xl52839"/>
    <w:basedOn w:val="a"/>
    <w:rsid w:val="00EF2957"/>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40">
    <w:name w:val="xl52840"/>
    <w:basedOn w:val="a"/>
    <w:rsid w:val="00EF2957"/>
    <w:pPr>
      <w:spacing w:before="100" w:beforeAutospacing="1" w:after="100" w:afterAutospacing="1"/>
      <w:textAlignment w:val="center"/>
    </w:pPr>
    <w:rPr>
      <w:rFonts w:ascii="Segoe UI" w:hAnsi="Segoe UI" w:cs="Segoe UI"/>
      <w:sz w:val="16"/>
      <w:szCs w:val="16"/>
    </w:rPr>
  </w:style>
  <w:style w:type="paragraph" w:customStyle="1" w:styleId="xl52841">
    <w:name w:val="xl52841"/>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2">
    <w:name w:val="xl52842"/>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3">
    <w:name w:val="xl52843"/>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4">
    <w:name w:val="xl52844"/>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845">
    <w:name w:val="xl52845"/>
    <w:basedOn w:val="a"/>
    <w:rsid w:val="00EF2957"/>
    <w:pPr>
      <w:pBdr>
        <w:left w:val="single" w:sz="4"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846">
    <w:name w:val="xl52846"/>
    <w:basedOn w:val="a"/>
    <w:rsid w:val="00EF2957"/>
    <w:pPr>
      <w:pBdr>
        <w:left w:val="single" w:sz="4" w:space="0" w:color="auto"/>
        <w:right w:val="single" w:sz="8" w:space="0" w:color="auto"/>
      </w:pBdr>
      <w:spacing w:before="100" w:beforeAutospacing="1" w:after="100" w:afterAutospacing="1"/>
      <w:jc w:val="center"/>
    </w:pPr>
    <w:rPr>
      <w:rFonts w:ascii="Segoe UI" w:hAnsi="Segoe UI" w:cs="Segoe UI"/>
      <w:sz w:val="16"/>
      <w:szCs w:val="16"/>
    </w:rPr>
  </w:style>
  <w:style w:type="paragraph" w:customStyle="1" w:styleId="xl52847">
    <w:name w:val="xl52847"/>
    <w:basedOn w:val="a"/>
    <w:rsid w:val="00EF2957"/>
    <w:pPr>
      <w:pBdr>
        <w:left w:val="single" w:sz="4"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48">
    <w:name w:val="xl52848"/>
    <w:basedOn w:val="a"/>
    <w:rsid w:val="00EF2957"/>
    <w:pPr>
      <w:pBdr>
        <w:left w:val="single" w:sz="4" w:space="0" w:color="auto"/>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849">
    <w:name w:val="xl52849"/>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0">
    <w:name w:val="xl52850"/>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1">
    <w:name w:val="xl52851"/>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2">
    <w:name w:val="xl52852"/>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3">
    <w:name w:val="xl52853"/>
    <w:basedOn w:val="a"/>
    <w:rsid w:val="00EF2957"/>
    <w:pPr>
      <w:pBdr>
        <w:lef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54">
    <w:name w:val="xl52854"/>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55">
    <w:name w:val="xl52855"/>
    <w:basedOn w:val="a"/>
    <w:rsid w:val="00EF2957"/>
    <w:pPr>
      <w:pBdr>
        <w:left w:val="single" w:sz="4" w:space="0" w:color="auto"/>
      </w:pBdr>
      <w:spacing w:before="100" w:beforeAutospacing="1" w:after="100" w:afterAutospacing="1"/>
      <w:jc w:val="center"/>
    </w:pPr>
    <w:rPr>
      <w:rFonts w:ascii="Segoe UI" w:hAnsi="Segoe UI" w:cs="Segoe UI"/>
      <w:sz w:val="16"/>
      <w:szCs w:val="16"/>
    </w:rPr>
  </w:style>
  <w:style w:type="paragraph" w:customStyle="1" w:styleId="xl52856">
    <w:name w:val="xl52856"/>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7">
    <w:name w:val="xl52857"/>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8">
    <w:name w:val="xl52858"/>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9">
    <w:name w:val="xl52859"/>
    <w:basedOn w:val="a"/>
    <w:rsid w:val="00EF2957"/>
    <w:pP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860">
    <w:name w:val="xl52860"/>
    <w:basedOn w:val="a"/>
    <w:rsid w:val="00EF2957"/>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1">
    <w:name w:val="xl52861"/>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2">
    <w:name w:val="xl52862"/>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3">
    <w:name w:val="xl52863"/>
    <w:basedOn w:val="a"/>
    <w:rsid w:val="00EF2957"/>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4">
    <w:name w:val="xl52864"/>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5">
    <w:name w:val="xl52865"/>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6">
    <w:name w:val="xl52866"/>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7">
    <w:name w:val="xl52867"/>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8">
    <w:name w:val="xl52868"/>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9">
    <w:name w:val="xl52869"/>
    <w:basedOn w:val="a"/>
    <w:rsid w:val="00EF2957"/>
    <w:pPr>
      <w:shd w:val="clear" w:color="000000" w:fill="A5A5A5"/>
      <w:spacing w:before="100" w:beforeAutospacing="1" w:after="100" w:afterAutospacing="1"/>
      <w:textAlignment w:val="center"/>
    </w:pPr>
    <w:rPr>
      <w:rFonts w:ascii="Segoe UI" w:hAnsi="Segoe UI" w:cs="Segoe UI"/>
      <w:color w:val="C00000"/>
      <w:sz w:val="16"/>
      <w:szCs w:val="16"/>
    </w:rPr>
  </w:style>
  <w:style w:type="paragraph" w:customStyle="1" w:styleId="xl52870">
    <w:name w:val="xl52870"/>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71">
    <w:name w:val="xl52871"/>
    <w:basedOn w:val="a"/>
    <w:rsid w:val="00EF2957"/>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72">
    <w:name w:val="xl52872"/>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3">
    <w:name w:val="xl52873"/>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4">
    <w:name w:val="xl52874"/>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5">
    <w:name w:val="xl52875"/>
    <w:basedOn w:val="a"/>
    <w:rsid w:val="00EF2957"/>
    <w:pPr>
      <w:pBdr>
        <w:left w:val="single" w:sz="8" w:space="0" w:color="auto"/>
      </w:pBd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76">
    <w:name w:val="xl52876"/>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7">
    <w:name w:val="xl52877"/>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8">
    <w:name w:val="xl52878"/>
    <w:basedOn w:val="a"/>
    <w:rsid w:val="00EF2957"/>
    <w:pPr>
      <w:pBdr>
        <w:left w:val="single" w:sz="8"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52879">
    <w:name w:val="xl52879"/>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80">
    <w:name w:val="xl52880"/>
    <w:basedOn w:val="a"/>
    <w:rsid w:val="00EF2957"/>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81">
    <w:name w:val="xl52881"/>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i/>
      <w:iCs/>
      <w:sz w:val="16"/>
      <w:szCs w:val="16"/>
    </w:rPr>
  </w:style>
  <w:style w:type="paragraph" w:customStyle="1" w:styleId="xl52882">
    <w:name w:val="xl52882"/>
    <w:basedOn w:val="a"/>
    <w:rsid w:val="00EF2957"/>
    <w:pPr>
      <w:pBdr>
        <w:left w:val="single" w:sz="8" w:space="0" w:color="auto"/>
      </w:pBdr>
      <w:spacing w:before="100" w:beforeAutospacing="1" w:after="100" w:afterAutospacing="1"/>
    </w:pPr>
    <w:rPr>
      <w:rFonts w:ascii="Segoe UI" w:hAnsi="Segoe UI" w:cs="Segoe UI"/>
      <w:sz w:val="16"/>
      <w:szCs w:val="16"/>
    </w:rPr>
  </w:style>
  <w:style w:type="paragraph" w:customStyle="1" w:styleId="xl52883">
    <w:name w:val="xl52883"/>
    <w:basedOn w:val="a"/>
    <w:rsid w:val="00EF2957"/>
    <w:pPr>
      <w:pBdr>
        <w:left w:val="single" w:sz="8" w:space="0" w:color="auto"/>
      </w:pBdr>
      <w:spacing w:before="100" w:beforeAutospacing="1" w:after="100" w:afterAutospacing="1"/>
    </w:pPr>
    <w:rPr>
      <w:rFonts w:ascii="Segoe UI" w:hAnsi="Segoe UI" w:cs="Segoe UI"/>
      <w:b/>
      <w:bCs/>
      <w:sz w:val="16"/>
      <w:szCs w:val="16"/>
    </w:rPr>
  </w:style>
  <w:style w:type="paragraph" w:customStyle="1" w:styleId="xl52884">
    <w:name w:val="xl52884"/>
    <w:basedOn w:val="a"/>
    <w:rsid w:val="00EF2957"/>
    <w:pPr>
      <w:pBdr>
        <w:left w:val="single" w:sz="8" w:space="0" w:color="auto"/>
      </w:pBdr>
      <w:spacing w:before="100" w:beforeAutospacing="1" w:after="100" w:afterAutospacing="1"/>
    </w:pPr>
    <w:rPr>
      <w:rFonts w:ascii="Segoe UI" w:hAnsi="Segoe UI" w:cs="Segoe UI"/>
      <w:sz w:val="16"/>
      <w:szCs w:val="16"/>
    </w:rPr>
  </w:style>
  <w:style w:type="paragraph" w:customStyle="1" w:styleId="xl52885">
    <w:name w:val="xl52885"/>
    <w:basedOn w:val="a"/>
    <w:rsid w:val="00EF2957"/>
    <w:pPr>
      <w:pBdr>
        <w:left w:val="single" w:sz="8" w:space="0" w:color="auto"/>
      </w:pBdr>
      <w:shd w:val="clear" w:color="000000" w:fill="FFFFFF"/>
      <w:spacing w:before="100" w:beforeAutospacing="1" w:after="100" w:afterAutospacing="1"/>
    </w:pPr>
    <w:rPr>
      <w:rFonts w:ascii="Segoe UI" w:hAnsi="Segoe UI" w:cs="Segoe UI"/>
      <w:b/>
      <w:bCs/>
      <w:i/>
      <w:iCs/>
      <w:sz w:val="16"/>
      <w:szCs w:val="16"/>
    </w:rPr>
  </w:style>
  <w:style w:type="paragraph" w:customStyle="1" w:styleId="xl52886">
    <w:name w:val="xl52886"/>
    <w:basedOn w:val="a"/>
    <w:rsid w:val="00EF2957"/>
    <w:pPr>
      <w:pBdr>
        <w:left w:val="single" w:sz="8" w:space="0" w:color="auto"/>
      </w:pBdr>
      <w:shd w:val="clear" w:color="000000" w:fill="FFFFFF"/>
      <w:spacing w:before="100" w:beforeAutospacing="1" w:after="100" w:afterAutospacing="1"/>
    </w:pPr>
    <w:rPr>
      <w:rFonts w:ascii="Segoe UI" w:hAnsi="Segoe UI" w:cs="Segoe UI"/>
      <w:b/>
      <w:bCs/>
      <w:sz w:val="16"/>
      <w:szCs w:val="16"/>
    </w:rPr>
  </w:style>
  <w:style w:type="paragraph" w:customStyle="1" w:styleId="xl52887">
    <w:name w:val="xl52887"/>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88">
    <w:name w:val="xl52888"/>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89">
    <w:name w:val="xl52889"/>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0">
    <w:name w:val="xl52890"/>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1">
    <w:name w:val="xl52891"/>
    <w:basedOn w:val="a"/>
    <w:rsid w:val="00EF2957"/>
    <w:pPr>
      <w:pBdr>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92">
    <w:name w:val="xl52892"/>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93">
    <w:name w:val="xl52893"/>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4">
    <w:name w:val="xl52894"/>
    <w:basedOn w:val="a"/>
    <w:rsid w:val="00EF2957"/>
    <w:pPr>
      <w:pBdr>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95">
    <w:name w:val="xl52895"/>
    <w:basedOn w:val="a"/>
    <w:rsid w:val="00EF2957"/>
    <w:pPr>
      <w:pBdr>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96">
    <w:name w:val="xl52896"/>
    <w:basedOn w:val="a"/>
    <w:rsid w:val="00EF2957"/>
    <w:pPr>
      <w:pBdr>
        <w:right w:val="single" w:sz="4" w:space="0" w:color="auto"/>
      </w:pBdr>
      <w:spacing w:before="100" w:beforeAutospacing="1" w:after="100" w:afterAutospacing="1"/>
      <w:jc w:val="center"/>
    </w:pPr>
    <w:rPr>
      <w:rFonts w:ascii="Segoe UI" w:hAnsi="Segoe UI" w:cs="Segoe UI"/>
      <w:sz w:val="16"/>
      <w:szCs w:val="16"/>
    </w:rPr>
  </w:style>
  <w:style w:type="paragraph" w:customStyle="1" w:styleId="xl52897">
    <w:name w:val="xl52897"/>
    <w:basedOn w:val="a"/>
    <w:rsid w:val="00EF2957"/>
    <w:pPr>
      <w:pBdr>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98">
    <w:name w:val="xl52898"/>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99">
    <w:name w:val="xl52899"/>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0">
    <w:name w:val="xl52900"/>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1">
    <w:name w:val="xl52901"/>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02">
    <w:name w:val="xl52902"/>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3">
    <w:name w:val="xl52903"/>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4">
    <w:name w:val="xl52904"/>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5">
    <w:name w:val="xl52905"/>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6">
    <w:name w:val="xl52906"/>
    <w:basedOn w:val="a"/>
    <w:rsid w:val="00EF2957"/>
    <w:pPr>
      <w:pBdr>
        <w:lef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07">
    <w:name w:val="xl52907"/>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8">
    <w:name w:val="xl52908"/>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9">
    <w:name w:val="xl52909"/>
    <w:basedOn w:val="a"/>
    <w:rsid w:val="00EF2957"/>
    <w:pPr>
      <w:pBdr>
        <w:lef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10">
    <w:name w:val="xl52910"/>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1">
    <w:name w:val="xl52911"/>
    <w:basedOn w:val="a"/>
    <w:rsid w:val="00EF2957"/>
    <w:pPr>
      <w:pBdr>
        <w:left w:val="single" w:sz="8" w:space="0" w:color="auto"/>
      </w:pBdr>
      <w:spacing w:before="100" w:beforeAutospacing="1" w:after="100" w:afterAutospacing="1"/>
      <w:jc w:val="center"/>
    </w:pPr>
    <w:rPr>
      <w:rFonts w:ascii="Segoe UI" w:hAnsi="Segoe UI" w:cs="Segoe UI"/>
      <w:sz w:val="16"/>
      <w:szCs w:val="16"/>
    </w:rPr>
  </w:style>
  <w:style w:type="paragraph" w:customStyle="1" w:styleId="xl52912">
    <w:name w:val="xl52912"/>
    <w:basedOn w:val="a"/>
    <w:rsid w:val="00EF2957"/>
    <w:pPr>
      <w:pBdr>
        <w:lef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13">
    <w:name w:val="xl52913"/>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4">
    <w:name w:val="xl52914"/>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5">
    <w:name w:val="xl52915"/>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6">
    <w:name w:val="xl52916"/>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7">
    <w:name w:val="xl52917"/>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8">
    <w:name w:val="xl52918"/>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19">
    <w:name w:val="xl52919"/>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0">
    <w:name w:val="xl52920"/>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21">
    <w:name w:val="xl52921"/>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22">
    <w:name w:val="xl52922"/>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3">
    <w:name w:val="xl52923"/>
    <w:basedOn w:val="a"/>
    <w:rsid w:val="00EF2957"/>
    <w:pPr>
      <w:pBdr>
        <w:left w:val="single" w:sz="8"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24">
    <w:name w:val="xl52924"/>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5">
    <w:name w:val="xl52925"/>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6">
    <w:name w:val="xl52926"/>
    <w:basedOn w:val="a"/>
    <w:rsid w:val="00EF2957"/>
    <w:pPr>
      <w:pBdr>
        <w:left w:val="single" w:sz="8"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927">
    <w:name w:val="xl52927"/>
    <w:basedOn w:val="a"/>
    <w:rsid w:val="00EF2957"/>
    <w:pPr>
      <w:pBdr>
        <w:left w:val="single" w:sz="8"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28">
    <w:name w:val="xl52928"/>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29">
    <w:name w:val="xl52929"/>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0">
    <w:name w:val="xl52930"/>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1">
    <w:name w:val="xl52931"/>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2">
    <w:name w:val="xl52932"/>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33">
    <w:name w:val="xl52933"/>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4">
    <w:name w:val="xl52934"/>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5">
    <w:name w:val="xl52935"/>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6">
    <w:name w:val="xl52936"/>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7">
    <w:name w:val="xl52937"/>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8">
    <w:name w:val="xl52938"/>
    <w:basedOn w:val="a"/>
    <w:rsid w:val="00EF2957"/>
    <w:pPr>
      <w:pBdr>
        <w:lef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39">
    <w:name w:val="xl52939"/>
    <w:basedOn w:val="a"/>
    <w:rsid w:val="00EF2957"/>
    <w:pPr>
      <w:pBdr>
        <w:lef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40">
    <w:name w:val="xl52940"/>
    <w:basedOn w:val="a"/>
    <w:rsid w:val="00EF2957"/>
    <w:pPr>
      <w:pBdr>
        <w:lef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41">
    <w:name w:val="xl52941"/>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2">
    <w:name w:val="xl52942"/>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3">
    <w:name w:val="xl52943"/>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4">
    <w:name w:val="xl52944"/>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5">
    <w:name w:val="xl52945"/>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6">
    <w:name w:val="xl52946"/>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7">
    <w:name w:val="xl52947"/>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948">
    <w:name w:val="xl52948"/>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49">
    <w:name w:val="xl52949"/>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0">
    <w:name w:val="xl52950"/>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1">
    <w:name w:val="xl52951"/>
    <w:basedOn w:val="a"/>
    <w:rsid w:val="00EF2957"/>
    <w:pPr>
      <w:pBdr>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52">
    <w:name w:val="xl52952"/>
    <w:basedOn w:val="a"/>
    <w:rsid w:val="00EF2957"/>
    <w:pPr>
      <w:pBdr>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53">
    <w:name w:val="xl52953"/>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4">
    <w:name w:val="xl52954"/>
    <w:basedOn w:val="a"/>
    <w:rsid w:val="00EF2957"/>
    <w:pPr>
      <w:spacing w:before="100" w:beforeAutospacing="1" w:after="100" w:afterAutospacing="1"/>
      <w:jc w:val="center"/>
      <w:textAlignment w:val="center"/>
    </w:pPr>
    <w:rPr>
      <w:rFonts w:ascii="Segoe UI" w:hAnsi="Segoe UI" w:cs="Segoe UI"/>
      <w:b/>
      <w:bCs/>
      <w:sz w:val="16"/>
      <w:szCs w:val="16"/>
    </w:rPr>
  </w:style>
  <w:style w:type="paragraph" w:customStyle="1" w:styleId="xl52955">
    <w:name w:val="xl52955"/>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56">
    <w:name w:val="xl52956"/>
    <w:basedOn w:val="a"/>
    <w:rsid w:val="00EF2957"/>
    <w:pPr>
      <w:pBdr>
        <w:right w:val="single" w:sz="8" w:space="0" w:color="auto"/>
      </w:pBdr>
      <w:spacing w:before="100" w:beforeAutospacing="1" w:after="100" w:afterAutospacing="1"/>
      <w:jc w:val="center"/>
    </w:pPr>
    <w:rPr>
      <w:rFonts w:ascii="Segoe UI" w:hAnsi="Segoe UI" w:cs="Segoe UI"/>
      <w:sz w:val="16"/>
      <w:szCs w:val="16"/>
    </w:rPr>
  </w:style>
  <w:style w:type="paragraph" w:customStyle="1" w:styleId="xl52957">
    <w:name w:val="xl52957"/>
    <w:basedOn w:val="a"/>
    <w:rsid w:val="00EF2957"/>
    <w:pPr>
      <w:spacing w:before="100" w:beforeAutospacing="1" w:after="100" w:afterAutospacing="1"/>
      <w:jc w:val="center"/>
    </w:pPr>
    <w:rPr>
      <w:rFonts w:ascii="Segoe UI" w:hAnsi="Segoe UI" w:cs="Segoe UI"/>
      <w:sz w:val="16"/>
      <w:szCs w:val="16"/>
    </w:rPr>
  </w:style>
  <w:style w:type="paragraph" w:customStyle="1" w:styleId="xl52958">
    <w:name w:val="xl52958"/>
    <w:basedOn w:val="a"/>
    <w:rsid w:val="00EF2957"/>
    <w:pPr>
      <w:pBdr>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59">
    <w:name w:val="xl52959"/>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0">
    <w:name w:val="xl52960"/>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1">
    <w:name w:val="xl52961"/>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2">
    <w:name w:val="xl52962"/>
    <w:basedOn w:val="a"/>
    <w:rsid w:val="00EF2957"/>
    <w:pPr>
      <w:pBdr>
        <w:top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63">
    <w:name w:val="xl52963"/>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4">
    <w:name w:val="xl52964"/>
    <w:basedOn w:val="a"/>
    <w:rsid w:val="00EF2957"/>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5">
    <w:name w:val="xl52965"/>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6">
    <w:name w:val="xl52966"/>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967">
    <w:name w:val="xl52967"/>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8">
    <w:name w:val="xl52968"/>
    <w:basedOn w:val="a"/>
    <w:rsid w:val="00EF2957"/>
    <w:pP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69">
    <w:name w:val="xl52969"/>
    <w:basedOn w:val="a"/>
    <w:rsid w:val="00EF2957"/>
    <w:pPr>
      <w:spacing w:before="100" w:beforeAutospacing="1" w:after="100" w:afterAutospacing="1"/>
      <w:jc w:val="center"/>
    </w:pPr>
    <w:rPr>
      <w:rFonts w:ascii="Segoe UI" w:hAnsi="Segoe UI" w:cs="Segoe UI"/>
      <w:b/>
      <w:bCs/>
      <w:sz w:val="16"/>
      <w:szCs w:val="16"/>
    </w:rPr>
  </w:style>
  <w:style w:type="paragraph" w:customStyle="1" w:styleId="xl52970">
    <w:name w:val="xl52970"/>
    <w:basedOn w:val="a"/>
    <w:rsid w:val="00EF2957"/>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1">
    <w:name w:val="xl52971"/>
    <w:basedOn w:val="a"/>
    <w:rsid w:val="00EF2957"/>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72">
    <w:name w:val="xl52972"/>
    <w:basedOn w:val="a"/>
    <w:rsid w:val="00EF2957"/>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3">
    <w:name w:val="xl52973"/>
    <w:basedOn w:val="a"/>
    <w:rsid w:val="00EF2957"/>
    <w:pPr>
      <w:pBdr>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74">
    <w:name w:val="xl52974"/>
    <w:basedOn w:val="a"/>
    <w:rsid w:val="00EF2957"/>
    <w:pPr>
      <w:spacing w:before="100" w:beforeAutospacing="1" w:after="100" w:afterAutospacing="1"/>
      <w:jc w:val="center"/>
      <w:textAlignment w:val="center"/>
    </w:pPr>
    <w:rPr>
      <w:rFonts w:ascii="Segoe UI" w:hAnsi="Segoe UI" w:cs="Segoe UI"/>
      <w:color w:val="FFFFFF"/>
      <w:sz w:val="16"/>
      <w:szCs w:val="16"/>
    </w:rPr>
  </w:style>
  <w:style w:type="paragraph" w:customStyle="1" w:styleId="xl52975">
    <w:name w:val="xl52975"/>
    <w:basedOn w:val="a"/>
    <w:rsid w:val="00EF2957"/>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6">
    <w:name w:val="xl52976"/>
    <w:basedOn w:val="a"/>
    <w:rsid w:val="00EF2957"/>
    <w:pPr>
      <w:pBdr>
        <w:top w:val="single" w:sz="8" w:space="0" w:color="auto"/>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7">
    <w:name w:val="xl52977"/>
    <w:basedOn w:val="a"/>
    <w:rsid w:val="00EF2957"/>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8">
    <w:name w:val="xl52978"/>
    <w:basedOn w:val="a"/>
    <w:rsid w:val="00EF2957"/>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79">
    <w:name w:val="xl52979"/>
    <w:basedOn w:val="a"/>
    <w:rsid w:val="00EF2957"/>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0">
    <w:name w:val="xl52980"/>
    <w:basedOn w:val="a"/>
    <w:rsid w:val="00EF2957"/>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1">
    <w:name w:val="xl52981"/>
    <w:basedOn w:val="a"/>
    <w:rsid w:val="00EF2957"/>
    <w:pPr>
      <w:pBdr>
        <w:top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82">
    <w:name w:val="xl52982"/>
    <w:basedOn w:val="a"/>
    <w:rsid w:val="00EF2957"/>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3">
    <w:name w:val="xl52983"/>
    <w:basedOn w:val="a"/>
    <w:rsid w:val="00EF2957"/>
    <w:pPr>
      <w:pBdr>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84">
    <w:name w:val="xl52984"/>
    <w:basedOn w:val="a"/>
    <w:rsid w:val="00EF2957"/>
    <w:pPr>
      <w:pBdr>
        <w:left w:val="single" w:sz="8" w:space="0" w:color="auto"/>
      </w:pBdr>
      <w:shd w:val="clear" w:color="000000" w:fill="A5A5A5"/>
      <w:spacing w:before="100" w:beforeAutospacing="1" w:after="100" w:afterAutospacing="1"/>
    </w:pPr>
    <w:rPr>
      <w:rFonts w:ascii="Segoe UI" w:hAnsi="Segoe UI" w:cs="Segoe UI"/>
      <w:b/>
      <w:bCs/>
      <w:sz w:val="16"/>
      <w:szCs w:val="16"/>
    </w:rPr>
  </w:style>
  <w:style w:type="paragraph" w:customStyle="1" w:styleId="xl52985">
    <w:name w:val="xl52985"/>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6">
    <w:name w:val="xl52986"/>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7">
    <w:name w:val="xl52987"/>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8">
    <w:name w:val="xl52988"/>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9">
    <w:name w:val="xl52989"/>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0">
    <w:name w:val="xl52990"/>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1">
    <w:name w:val="xl52991"/>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2">
    <w:name w:val="xl52992"/>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3">
    <w:name w:val="xl52993"/>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4">
    <w:name w:val="xl52994"/>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5">
    <w:name w:val="xl52995"/>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6">
    <w:name w:val="xl52996"/>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7">
    <w:name w:val="xl52997"/>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8">
    <w:name w:val="xl52998"/>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9">
    <w:name w:val="xl52999"/>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0">
    <w:name w:val="xl53000"/>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1">
    <w:name w:val="xl53001"/>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2">
    <w:name w:val="xl53002"/>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3">
    <w:name w:val="xl53003"/>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4">
    <w:name w:val="xl53004"/>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5">
    <w:name w:val="xl53005"/>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6">
    <w:name w:val="xl53006"/>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7">
    <w:name w:val="xl53007"/>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8">
    <w:name w:val="xl53008"/>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9">
    <w:name w:val="xl53009"/>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0">
    <w:name w:val="xl53010"/>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1">
    <w:name w:val="xl53011"/>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2">
    <w:name w:val="xl53012"/>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3">
    <w:name w:val="xl53013"/>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4">
    <w:name w:val="xl53014"/>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5">
    <w:name w:val="xl53015"/>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6">
    <w:name w:val="xl53016"/>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7">
    <w:name w:val="xl53017"/>
    <w:basedOn w:val="a"/>
    <w:rsid w:val="00EF2957"/>
    <w:pPr>
      <w:pBdr>
        <w:left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18">
    <w:name w:val="xl53018"/>
    <w:basedOn w:val="a"/>
    <w:rsid w:val="00EF2957"/>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9">
    <w:name w:val="xl53019"/>
    <w:basedOn w:val="a"/>
    <w:rsid w:val="00EF2957"/>
    <w:pPr>
      <w:pBdr>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0">
    <w:name w:val="xl53020"/>
    <w:basedOn w:val="a"/>
    <w:rsid w:val="00EF2957"/>
    <w:pPr>
      <w:pBdr>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1">
    <w:name w:val="xl53021"/>
    <w:basedOn w:val="a"/>
    <w:rsid w:val="00EF2957"/>
    <w:pPr>
      <w:pBdr>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2">
    <w:name w:val="xl53022"/>
    <w:basedOn w:val="a"/>
    <w:rsid w:val="00EF2957"/>
    <w:pPr>
      <w:pBdr>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3">
    <w:name w:val="xl53023"/>
    <w:basedOn w:val="a"/>
    <w:rsid w:val="00EF2957"/>
    <w:pPr>
      <w:pBdr>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4">
    <w:name w:val="xl53024"/>
    <w:basedOn w:val="a"/>
    <w:rsid w:val="00EF2957"/>
    <w:pPr>
      <w:pBdr>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5">
    <w:name w:val="xl53025"/>
    <w:basedOn w:val="a"/>
    <w:rsid w:val="00EF2957"/>
    <w:pPr>
      <w:pBdr>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6">
    <w:name w:val="xl53026"/>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27">
    <w:name w:val="xl53027"/>
    <w:basedOn w:val="a"/>
    <w:rsid w:val="00EF2957"/>
    <w:pPr>
      <w:pBdr>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53028">
    <w:name w:val="xl53028"/>
    <w:basedOn w:val="a"/>
    <w:rsid w:val="00EF2957"/>
    <w:pPr>
      <w:pBdr>
        <w:left w:val="single" w:sz="8" w:space="0" w:color="auto"/>
      </w:pBdr>
      <w:spacing w:before="100" w:beforeAutospacing="1" w:after="100" w:afterAutospacing="1"/>
      <w:textAlignment w:val="center"/>
    </w:pPr>
    <w:rPr>
      <w:rFonts w:ascii="Segoe UI" w:hAnsi="Segoe UI" w:cs="Segoe UI"/>
      <w:color w:val="FFFFFF"/>
      <w:sz w:val="16"/>
      <w:szCs w:val="16"/>
    </w:rPr>
  </w:style>
  <w:style w:type="paragraph" w:customStyle="1" w:styleId="xl53029">
    <w:name w:val="xl53029"/>
    <w:basedOn w:val="a"/>
    <w:rsid w:val="00EF2957"/>
    <w:pPr>
      <w:pBdr>
        <w:lef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3030">
    <w:name w:val="xl53030"/>
    <w:basedOn w:val="a"/>
    <w:rsid w:val="00EF2957"/>
    <w:pPr>
      <w:spacing w:before="100" w:beforeAutospacing="1" w:after="100" w:afterAutospacing="1"/>
      <w:textAlignment w:val="center"/>
    </w:pPr>
    <w:rPr>
      <w:rFonts w:ascii="Segoe UI" w:hAnsi="Segoe UI" w:cs="Segoe UI"/>
      <w:color w:val="FFFFFF"/>
      <w:sz w:val="16"/>
      <w:szCs w:val="16"/>
    </w:rPr>
  </w:style>
  <w:style w:type="paragraph" w:customStyle="1" w:styleId="xl53031">
    <w:name w:val="xl53031"/>
    <w:basedOn w:val="a"/>
    <w:rsid w:val="00EF2957"/>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2">
    <w:name w:val="xl53032"/>
    <w:basedOn w:val="a"/>
    <w:rsid w:val="00EF2957"/>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3">
    <w:name w:val="xl53033"/>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0000"/>
      <w:sz w:val="16"/>
      <w:szCs w:val="16"/>
    </w:rPr>
  </w:style>
  <w:style w:type="paragraph" w:customStyle="1" w:styleId="xl53034">
    <w:name w:val="xl53034"/>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color w:val="FF0000"/>
      <w:sz w:val="16"/>
      <w:szCs w:val="16"/>
    </w:rPr>
  </w:style>
  <w:style w:type="paragraph" w:customStyle="1" w:styleId="xl53035">
    <w:name w:val="xl53035"/>
    <w:basedOn w:val="a"/>
    <w:rsid w:val="00EF2957"/>
    <w:pPr>
      <w:pBdr>
        <w:top w:val="single" w:sz="8" w:space="0" w:color="auto"/>
      </w:pBd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6">
    <w:name w:val="xl53036"/>
    <w:basedOn w:val="a"/>
    <w:rsid w:val="00EF2957"/>
    <w:pP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7">
    <w:name w:val="xl53037"/>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3038">
    <w:name w:val="xl53038"/>
    <w:basedOn w:val="a"/>
    <w:rsid w:val="00EF2957"/>
    <w:pPr>
      <w:pBdr>
        <w:top w:val="single" w:sz="8" w:space="0" w:color="auto"/>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39">
    <w:name w:val="xl53039"/>
    <w:basedOn w:val="a"/>
    <w:rsid w:val="00EF2957"/>
    <w:pPr>
      <w:pBdr>
        <w:top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0">
    <w:name w:val="xl53040"/>
    <w:basedOn w:val="a"/>
    <w:rsid w:val="00EF2957"/>
    <w:pPr>
      <w:pBdr>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1">
    <w:name w:val="xl53041"/>
    <w:basedOn w:val="a"/>
    <w:rsid w:val="00EF2957"/>
    <w:pP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2">
    <w:name w:val="xl53042"/>
    <w:basedOn w:val="a"/>
    <w:rsid w:val="00EF2957"/>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3">
    <w:name w:val="xl53043"/>
    <w:basedOn w:val="a"/>
    <w:rsid w:val="00EF2957"/>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4">
    <w:name w:val="xl53044"/>
    <w:basedOn w:val="a"/>
    <w:rsid w:val="00EF2957"/>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5">
    <w:name w:val="xl53045"/>
    <w:basedOn w:val="a"/>
    <w:rsid w:val="00EF2957"/>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6">
    <w:name w:val="xl53046"/>
    <w:basedOn w:val="a"/>
    <w:rsid w:val="00EF2957"/>
    <w:pPr>
      <w:pBdr>
        <w:bottom w:val="single" w:sz="8" w:space="0" w:color="auto"/>
      </w:pBdr>
      <w:spacing w:before="100" w:beforeAutospacing="1" w:after="100" w:afterAutospacing="1"/>
      <w:textAlignment w:val="center"/>
    </w:pPr>
    <w:rPr>
      <w:rFonts w:ascii="Segoe UI" w:hAnsi="Segoe UI" w:cs="Segoe UI"/>
      <w:i/>
      <w:iCs/>
      <w:sz w:val="16"/>
      <w:szCs w:val="16"/>
    </w:rPr>
  </w:style>
  <w:style w:type="paragraph" w:customStyle="1" w:styleId="xl53047">
    <w:name w:val="xl53047"/>
    <w:basedOn w:val="a"/>
    <w:rsid w:val="00EF2957"/>
    <w:pPr>
      <w:pBdr>
        <w:bottom w:val="single" w:sz="8" w:space="0" w:color="auto"/>
      </w:pBdr>
      <w:spacing w:before="100" w:beforeAutospacing="1" w:after="100" w:afterAutospacing="1"/>
      <w:jc w:val="center"/>
      <w:textAlignment w:val="center"/>
    </w:pPr>
    <w:rPr>
      <w:rFonts w:ascii="Segoe UI" w:hAnsi="Segoe UI" w:cs="Segoe UI"/>
      <w:i/>
      <w:iCs/>
      <w:sz w:val="16"/>
      <w:szCs w:val="16"/>
    </w:rPr>
  </w:style>
  <w:style w:type="paragraph" w:styleId="af6">
    <w:name w:val="Body Text First Indent"/>
    <w:basedOn w:val="a8"/>
    <w:link w:val="Chara"/>
    <w:uiPriority w:val="99"/>
    <w:rsid w:val="00BA4CBC"/>
    <w:pPr>
      <w:spacing w:after="120"/>
      <w:ind w:firstLine="210"/>
      <w:jc w:val="left"/>
    </w:pPr>
    <w:rPr>
      <w:sz w:val="20"/>
      <w:szCs w:val="20"/>
      <w:lang w:eastAsia="en-US"/>
    </w:rPr>
  </w:style>
  <w:style w:type="character" w:customStyle="1" w:styleId="Chara">
    <w:name w:val="Σώμα κείμενου Πρώτη Εσοχή Char"/>
    <w:basedOn w:val="Char2"/>
    <w:link w:val="af6"/>
    <w:uiPriority w:val="99"/>
    <w:rsid w:val="00BA4CBC"/>
    <w:rPr>
      <w:sz w:val="22"/>
      <w:szCs w:val="22"/>
      <w:lang w:eastAsia="en-US"/>
    </w:rPr>
  </w:style>
  <w:style w:type="paragraph" w:styleId="af7">
    <w:name w:val="Revision"/>
    <w:hidden/>
    <w:uiPriority w:val="99"/>
    <w:semiHidden/>
    <w:rsid w:val="00700C67"/>
    <w:rPr>
      <w:sz w:val="24"/>
      <w:szCs w:val="24"/>
    </w:rPr>
  </w:style>
  <w:style w:type="paragraph" w:customStyle="1" w:styleId="xl123">
    <w:name w:val="xl123"/>
    <w:basedOn w:val="a"/>
    <w:rsid w:val="009566E0"/>
    <w:pPr>
      <w:shd w:val="clear" w:color="000000" w:fill="FFFFFF"/>
      <w:spacing w:before="100" w:beforeAutospacing="1" w:after="100" w:afterAutospacing="1"/>
    </w:pPr>
    <w:rPr>
      <w:rFonts w:ascii="Arial Narrow" w:hAnsi="Arial Narrow"/>
    </w:rPr>
  </w:style>
  <w:style w:type="paragraph" w:customStyle="1" w:styleId="xl124">
    <w:name w:val="xl124"/>
    <w:basedOn w:val="a"/>
    <w:rsid w:val="00956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rPr>
  </w:style>
  <w:style w:type="paragraph" w:customStyle="1" w:styleId="xl125">
    <w:name w:val="xl125"/>
    <w:basedOn w:val="a"/>
    <w:rsid w:val="00956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i/>
      <w:iCs/>
      <w:sz w:val="16"/>
      <w:szCs w:val="16"/>
    </w:rPr>
  </w:style>
  <w:style w:type="paragraph" w:customStyle="1" w:styleId="xl126">
    <w:name w:val="xl126"/>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27">
    <w:name w:val="xl127"/>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28">
    <w:name w:val="xl128"/>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129">
    <w:name w:val="xl129"/>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16"/>
      <w:szCs w:val="16"/>
    </w:rPr>
  </w:style>
  <w:style w:type="paragraph" w:customStyle="1" w:styleId="xl130">
    <w:name w:val="xl130"/>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131">
    <w:name w:val="xl131"/>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53071">
    <w:name w:val="xl53071"/>
    <w:basedOn w:val="a"/>
    <w:rsid w:val="00013A09"/>
    <w:pPr>
      <w:spacing w:before="100" w:beforeAutospacing="1" w:after="100" w:afterAutospacing="1"/>
    </w:pPr>
    <w:rPr>
      <w:rFonts w:ascii="Calibri" w:hAnsi="Calibri"/>
      <w:color w:val="000000"/>
    </w:rPr>
  </w:style>
  <w:style w:type="paragraph" w:customStyle="1" w:styleId="xl53072">
    <w:name w:val="xl53072"/>
    <w:basedOn w:val="a"/>
    <w:rsid w:val="00013A09"/>
    <w:pPr>
      <w:spacing w:before="100" w:beforeAutospacing="1" w:after="100" w:afterAutospacing="1"/>
    </w:pPr>
    <w:rPr>
      <w:rFonts w:ascii="Calibri" w:hAnsi="Calibri"/>
      <w:b/>
      <w:bCs/>
      <w:color w:val="000000"/>
    </w:rPr>
  </w:style>
  <w:style w:type="paragraph" w:customStyle="1" w:styleId="xl53073">
    <w:name w:val="xl53073"/>
    <w:basedOn w:val="a"/>
    <w:rsid w:val="00013A09"/>
    <w:pPr>
      <w:spacing w:before="100" w:beforeAutospacing="1" w:after="100" w:afterAutospacing="1"/>
      <w:textAlignment w:val="center"/>
    </w:pPr>
    <w:rPr>
      <w:rFonts w:ascii="Calibri" w:hAnsi="Calibri"/>
      <w:color w:val="000000"/>
    </w:rPr>
  </w:style>
  <w:style w:type="paragraph" w:customStyle="1" w:styleId="xl53074">
    <w:name w:val="xl53074"/>
    <w:basedOn w:val="a"/>
    <w:rsid w:val="00013A09"/>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Arial Narrow" w:hAnsi="Arial Narrow"/>
    </w:rPr>
  </w:style>
  <w:style w:type="paragraph" w:customStyle="1" w:styleId="xl53075">
    <w:name w:val="xl53075"/>
    <w:basedOn w:val="a"/>
    <w:rsid w:val="00013A09"/>
    <w:pPr>
      <w:pBdr>
        <w:top w:val="single" w:sz="8" w:space="0" w:color="auto"/>
        <w:bottom w:val="single" w:sz="8" w:space="0" w:color="auto"/>
      </w:pBdr>
      <w:shd w:val="clear" w:color="000000" w:fill="D8D8D8"/>
      <w:spacing w:before="100" w:beforeAutospacing="1" w:after="100" w:afterAutospacing="1"/>
      <w:jc w:val="center"/>
      <w:textAlignment w:val="center"/>
    </w:pPr>
    <w:rPr>
      <w:rFonts w:ascii="Arial Narrow" w:hAnsi="Arial Narrow"/>
    </w:rPr>
  </w:style>
  <w:style w:type="paragraph" w:customStyle="1" w:styleId="xl53076">
    <w:name w:val="xl53076"/>
    <w:basedOn w:val="a"/>
    <w:rsid w:val="00013A09"/>
    <w:pPr>
      <w:spacing w:before="100" w:beforeAutospacing="1" w:after="100" w:afterAutospacing="1"/>
      <w:jc w:val="center"/>
      <w:textAlignment w:val="center"/>
    </w:pPr>
    <w:rPr>
      <w:rFonts w:ascii="Arial Narrow" w:hAnsi="Arial Narrow"/>
      <w:b/>
      <w:bCs/>
      <w:color w:val="0000FF"/>
      <w:sz w:val="16"/>
      <w:szCs w:val="16"/>
    </w:rPr>
  </w:style>
  <w:style w:type="paragraph" w:customStyle="1" w:styleId="xl53077">
    <w:name w:val="xl53077"/>
    <w:basedOn w:val="a"/>
    <w:rsid w:val="00013A09"/>
    <w:pP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53078">
    <w:name w:val="xl53078"/>
    <w:basedOn w:val="a"/>
    <w:rsid w:val="00013A0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79">
    <w:name w:val="xl53079"/>
    <w:basedOn w:val="a"/>
    <w:rsid w:val="00013A09"/>
    <w:pPr>
      <w:spacing w:before="100" w:beforeAutospacing="1" w:after="100" w:afterAutospacing="1"/>
      <w:textAlignment w:val="center"/>
    </w:pPr>
    <w:rPr>
      <w:rFonts w:ascii="Arial Narrow" w:hAnsi="Arial Narrow"/>
      <w:b/>
      <w:bCs/>
      <w:sz w:val="16"/>
      <w:szCs w:val="16"/>
    </w:rPr>
  </w:style>
  <w:style w:type="paragraph" w:customStyle="1" w:styleId="xl53080">
    <w:name w:val="xl53080"/>
    <w:basedOn w:val="a"/>
    <w:rsid w:val="00013A09"/>
    <w:pPr>
      <w:spacing w:before="100" w:beforeAutospacing="1" w:after="100" w:afterAutospacing="1"/>
      <w:jc w:val="center"/>
      <w:textAlignment w:val="center"/>
    </w:pPr>
    <w:rPr>
      <w:rFonts w:ascii="Arial Narrow" w:hAnsi="Arial Narrow"/>
      <w:b/>
      <w:bCs/>
      <w:sz w:val="16"/>
      <w:szCs w:val="16"/>
    </w:rPr>
  </w:style>
  <w:style w:type="paragraph" w:customStyle="1" w:styleId="xl53081">
    <w:name w:val="xl53081"/>
    <w:basedOn w:val="a"/>
    <w:rsid w:val="00013A09"/>
    <w:pPr>
      <w:spacing w:before="100" w:beforeAutospacing="1" w:after="100" w:afterAutospacing="1"/>
      <w:textAlignment w:val="center"/>
    </w:pPr>
    <w:rPr>
      <w:rFonts w:ascii="Arial Narrow" w:hAnsi="Arial Narrow"/>
      <w:sz w:val="16"/>
      <w:szCs w:val="16"/>
    </w:rPr>
  </w:style>
  <w:style w:type="paragraph" w:customStyle="1" w:styleId="xl53082">
    <w:name w:val="xl53082"/>
    <w:basedOn w:val="a"/>
    <w:rsid w:val="00013A09"/>
    <w:pPr>
      <w:spacing w:before="100" w:beforeAutospacing="1" w:after="100" w:afterAutospacing="1"/>
      <w:jc w:val="center"/>
      <w:textAlignment w:val="center"/>
    </w:pPr>
    <w:rPr>
      <w:rFonts w:ascii="Arial Narrow" w:hAnsi="Arial Narrow"/>
      <w:sz w:val="16"/>
      <w:szCs w:val="16"/>
    </w:rPr>
  </w:style>
  <w:style w:type="paragraph" w:customStyle="1" w:styleId="xl53083">
    <w:name w:val="xl53083"/>
    <w:basedOn w:val="a"/>
    <w:rsid w:val="00013A09"/>
    <w:pPr>
      <w:spacing w:before="100" w:beforeAutospacing="1" w:after="100" w:afterAutospacing="1"/>
      <w:jc w:val="center"/>
      <w:textAlignment w:val="center"/>
    </w:pPr>
    <w:rPr>
      <w:rFonts w:ascii="Arial Narrow" w:hAnsi="Arial Narrow"/>
      <w:b/>
      <w:bCs/>
      <w:sz w:val="16"/>
      <w:szCs w:val="16"/>
    </w:rPr>
  </w:style>
  <w:style w:type="paragraph" w:customStyle="1" w:styleId="xl53084">
    <w:name w:val="xl53084"/>
    <w:basedOn w:val="a"/>
    <w:rsid w:val="00013A09"/>
    <w:pPr>
      <w:spacing w:before="100" w:beforeAutospacing="1" w:after="100" w:afterAutospacing="1"/>
      <w:textAlignment w:val="center"/>
    </w:pPr>
    <w:rPr>
      <w:rFonts w:ascii="Arial Narrow" w:hAnsi="Arial Narrow"/>
      <w:i/>
      <w:iCs/>
      <w:sz w:val="16"/>
      <w:szCs w:val="16"/>
    </w:rPr>
  </w:style>
  <w:style w:type="paragraph" w:customStyle="1" w:styleId="xl53085">
    <w:name w:val="xl53085"/>
    <w:basedOn w:val="a"/>
    <w:rsid w:val="00013A09"/>
    <w:pPr>
      <w:spacing w:before="100" w:beforeAutospacing="1" w:after="100" w:afterAutospacing="1"/>
      <w:jc w:val="center"/>
      <w:textAlignment w:val="center"/>
    </w:pPr>
    <w:rPr>
      <w:rFonts w:ascii="Arial Narrow" w:hAnsi="Arial Narrow"/>
      <w:i/>
      <w:iCs/>
      <w:sz w:val="16"/>
      <w:szCs w:val="16"/>
    </w:rPr>
  </w:style>
  <w:style w:type="paragraph" w:customStyle="1" w:styleId="xl53086">
    <w:name w:val="xl53086"/>
    <w:basedOn w:val="a"/>
    <w:rsid w:val="00013A09"/>
    <w:pPr>
      <w:spacing w:before="100" w:beforeAutospacing="1" w:after="100" w:afterAutospacing="1"/>
      <w:jc w:val="center"/>
      <w:textAlignment w:val="center"/>
    </w:pPr>
    <w:rPr>
      <w:rFonts w:ascii="Arial Narrow" w:hAnsi="Arial Narrow"/>
      <w:b/>
      <w:bCs/>
      <w:sz w:val="16"/>
      <w:szCs w:val="16"/>
    </w:rPr>
  </w:style>
  <w:style w:type="paragraph" w:customStyle="1" w:styleId="xl53087">
    <w:name w:val="xl53087"/>
    <w:basedOn w:val="a"/>
    <w:rsid w:val="00013A09"/>
    <w:pPr>
      <w:spacing w:before="100" w:beforeAutospacing="1" w:after="100" w:afterAutospacing="1"/>
      <w:jc w:val="center"/>
      <w:textAlignment w:val="center"/>
    </w:pPr>
    <w:rPr>
      <w:rFonts w:ascii="Arial Narrow" w:hAnsi="Arial Narrow"/>
      <w:i/>
      <w:iCs/>
      <w:sz w:val="16"/>
      <w:szCs w:val="16"/>
    </w:rPr>
  </w:style>
  <w:style w:type="paragraph" w:customStyle="1" w:styleId="xl53088">
    <w:name w:val="xl53088"/>
    <w:basedOn w:val="a"/>
    <w:rsid w:val="00013A09"/>
    <w:pPr>
      <w:spacing w:before="100" w:beforeAutospacing="1" w:after="100" w:afterAutospacing="1"/>
      <w:textAlignment w:val="center"/>
    </w:pPr>
    <w:rPr>
      <w:rFonts w:ascii="Arial Narrow" w:hAnsi="Arial Narrow"/>
      <w:b/>
      <w:bCs/>
      <w:i/>
      <w:iCs/>
      <w:sz w:val="16"/>
      <w:szCs w:val="16"/>
    </w:rPr>
  </w:style>
  <w:style w:type="paragraph" w:customStyle="1" w:styleId="xl53089">
    <w:name w:val="xl53089"/>
    <w:basedOn w:val="a"/>
    <w:rsid w:val="00013A0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90">
    <w:name w:val="xl53090"/>
    <w:basedOn w:val="a"/>
    <w:rsid w:val="00013A09"/>
    <w:pP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53091">
    <w:name w:val="xl53091"/>
    <w:basedOn w:val="a"/>
    <w:rsid w:val="00013A0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92">
    <w:name w:val="xl53092"/>
    <w:basedOn w:val="a"/>
    <w:rsid w:val="00013A09"/>
    <w:pPr>
      <w:spacing w:before="100" w:beforeAutospacing="1" w:after="100" w:afterAutospacing="1"/>
      <w:jc w:val="center"/>
      <w:textAlignment w:val="center"/>
    </w:pPr>
    <w:rPr>
      <w:rFonts w:ascii="Arial Narrow" w:hAnsi="Arial Narrow"/>
      <w:sz w:val="16"/>
      <w:szCs w:val="16"/>
    </w:rPr>
  </w:style>
  <w:style w:type="paragraph" w:customStyle="1" w:styleId="xl53093">
    <w:name w:val="xl53093"/>
    <w:basedOn w:val="a"/>
    <w:rsid w:val="00013A09"/>
    <w:pPr>
      <w:spacing w:before="100" w:beforeAutospacing="1" w:after="100" w:afterAutospacing="1"/>
      <w:textAlignment w:val="center"/>
    </w:pPr>
    <w:rPr>
      <w:rFonts w:ascii="Arial Narrow" w:hAnsi="Arial Narrow"/>
      <w:b/>
      <w:bCs/>
      <w:i/>
      <w:iCs/>
      <w:sz w:val="16"/>
      <w:szCs w:val="16"/>
    </w:rPr>
  </w:style>
  <w:style w:type="paragraph" w:customStyle="1" w:styleId="xl53094">
    <w:name w:val="xl53094"/>
    <w:basedOn w:val="a"/>
    <w:rsid w:val="00013A09"/>
    <w:pPr>
      <w:shd w:val="clear" w:color="000000" w:fill="C5BE97"/>
      <w:spacing w:before="100" w:beforeAutospacing="1" w:after="100" w:afterAutospacing="1"/>
    </w:pPr>
    <w:rPr>
      <w:rFonts w:ascii="Arial Narrow" w:hAnsi="Arial Narrow"/>
      <w:i/>
      <w:iCs/>
      <w:sz w:val="16"/>
      <w:szCs w:val="16"/>
    </w:rPr>
  </w:style>
  <w:style w:type="paragraph" w:customStyle="1" w:styleId="xl53095">
    <w:name w:val="xl53095"/>
    <w:basedOn w:val="a"/>
    <w:rsid w:val="00013A09"/>
    <w:pP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53096">
    <w:name w:val="xl53096"/>
    <w:basedOn w:val="a"/>
    <w:rsid w:val="00013A09"/>
    <w:pPr>
      <w:spacing w:before="100" w:beforeAutospacing="1" w:after="100" w:afterAutospacing="1"/>
      <w:jc w:val="center"/>
      <w:textAlignment w:val="center"/>
    </w:pPr>
    <w:rPr>
      <w:rFonts w:ascii="Arial Narrow" w:hAnsi="Arial Narrow"/>
      <w:b/>
      <w:bCs/>
      <w:sz w:val="16"/>
      <w:szCs w:val="16"/>
    </w:rPr>
  </w:style>
  <w:style w:type="paragraph" w:customStyle="1" w:styleId="xl53097">
    <w:name w:val="xl53097"/>
    <w:basedOn w:val="a"/>
    <w:rsid w:val="00013A09"/>
    <w:pPr>
      <w:pBdr>
        <w:top w:val="single" w:sz="8" w:space="0" w:color="auto"/>
        <w:lef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53098">
    <w:name w:val="xl53098"/>
    <w:basedOn w:val="a"/>
    <w:rsid w:val="00013A09"/>
    <w:pPr>
      <w:pBdr>
        <w:top w:val="single" w:sz="8" w:space="0" w:color="auto"/>
        <w:left w:val="single" w:sz="8" w:space="0" w:color="auto"/>
        <w:right w:val="single" w:sz="8"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53099">
    <w:name w:val="xl53099"/>
    <w:basedOn w:val="a"/>
    <w:rsid w:val="00013A09"/>
    <w:pPr>
      <w:pBdr>
        <w:top w:val="single" w:sz="8" w:space="0" w:color="auto"/>
        <w:left w:val="single" w:sz="8" w:space="0" w:color="auto"/>
        <w:bottom w:val="single" w:sz="8" w:space="0" w:color="auto"/>
      </w:pBdr>
      <w:shd w:val="clear" w:color="000000" w:fill="B6DDE8"/>
      <w:spacing w:before="100" w:beforeAutospacing="1" w:after="100" w:afterAutospacing="1"/>
      <w:jc w:val="center"/>
      <w:textAlignment w:val="center"/>
    </w:pPr>
    <w:rPr>
      <w:rFonts w:ascii="Arial Narrow" w:hAnsi="Arial Narrow"/>
      <w:b/>
      <w:bCs/>
      <w:sz w:val="16"/>
      <w:szCs w:val="16"/>
    </w:rPr>
  </w:style>
  <w:style w:type="paragraph" w:customStyle="1" w:styleId="xl53100">
    <w:name w:val="xl53100"/>
    <w:basedOn w:val="a"/>
    <w:rsid w:val="00013A09"/>
    <w:pPr>
      <w:pBdr>
        <w:top w:val="single" w:sz="8" w:space="0" w:color="auto"/>
        <w:bottom w:val="single" w:sz="8" w:space="0" w:color="auto"/>
        <w:right w:val="single" w:sz="8" w:space="0" w:color="auto"/>
      </w:pBdr>
      <w:shd w:val="clear" w:color="000000" w:fill="B6DDE8"/>
      <w:spacing w:before="100" w:beforeAutospacing="1" w:after="100" w:afterAutospacing="1"/>
      <w:jc w:val="center"/>
      <w:textAlignment w:val="center"/>
    </w:pPr>
    <w:rPr>
      <w:rFonts w:ascii="Arial Narrow" w:hAnsi="Arial Narrow"/>
      <w:b/>
      <w:bCs/>
      <w:sz w:val="16"/>
      <w:szCs w:val="16"/>
    </w:rPr>
  </w:style>
  <w:style w:type="paragraph" w:customStyle="1" w:styleId="xl53101">
    <w:name w:val="xl53101"/>
    <w:basedOn w:val="a"/>
    <w:rsid w:val="00013A09"/>
    <w:pPr>
      <w:pBdr>
        <w:top w:val="single" w:sz="8" w:space="0" w:color="auto"/>
        <w:left w:val="single" w:sz="8" w:space="0" w:color="auto"/>
        <w:bottom w:val="single" w:sz="8" w:space="0" w:color="auto"/>
      </w:pBdr>
      <w:shd w:val="clear" w:color="000000" w:fill="C2D69A"/>
      <w:spacing w:before="100" w:beforeAutospacing="1" w:after="100" w:afterAutospacing="1"/>
      <w:jc w:val="center"/>
      <w:textAlignment w:val="center"/>
    </w:pPr>
    <w:rPr>
      <w:rFonts w:ascii="Arial Narrow" w:hAnsi="Arial Narrow"/>
      <w:b/>
      <w:bCs/>
      <w:sz w:val="16"/>
      <w:szCs w:val="16"/>
    </w:rPr>
  </w:style>
  <w:style w:type="paragraph" w:customStyle="1" w:styleId="xl53102">
    <w:name w:val="xl53102"/>
    <w:basedOn w:val="a"/>
    <w:rsid w:val="00013A09"/>
    <w:pPr>
      <w:pBdr>
        <w:top w:val="single" w:sz="8" w:space="0" w:color="auto"/>
        <w:bottom w:val="single" w:sz="8" w:space="0" w:color="auto"/>
      </w:pBdr>
      <w:shd w:val="clear" w:color="000000" w:fill="C2D69A"/>
      <w:spacing w:before="100" w:beforeAutospacing="1" w:after="100" w:afterAutospacing="1"/>
      <w:jc w:val="center"/>
      <w:textAlignment w:val="center"/>
    </w:pPr>
    <w:rPr>
      <w:rFonts w:ascii="Arial Narrow" w:hAnsi="Arial Narrow"/>
      <w:b/>
      <w:bCs/>
      <w:sz w:val="16"/>
      <w:szCs w:val="16"/>
    </w:rPr>
  </w:style>
  <w:style w:type="paragraph" w:customStyle="1" w:styleId="xl53103">
    <w:name w:val="xl53103"/>
    <w:basedOn w:val="a"/>
    <w:rsid w:val="00013A09"/>
    <w:pPr>
      <w:pBdr>
        <w:left w:val="single" w:sz="8" w:space="0" w:color="auto"/>
        <w:bottom w:val="single" w:sz="8" w:space="0" w:color="auto"/>
      </w:pBdr>
      <w:spacing w:before="100" w:beforeAutospacing="1" w:after="100" w:afterAutospacing="1"/>
      <w:textAlignment w:val="center"/>
    </w:pPr>
    <w:rPr>
      <w:rFonts w:ascii="Arial Narrow" w:hAnsi="Arial Narrow"/>
      <w:color w:val="000000"/>
      <w:sz w:val="16"/>
      <w:szCs w:val="16"/>
    </w:rPr>
  </w:style>
  <w:style w:type="paragraph" w:customStyle="1" w:styleId="xl53104">
    <w:name w:val="xl53104"/>
    <w:basedOn w:val="a"/>
    <w:rsid w:val="00013A09"/>
    <w:pPr>
      <w:pBdr>
        <w:top w:val="single" w:sz="8" w:space="0" w:color="auto"/>
        <w:left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53105">
    <w:name w:val="xl53105"/>
    <w:basedOn w:val="a"/>
    <w:rsid w:val="00013A09"/>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Narrow" w:hAnsi="Arial Narrow"/>
      <w:b/>
      <w:bCs/>
      <w:sz w:val="16"/>
      <w:szCs w:val="16"/>
    </w:rPr>
  </w:style>
  <w:style w:type="paragraph" w:customStyle="1" w:styleId="xl53106">
    <w:name w:val="xl53106"/>
    <w:basedOn w:val="a"/>
    <w:rsid w:val="00013A09"/>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Narrow" w:hAnsi="Arial Narrow"/>
      <w:b/>
      <w:bCs/>
      <w:sz w:val="16"/>
      <w:szCs w:val="16"/>
    </w:rPr>
  </w:style>
  <w:style w:type="paragraph" w:customStyle="1" w:styleId="xl53107">
    <w:name w:val="xl53107"/>
    <w:basedOn w:val="a"/>
    <w:rsid w:val="00013A09"/>
    <w:pPr>
      <w:spacing w:before="100" w:beforeAutospacing="1" w:after="100" w:afterAutospacing="1"/>
    </w:pPr>
    <w:rPr>
      <w:rFonts w:ascii="Arial Narrow" w:hAnsi="Arial Narrow"/>
      <w:color w:val="000000"/>
      <w:sz w:val="16"/>
      <w:szCs w:val="16"/>
    </w:rPr>
  </w:style>
  <w:style w:type="paragraph" w:customStyle="1" w:styleId="xl53108">
    <w:name w:val="xl53108"/>
    <w:basedOn w:val="a"/>
    <w:rsid w:val="00013A09"/>
    <w:pPr>
      <w:spacing w:before="100" w:beforeAutospacing="1" w:after="100" w:afterAutospacing="1"/>
    </w:pPr>
    <w:rPr>
      <w:rFonts w:ascii="Arial Narrow" w:hAnsi="Arial Narrow"/>
      <w:sz w:val="16"/>
      <w:szCs w:val="16"/>
    </w:rPr>
  </w:style>
  <w:style w:type="paragraph" w:customStyle="1" w:styleId="xl53109">
    <w:name w:val="xl53109"/>
    <w:basedOn w:val="a"/>
    <w:rsid w:val="00013A09"/>
    <w:pPr>
      <w:spacing w:before="100" w:beforeAutospacing="1" w:after="100" w:afterAutospacing="1"/>
      <w:ind w:firstLineChars="200" w:firstLine="200"/>
      <w:textAlignment w:val="center"/>
    </w:pPr>
    <w:rPr>
      <w:rFonts w:ascii="Arial Narrow" w:hAnsi="Arial Narrow"/>
      <w:sz w:val="16"/>
      <w:szCs w:val="16"/>
    </w:rPr>
  </w:style>
  <w:style w:type="table" w:styleId="2-2">
    <w:name w:val="Medium Shading 2 Accent 2"/>
    <w:basedOn w:val="a1"/>
    <w:uiPriority w:val="64"/>
    <w:rsid w:val="00B550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translate">
    <w:name w:val="notranslate"/>
    <w:basedOn w:val="a0"/>
    <w:rsid w:val="005C7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First Indent"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E25"/>
    <w:rPr>
      <w:sz w:val="24"/>
      <w:szCs w:val="24"/>
    </w:rPr>
  </w:style>
  <w:style w:type="paragraph" w:styleId="Heading1">
    <w:name w:val="heading 1"/>
    <w:basedOn w:val="Normal"/>
    <w:next w:val="Normal"/>
    <w:link w:val="Heading1Char"/>
    <w:qFormat/>
    <w:rsid w:val="005B6E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933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B5D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4482B"/>
    <w:pPr>
      <w:keepNext/>
      <w:jc w:val="both"/>
      <w:outlineLvl w:val="3"/>
    </w:pPr>
    <w:rPr>
      <w:rFonts w:ascii="Arial Narrow" w:hAnsi="Arial Narrow"/>
      <w:b/>
      <w:i/>
      <w:color w:val="000080"/>
      <w:szCs w:val="22"/>
    </w:rPr>
  </w:style>
  <w:style w:type="paragraph" w:styleId="Heading5">
    <w:name w:val="heading 5"/>
    <w:basedOn w:val="Normal"/>
    <w:next w:val="Normal"/>
    <w:link w:val="Heading5Char"/>
    <w:qFormat/>
    <w:rsid w:val="0034482B"/>
    <w:pPr>
      <w:keepNext/>
      <w:jc w:val="both"/>
      <w:outlineLvl w:val="4"/>
    </w:pPr>
    <w:rPr>
      <w:rFonts w:ascii="Arial Narrow" w:hAnsi="Arial Narrow"/>
      <w:b/>
      <w:sz w:val="22"/>
      <w:szCs w:val="22"/>
    </w:rPr>
  </w:style>
  <w:style w:type="paragraph" w:styleId="Heading6">
    <w:name w:val="heading 6"/>
    <w:basedOn w:val="Normal"/>
    <w:next w:val="Normal"/>
    <w:link w:val="Heading6Char"/>
    <w:qFormat/>
    <w:rsid w:val="0022549F"/>
    <w:pPr>
      <w:keepNext/>
      <w:jc w:val="both"/>
      <w:outlineLvl w:val="5"/>
    </w:pPr>
    <w:rPr>
      <w:rFonts w:ascii="Arial Narrow" w:hAnsi="Arial Narrow"/>
      <w:b/>
      <w:color w:val="000080"/>
      <w:sz w:val="26"/>
      <w:szCs w:val="22"/>
    </w:rPr>
  </w:style>
  <w:style w:type="paragraph" w:styleId="Heading7">
    <w:name w:val="heading 7"/>
    <w:basedOn w:val="Normal"/>
    <w:next w:val="Normal"/>
    <w:link w:val="Heading7Char"/>
    <w:qFormat/>
    <w:rsid w:val="006C6D1A"/>
    <w:pPr>
      <w:keepNext/>
      <w:jc w:val="both"/>
      <w:outlineLvl w:val="6"/>
    </w:pPr>
    <w:rPr>
      <w:rFonts w:ascii="Arial Narrow" w:hAnsi="Arial Narrow"/>
      <w:b/>
      <w:color w:val="000080"/>
      <w:sz w:val="22"/>
      <w:szCs w:val="22"/>
    </w:rPr>
  </w:style>
  <w:style w:type="paragraph" w:styleId="Heading8">
    <w:name w:val="heading 8"/>
    <w:basedOn w:val="Normal"/>
    <w:next w:val="Normal"/>
    <w:link w:val="Heading8Char"/>
    <w:qFormat/>
    <w:rsid w:val="006C6D1A"/>
    <w:pPr>
      <w:keepNext/>
      <w:jc w:val="both"/>
      <w:outlineLvl w:val="7"/>
    </w:pPr>
    <w:rPr>
      <w:rFonts w:ascii="Arial Narrow" w:hAnsi="Arial Narrow"/>
      <w:b/>
      <w:i/>
      <w:sz w:val="22"/>
      <w:szCs w:val="22"/>
    </w:rPr>
  </w:style>
  <w:style w:type="paragraph" w:styleId="Heading9">
    <w:name w:val="heading 9"/>
    <w:basedOn w:val="Normal"/>
    <w:next w:val="Normal"/>
    <w:link w:val="Heading9Char"/>
    <w:qFormat/>
    <w:rsid w:val="00DB56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0E4A"/>
    <w:pPr>
      <w:tabs>
        <w:tab w:val="center" w:pos="4153"/>
        <w:tab w:val="right" w:pos="8306"/>
      </w:tabs>
    </w:pPr>
  </w:style>
  <w:style w:type="paragraph" w:styleId="Footer">
    <w:name w:val="footer"/>
    <w:basedOn w:val="Normal"/>
    <w:link w:val="FooterChar"/>
    <w:rsid w:val="00D40E4A"/>
    <w:pPr>
      <w:tabs>
        <w:tab w:val="center" w:pos="4153"/>
        <w:tab w:val="right" w:pos="8306"/>
      </w:tabs>
    </w:pPr>
  </w:style>
  <w:style w:type="character" w:styleId="PageNumber">
    <w:name w:val="page number"/>
    <w:basedOn w:val="DefaultParagraphFont"/>
    <w:rsid w:val="00D40E4A"/>
  </w:style>
  <w:style w:type="paragraph" w:styleId="BalloonText">
    <w:name w:val="Balloon Text"/>
    <w:basedOn w:val="Normal"/>
    <w:link w:val="BalloonTextChar"/>
    <w:semiHidden/>
    <w:rsid w:val="001561CD"/>
    <w:rPr>
      <w:rFonts w:ascii="Tahoma" w:hAnsi="Tahoma" w:cs="Tahoma"/>
      <w:sz w:val="16"/>
      <w:szCs w:val="16"/>
    </w:rPr>
  </w:style>
  <w:style w:type="paragraph" w:customStyle="1" w:styleId="aplo">
    <w:name w:val="aplo"/>
    <w:basedOn w:val="Normal"/>
    <w:rsid w:val="00A90E25"/>
    <w:pPr>
      <w:tabs>
        <w:tab w:val="left" w:pos="567"/>
      </w:tabs>
      <w:spacing w:before="120"/>
      <w:jc w:val="both"/>
    </w:pPr>
    <w:rPr>
      <w:sz w:val="22"/>
      <w:szCs w:val="20"/>
      <w:lang w:val="en-GB"/>
    </w:rPr>
  </w:style>
  <w:style w:type="paragraph" w:styleId="BodyText2">
    <w:name w:val="Body Text 2"/>
    <w:basedOn w:val="Normal"/>
    <w:link w:val="BodyText2Char"/>
    <w:rsid w:val="0022549F"/>
    <w:pPr>
      <w:jc w:val="both"/>
    </w:pPr>
    <w:rPr>
      <w:szCs w:val="22"/>
    </w:rPr>
  </w:style>
  <w:style w:type="table" w:styleId="TableGrid">
    <w:name w:val="Table Grid"/>
    <w:basedOn w:val="TableNormal"/>
    <w:rsid w:val="00702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B5630"/>
    <w:pPr>
      <w:jc w:val="both"/>
    </w:pPr>
    <w:rPr>
      <w:sz w:val="22"/>
      <w:szCs w:val="22"/>
    </w:rPr>
  </w:style>
  <w:style w:type="paragraph" w:styleId="Title">
    <w:name w:val="Title"/>
    <w:basedOn w:val="Normal"/>
    <w:link w:val="TitleChar"/>
    <w:qFormat/>
    <w:rsid w:val="00DB5630"/>
    <w:pPr>
      <w:jc w:val="center"/>
    </w:pPr>
    <w:rPr>
      <w:b/>
      <w:bCs/>
      <w:lang w:eastAsia="en-US"/>
    </w:rPr>
  </w:style>
  <w:style w:type="numbering" w:customStyle="1" w:styleId="1">
    <w:name w:val="Χωρίς λίστα1"/>
    <w:next w:val="NoList"/>
    <w:semiHidden/>
    <w:rsid w:val="00DB5630"/>
  </w:style>
  <w:style w:type="paragraph" w:customStyle="1" w:styleId="keimeno">
    <w:name w:val="keimeno"/>
    <w:basedOn w:val="Normal"/>
    <w:rsid w:val="00DB5630"/>
    <w:pPr>
      <w:jc w:val="both"/>
    </w:pPr>
    <w:rPr>
      <w:rFonts w:ascii="Arial" w:hAnsi="Arial"/>
      <w:sz w:val="22"/>
      <w:szCs w:val="20"/>
    </w:rPr>
  </w:style>
  <w:style w:type="paragraph" w:styleId="BodyTextIndent">
    <w:name w:val="Body Text Indent"/>
    <w:basedOn w:val="Normal"/>
    <w:link w:val="BodyTextIndentChar"/>
    <w:rsid w:val="00DB5630"/>
    <w:pPr>
      <w:ind w:firstLine="720"/>
      <w:jc w:val="both"/>
    </w:pPr>
    <w:rPr>
      <w:sz w:val="22"/>
      <w:szCs w:val="20"/>
    </w:rPr>
  </w:style>
  <w:style w:type="paragraph" w:styleId="BodyText3">
    <w:name w:val="Body Text 3"/>
    <w:basedOn w:val="Normal"/>
    <w:link w:val="BodyText3Char"/>
    <w:rsid w:val="00DB5630"/>
    <w:pPr>
      <w:jc w:val="both"/>
    </w:pPr>
    <w:rPr>
      <w:sz w:val="22"/>
      <w:szCs w:val="20"/>
    </w:rPr>
  </w:style>
  <w:style w:type="paragraph" w:customStyle="1" w:styleId="Giota">
    <w:name w:val="Giota"/>
    <w:basedOn w:val="Normal"/>
    <w:rsid w:val="00DB5630"/>
    <w:pPr>
      <w:tabs>
        <w:tab w:val="left" w:pos="567"/>
        <w:tab w:val="left" w:pos="1134"/>
        <w:tab w:val="left" w:pos="1701"/>
      </w:tabs>
      <w:jc w:val="both"/>
    </w:pPr>
    <w:rPr>
      <w:rFonts w:ascii="Arial" w:hAnsi="Arial"/>
      <w:sz w:val="18"/>
      <w:szCs w:val="20"/>
    </w:rPr>
  </w:style>
  <w:style w:type="paragraph" w:customStyle="1" w:styleId="10">
    <w:name w:val="Στυλ1"/>
    <w:basedOn w:val="Normal"/>
    <w:rsid w:val="00DB5630"/>
    <w:pPr>
      <w:spacing w:before="120"/>
      <w:ind w:firstLine="567"/>
    </w:pPr>
    <w:rPr>
      <w:rFonts w:ascii="Arial" w:hAnsi="Arial"/>
      <w:sz w:val="20"/>
      <w:szCs w:val="20"/>
    </w:rPr>
  </w:style>
  <w:style w:type="paragraph" w:styleId="BodyTextIndent2">
    <w:name w:val="Body Text Indent 2"/>
    <w:basedOn w:val="Normal"/>
    <w:link w:val="BodyTextIndent2Char"/>
    <w:rsid w:val="00DB5630"/>
    <w:pPr>
      <w:ind w:left="720" w:hanging="720"/>
      <w:jc w:val="both"/>
    </w:pPr>
    <w:rPr>
      <w:rFonts w:ascii="Tahoma" w:hAnsi="Tahoma"/>
      <w:b/>
      <w:color w:val="0000FF"/>
      <w:sz w:val="20"/>
      <w:szCs w:val="20"/>
    </w:rPr>
  </w:style>
  <w:style w:type="paragraph" w:styleId="PlainText">
    <w:name w:val="Plain Text"/>
    <w:basedOn w:val="Normal"/>
    <w:link w:val="PlainTextChar"/>
    <w:rsid w:val="00DB5630"/>
    <w:rPr>
      <w:rFonts w:ascii="Courier New" w:hAnsi="Courier New"/>
      <w:sz w:val="20"/>
      <w:szCs w:val="20"/>
    </w:rPr>
  </w:style>
  <w:style w:type="paragraph" w:styleId="BodyTextIndent3">
    <w:name w:val="Body Text Indent 3"/>
    <w:basedOn w:val="Normal"/>
    <w:link w:val="BodyTextIndent3Char"/>
    <w:rsid w:val="00DB5630"/>
    <w:pPr>
      <w:tabs>
        <w:tab w:val="num" w:pos="652"/>
      </w:tabs>
      <w:spacing w:after="120"/>
      <w:ind w:left="652" w:hanging="652"/>
      <w:jc w:val="both"/>
    </w:pPr>
    <w:rPr>
      <w:sz w:val="22"/>
      <w:szCs w:val="20"/>
    </w:rPr>
  </w:style>
  <w:style w:type="character" w:styleId="CommentReference">
    <w:name w:val="annotation reference"/>
    <w:basedOn w:val="DefaultParagraphFont"/>
    <w:uiPriority w:val="99"/>
    <w:semiHidden/>
    <w:rsid w:val="00DC5802"/>
    <w:rPr>
      <w:sz w:val="16"/>
      <w:szCs w:val="16"/>
    </w:rPr>
  </w:style>
  <w:style w:type="paragraph" w:styleId="CommentText">
    <w:name w:val="annotation text"/>
    <w:basedOn w:val="Normal"/>
    <w:link w:val="CommentTextChar"/>
    <w:uiPriority w:val="99"/>
    <w:semiHidden/>
    <w:rsid w:val="00DC5802"/>
    <w:rPr>
      <w:sz w:val="20"/>
      <w:szCs w:val="20"/>
    </w:rPr>
  </w:style>
  <w:style w:type="paragraph" w:styleId="CommentSubject">
    <w:name w:val="annotation subject"/>
    <w:basedOn w:val="CommentText"/>
    <w:next w:val="CommentText"/>
    <w:link w:val="CommentSubjectChar"/>
    <w:semiHidden/>
    <w:rsid w:val="00DC5802"/>
    <w:rPr>
      <w:b/>
      <w:bCs/>
    </w:rPr>
  </w:style>
  <w:style w:type="character" w:styleId="Hyperlink">
    <w:name w:val="Hyperlink"/>
    <w:basedOn w:val="DefaultParagraphFont"/>
    <w:uiPriority w:val="99"/>
    <w:rsid w:val="00EB7A79"/>
    <w:rPr>
      <w:color w:val="0000FF"/>
      <w:u w:val="single"/>
    </w:rPr>
  </w:style>
  <w:style w:type="paragraph" w:styleId="FootnoteText">
    <w:name w:val="footnote text"/>
    <w:basedOn w:val="Normal"/>
    <w:link w:val="FootnoteTextChar"/>
    <w:semiHidden/>
    <w:rsid w:val="005F3BAB"/>
    <w:rPr>
      <w:sz w:val="20"/>
      <w:szCs w:val="20"/>
    </w:rPr>
  </w:style>
  <w:style w:type="character" w:styleId="FootnoteReference">
    <w:name w:val="footnote reference"/>
    <w:basedOn w:val="DefaultParagraphFont"/>
    <w:semiHidden/>
    <w:rsid w:val="005F3BAB"/>
    <w:rPr>
      <w:vertAlign w:val="superscript"/>
    </w:rPr>
  </w:style>
  <w:style w:type="paragraph" w:customStyle="1" w:styleId="CharCharCharCharCharCharCharCharCharCharCharCharChar">
    <w:name w:val="Char Char Char Char Char Char Char Char Char Char Char Char Char"/>
    <w:basedOn w:val="Normal"/>
    <w:rsid w:val="0022502F"/>
    <w:pPr>
      <w:spacing w:after="160" w:line="240" w:lineRule="exact"/>
      <w:jc w:val="both"/>
    </w:pPr>
    <w:rPr>
      <w:rFonts w:ascii="Verdana" w:hAnsi="Verdana"/>
      <w:sz w:val="20"/>
      <w:szCs w:val="20"/>
      <w:lang w:val="en-US" w:eastAsia="en-US"/>
    </w:rPr>
  </w:style>
  <w:style w:type="numbering" w:customStyle="1" w:styleId="2">
    <w:name w:val="Χωρίς λίστα2"/>
    <w:next w:val="NoList"/>
    <w:semiHidden/>
    <w:rsid w:val="00F66AEE"/>
  </w:style>
  <w:style w:type="paragraph" w:styleId="BlockText">
    <w:name w:val="Block Text"/>
    <w:basedOn w:val="Normal"/>
    <w:rsid w:val="00F66AEE"/>
    <w:pPr>
      <w:ind w:left="360" w:right="70" w:hanging="360"/>
      <w:jc w:val="both"/>
    </w:pPr>
    <w:rPr>
      <w:sz w:val="16"/>
      <w:szCs w:val="22"/>
    </w:rPr>
  </w:style>
  <w:style w:type="paragraph" w:customStyle="1" w:styleId="CharCharCharChar">
    <w:name w:val="Char Char Char Char"/>
    <w:basedOn w:val="Normal"/>
    <w:rsid w:val="00C2204C"/>
    <w:pPr>
      <w:spacing w:before="120" w:after="160" w:line="240" w:lineRule="exact"/>
    </w:pPr>
    <w:rPr>
      <w:rFonts w:ascii="Verdana" w:hAnsi="Verdana"/>
      <w:sz w:val="20"/>
      <w:szCs w:val="20"/>
      <w:lang w:val="en-US" w:eastAsia="en-US"/>
    </w:rPr>
  </w:style>
  <w:style w:type="paragraph" w:customStyle="1" w:styleId="CharCharCharCharCharCharCharCharCharChar11pt">
    <w:name w:val="Char Char Char Char Char Char Char Char Char Char Βασικό+11pt"/>
    <w:basedOn w:val="Normal"/>
    <w:rsid w:val="00B73E04"/>
    <w:pPr>
      <w:jc w:val="both"/>
    </w:pPr>
    <w:rPr>
      <w:b/>
      <w:sz w:val="22"/>
    </w:rPr>
  </w:style>
  <w:style w:type="paragraph" w:styleId="ListParagraph">
    <w:name w:val="List Paragraph"/>
    <w:basedOn w:val="Normal"/>
    <w:uiPriority w:val="34"/>
    <w:qFormat/>
    <w:rsid w:val="00B73E04"/>
    <w:pPr>
      <w:spacing w:after="200" w:line="276" w:lineRule="auto"/>
      <w:ind w:left="720"/>
      <w:contextualSpacing/>
    </w:pPr>
    <w:rPr>
      <w:rFonts w:ascii="Calibri" w:eastAsia="Calibri" w:hAnsi="Calibri"/>
      <w:sz w:val="22"/>
      <w:szCs w:val="22"/>
      <w:lang w:eastAsia="en-US"/>
    </w:rPr>
  </w:style>
  <w:style w:type="paragraph" w:customStyle="1" w:styleId="Char">
    <w:name w:val="Char"/>
    <w:basedOn w:val="Normal"/>
    <w:rsid w:val="00A71D8F"/>
    <w:pPr>
      <w:spacing w:after="160" w:line="240" w:lineRule="exact"/>
      <w:jc w:val="both"/>
    </w:pPr>
    <w:rPr>
      <w:rFonts w:ascii="Verdana" w:hAnsi="Verdana"/>
      <w:sz w:val="20"/>
      <w:szCs w:val="20"/>
      <w:lang w:val="en-US" w:eastAsia="en-US"/>
    </w:rPr>
  </w:style>
  <w:style w:type="paragraph" w:customStyle="1" w:styleId="Pinakastitlos">
    <w:name w:val="Pinakas_titlos"/>
    <w:basedOn w:val="Normal"/>
    <w:qFormat/>
    <w:rsid w:val="001B4685"/>
    <w:pPr>
      <w:spacing w:before="120"/>
      <w:ind w:right="-1"/>
      <w:jc w:val="center"/>
    </w:pPr>
    <w:rPr>
      <w:rFonts w:ascii="Arial Narrow" w:hAnsi="Arial Narrow"/>
      <w:b/>
      <w:color w:val="FFFFFF"/>
    </w:rPr>
  </w:style>
  <w:style w:type="character" w:customStyle="1" w:styleId="BalloonTextChar">
    <w:name w:val="Balloon Text Char"/>
    <w:basedOn w:val="DefaultParagraphFont"/>
    <w:link w:val="BalloonText"/>
    <w:semiHidden/>
    <w:rsid w:val="001B4685"/>
    <w:rPr>
      <w:rFonts w:ascii="Tahoma" w:hAnsi="Tahoma" w:cs="Tahoma"/>
      <w:sz w:val="16"/>
      <w:szCs w:val="16"/>
    </w:rPr>
  </w:style>
  <w:style w:type="paragraph" w:customStyle="1" w:styleId="11">
    <w:name w:val="Παράγραφος λίστας1"/>
    <w:basedOn w:val="Normal"/>
    <w:rsid w:val="001B4685"/>
    <w:pPr>
      <w:spacing w:after="200" w:line="276" w:lineRule="auto"/>
      <w:ind w:left="720"/>
    </w:pPr>
    <w:rPr>
      <w:rFonts w:ascii="Calibri" w:hAnsi="Calibri" w:cs="Calibri"/>
      <w:sz w:val="22"/>
      <w:szCs w:val="22"/>
      <w:lang w:eastAsia="en-US"/>
    </w:rPr>
  </w:style>
  <w:style w:type="character" w:customStyle="1" w:styleId="BodyTextIndent2Char">
    <w:name w:val="Body Text Indent 2 Char"/>
    <w:basedOn w:val="DefaultParagraphFont"/>
    <w:link w:val="BodyTextIndent2"/>
    <w:rsid w:val="00C56840"/>
    <w:rPr>
      <w:rFonts w:ascii="Tahoma" w:hAnsi="Tahoma"/>
      <w:b/>
      <w:color w:val="0000FF"/>
    </w:rPr>
  </w:style>
  <w:style w:type="character" w:customStyle="1" w:styleId="CommentTextChar">
    <w:name w:val="Comment Text Char"/>
    <w:basedOn w:val="DefaultParagraphFont"/>
    <w:link w:val="CommentText"/>
    <w:uiPriority w:val="99"/>
    <w:semiHidden/>
    <w:rsid w:val="00156E94"/>
  </w:style>
  <w:style w:type="character" w:customStyle="1" w:styleId="CommentSubjectChar">
    <w:name w:val="Comment Subject Char"/>
    <w:basedOn w:val="CommentTextChar"/>
    <w:link w:val="CommentSubject"/>
    <w:semiHidden/>
    <w:rsid w:val="00156E94"/>
    <w:rPr>
      <w:b/>
      <w:bCs/>
    </w:rPr>
  </w:style>
  <w:style w:type="paragraph" w:customStyle="1" w:styleId="CharCharCharCharCharCharCharCharCharCharCharCharChar0">
    <w:name w:val="Char Char Char Char Char Char Char Char Char Char Char Char Char"/>
    <w:basedOn w:val="Normal"/>
    <w:rsid w:val="005F39F3"/>
    <w:pPr>
      <w:spacing w:after="160" w:line="240" w:lineRule="exact"/>
      <w:jc w:val="both"/>
    </w:pPr>
    <w:rPr>
      <w:rFonts w:ascii="Verdana" w:hAnsi="Verdana"/>
      <w:sz w:val="20"/>
      <w:szCs w:val="20"/>
      <w:lang w:val="en-US" w:eastAsia="en-US"/>
    </w:rPr>
  </w:style>
  <w:style w:type="paragraph" w:customStyle="1" w:styleId="CharCharCharChar0">
    <w:name w:val="Char Char Char Char"/>
    <w:basedOn w:val="Normal"/>
    <w:rsid w:val="005F39F3"/>
    <w:pPr>
      <w:spacing w:before="120" w:after="160" w:line="240" w:lineRule="exact"/>
    </w:pPr>
    <w:rPr>
      <w:rFonts w:ascii="Verdana" w:hAnsi="Verdana"/>
      <w:sz w:val="20"/>
      <w:szCs w:val="20"/>
      <w:lang w:val="en-US" w:eastAsia="en-US"/>
    </w:rPr>
  </w:style>
  <w:style w:type="character" w:styleId="FollowedHyperlink">
    <w:name w:val="FollowedHyperlink"/>
    <w:basedOn w:val="DefaultParagraphFont"/>
    <w:uiPriority w:val="99"/>
    <w:rsid w:val="005F39F3"/>
    <w:rPr>
      <w:color w:val="800080"/>
      <w:u w:val="single"/>
    </w:rPr>
  </w:style>
  <w:style w:type="paragraph" w:customStyle="1" w:styleId="xl70">
    <w:name w:val="xl70"/>
    <w:basedOn w:val="Normal"/>
    <w:rsid w:val="005F39F3"/>
    <w:pPr>
      <w:spacing w:before="100" w:beforeAutospacing="1" w:after="100" w:afterAutospacing="1"/>
      <w:textAlignment w:val="center"/>
    </w:pPr>
    <w:rPr>
      <w:rFonts w:ascii="Arial" w:hAnsi="Arial" w:cs="Arial"/>
      <w:sz w:val="22"/>
      <w:szCs w:val="22"/>
    </w:rPr>
  </w:style>
  <w:style w:type="paragraph" w:customStyle="1" w:styleId="xl71">
    <w:name w:val="xl71"/>
    <w:basedOn w:val="Normal"/>
    <w:rsid w:val="005F39F3"/>
    <w:pPr>
      <w:pBdr>
        <w:left w:val="single" w:sz="8" w:space="0" w:color="auto"/>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2">
    <w:name w:val="xl72"/>
    <w:basedOn w:val="Normal"/>
    <w:rsid w:val="005F39F3"/>
    <w:pPr>
      <w:pBdr>
        <w:left w:val="single" w:sz="4" w:space="0" w:color="000000"/>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3">
    <w:name w:val="xl73"/>
    <w:basedOn w:val="Normal"/>
    <w:rsid w:val="005F39F3"/>
    <w:pPr>
      <w:pBdr>
        <w:left w:val="single" w:sz="4" w:space="0" w:color="000000"/>
        <w:right w:val="single" w:sz="8"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Normal"/>
    <w:rsid w:val="005F39F3"/>
    <w:pPr>
      <w:pBdr>
        <w:left w:val="single" w:sz="4" w:space="0" w:color="000000"/>
        <w:right w:val="single" w:sz="4" w:space="0" w:color="000000"/>
      </w:pBdr>
      <w:spacing w:before="100" w:beforeAutospacing="1" w:after="100" w:afterAutospacing="1"/>
      <w:jc w:val="right"/>
      <w:textAlignment w:val="center"/>
    </w:pPr>
    <w:rPr>
      <w:rFonts w:ascii="Arial" w:hAnsi="Arial" w:cs="Arial"/>
      <w:sz w:val="22"/>
      <w:szCs w:val="22"/>
    </w:rPr>
  </w:style>
  <w:style w:type="paragraph" w:customStyle="1" w:styleId="xl75">
    <w:name w:val="xl75"/>
    <w:basedOn w:val="Normal"/>
    <w:rsid w:val="005F39F3"/>
    <w:pPr>
      <w:pBdr>
        <w:left w:val="single" w:sz="4" w:space="0" w:color="000000"/>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20">
    <w:name w:val="Παράγραφος λίστας2"/>
    <w:basedOn w:val="Normal"/>
    <w:rsid w:val="005F39F3"/>
    <w:pPr>
      <w:spacing w:after="200" w:line="276" w:lineRule="auto"/>
      <w:ind w:left="720"/>
    </w:pPr>
    <w:rPr>
      <w:rFonts w:ascii="Calibri" w:hAnsi="Calibri" w:cs="Calibri"/>
      <w:sz w:val="22"/>
      <w:szCs w:val="22"/>
      <w:lang w:eastAsia="en-US"/>
    </w:rPr>
  </w:style>
  <w:style w:type="character" w:customStyle="1" w:styleId="Heading1Char">
    <w:name w:val="Heading 1 Char"/>
    <w:basedOn w:val="DefaultParagraphFont"/>
    <w:link w:val="Heading1"/>
    <w:rsid w:val="002C76E1"/>
    <w:rPr>
      <w:rFonts w:ascii="Arial" w:hAnsi="Arial" w:cs="Arial"/>
      <w:b/>
      <w:bCs/>
      <w:kern w:val="32"/>
      <w:sz w:val="32"/>
      <w:szCs w:val="32"/>
    </w:rPr>
  </w:style>
  <w:style w:type="character" w:customStyle="1" w:styleId="Heading2Char">
    <w:name w:val="Heading 2 Char"/>
    <w:basedOn w:val="DefaultParagraphFont"/>
    <w:link w:val="Heading2"/>
    <w:rsid w:val="002C76E1"/>
    <w:rPr>
      <w:rFonts w:ascii="Arial" w:hAnsi="Arial" w:cs="Arial"/>
      <w:b/>
      <w:bCs/>
      <w:i/>
      <w:iCs/>
      <w:sz w:val="28"/>
      <w:szCs w:val="28"/>
    </w:rPr>
  </w:style>
  <w:style w:type="character" w:customStyle="1" w:styleId="Heading3Char">
    <w:name w:val="Heading 3 Char"/>
    <w:basedOn w:val="DefaultParagraphFont"/>
    <w:link w:val="Heading3"/>
    <w:rsid w:val="002C76E1"/>
    <w:rPr>
      <w:rFonts w:ascii="Arial" w:hAnsi="Arial" w:cs="Arial"/>
      <w:b/>
      <w:bCs/>
      <w:sz w:val="26"/>
      <w:szCs w:val="26"/>
    </w:rPr>
  </w:style>
  <w:style w:type="character" w:customStyle="1" w:styleId="Heading4Char">
    <w:name w:val="Heading 4 Char"/>
    <w:basedOn w:val="DefaultParagraphFont"/>
    <w:link w:val="Heading4"/>
    <w:rsid w:val="002C76E1"/>
    <w:rPr>
      <w:rFonts w:ascii="Arial Narrow" w:hAnsi="Arial Narrow"/>
      <w:b/>
      <w:i/>
      <w:color w:val="000080"/>
      <w:sz w:val="24"/>
      <w:szCs w:val="22"/>
    </w:rPr>
  </w:style>
  <w:style w:type="character" w:customStyle="1" w:styleId="Heading5Char">
    <w:name w:val="Heading 5 Char"/>
    <w:basedOn w:val="DefaultParagraphFont"/>
    <w:link w:val="Heading5"/>
    <w:rsid w:val="002C76E1"/>
    <w:rPr>
      <w:rFonts w:ascii="Arial Narrow" w:hAnsi="Arial Narrow"/>
      <w:b/>
      <w:sz w:val="22"/>
      <w:szCs w:val="22"/>
    </w:rPr>
  </w:style>
  <w:style w:type="character" w:customStyle="1" w:styleId="Heading6Char">
    <w:name w:val="Heading 6 Char"/>
    <w:basedOn w:val="DefaultParagraphFont"/>
    <w:link w:val="Heading6"/>
    <w:rsid w:val="002C76E1"/>
    <w:rPr>
      <w:rFonts w:ascii="Arial Narrow" w:hAnsi="Arial Narrow"/>
      <w:b/>
      <w:color w:val="000080"/>
      <w:sz w:val="26"/>
      <w:szCs w:val="22"/>
    </w:rPr>
  </w:style>
  <w:style w:type="character" w:customStyle="1" w:styleId="Heading7Char">
    <w:name w:val="Heading 7 Char"/>
    <w:basedOn w:val="DefaultParagraphFont"/>
    <w:link w:val="Heading7"/>
    <w:rsid w:val="002C76E1"/>
    <w:rPr>
      <w:rFonts w:ascii="Arial Narrow" w:hAnsi="Arial Narrow"/>
      <w:b/>
      <w:color w:val="000080"/>
      <w:sz w:val="22"/>
      <w:szCs w:val="22"/>
    </w:rPr>
  </w:style>
  <w:style w:type="character" w:customStyle="1" w:styleId="Heading8Char">
    <w:name w:val="Heading 8 Char"/>
    <w:basedOn w:val="DefaultParagraphFont"/>
    <w:link w:val="Heading8"/>
    <w:rsid w:val="002C76E1"/>
    <w:rPr>
      <w:rFonts w:ascii="Arial Narrow" w:hAnsi="Arial Narrow"/>
      <w:b/>
      <w:i/>
      <w:sz w:val="22"/>
      <w:szCs w:val="22"/>
    </w:rPr>
  </w:style>
  <w:style w:type="character" w:customStyle="1" w:styleId="Heading9Char">
    <w:name w:val="Heading 9 Char"/>
    <w:basedOn w:val="DefaultParagraphFont"/>
    <w:link w:val="Heading9"/>
    <w:rsid w:val="002C76E1"/>
    <w:rPr>
      <w:rFonts w:ascii="Arial" w:hAnsi="Arial" w:cs="Arial"/>
      <w:sz w:val="22"/>
      <w:szCs w:val="22"/>
    </w:rPr>
  </w:style>
  <w:style w:type="character" w:customStyle="1" w:styleId="HeaderChar">
    <w:name w:val="Header Char"/>
    <w:basedOn w:val="DefaultParagraphFont"/>
    <w:link w:val="Header"/>
    <w:rsid w:val="002C76E1"/>
    <w:rPr>
      <w:sz w:val="24"/>
      <w:szCs w:val="24"/>
    </w:rPr>
  </w:style>
  <w:style w:type="character" w:customStyle="1" w:styleId="FooterChar">
    <w:name w:val="Footer Char"/>
    <w:basedOn w:val="DefaultParagraphFont"/>
    <w:link w:val="Footer"/>
    <w:rsid w:val="002C76E1"/>
    <w:rPr>
      <w:sz w:val="24"/>
      <w:szCs w:val="24"/>
    </w:rPr>
  </w:style>
  <w:style w:type="character" w:customStyle="1" w:styleId="BodyText2Char">
    <w:name w:val="Body Text 2 Char"/>
    <w:basedOn w:val="DefaultParagraphFont"/>
    <w:link w:val="BodyText2"/>
    <w:rsid w:val="002C76E1"/>
    <w:rPr>
      <w:sz w:val="24"/>
      <w:szCs w:val="22"/>
    </w:rPr>
  </w:style>
  <w:style w:type="character" w:customStyle="1" w:styleId="BodyTextChar">
    <w:name w:val="Body Text Char"/>
    <w:basedOn w:val="DefaultParagraphFont"/>
    <w:link w:val="BodyText"/>
    <w:rsid w:val="002C76E1"/>
    <w:rPr>
      <w:sz w:val="22"/>
      <w:szCs w:val="22"/>
    </w:rPr>
  </w:style>
  <w:style w:type="character" w:customStyle="1" w:styleId="TitleChar">
    <w:name w:val="Title Char"/>
    <w:basedOn w:val="DefaultParagraphFont"/>
    <w:link w:val="Title"/>
    <w:rsid w:val="002C76E1"/>
    <w:rPr>
      <w:b/>
      <w:bCs/>
      <w:sz w:val="24"/>
      <w:szCs w:val="24"/>
      <w:lang w:eastAsia="en-US"/>
    </w:rPr>
  </w:style>
  <w:style w:type="character" w:customStyle="1" w:styleId="BodyTextIndentChar">
    <w:name w:val="Body Text Indent Char"/>
    <w:basedOn w:val="DefaultParagraphFont"/>
    <w:link w:val="BodyTextIndent"/>
    <w:rsid w:val="002C76E1"/>
    <w:rPr>
      <w:sz w:val="22"/>
    </w:rPr>
  </w:style>
  <w:style w:type="character" w:customStyle="1" w:styleId="BodyText3Char">
    <w:name w:val="Body Text 3 Char"/>
    <w:basedOn w:val="DefaultParagraphFont"/>
    <w:link w:val="BodyText3"/>
    <w:rsid w:val="002C76E1"/>
    <w:rPr>
      <w:sz w:val="22"/>
    </w:rPr>
  </w:style>
  <w:style w:type="character" w:customStyle="1" w:styleId="PlainTextChar">
    <w:name w:val="Plain Text Char"/>
    <w:basedOn w:val="DefaultParagraphFont"/>
    <w:link w:val="PlainText"/>
    <w:rsid w:val="002C76E1"/>
    <w:rPr>
      <w:rFonts w:ascii="Courier New" w:hAnsi="Courier New"/>
    </w:rPr>
  </w:style>
  <w:style w:type="character" w:customStyle="1" w:styleId="BodyTextIndent3Char">
    <w:name w:val="Body Text Indent 3 Char"/>
    <w:basedOn w:val="DefaultParagraphFont"/>
    <w:link w:val="BodyTextIndent3"/>
    <w:rsid w:val="002C76E1"/>
    <w:rPr>
      <w:sz w:val="22"/>
    </w:rPr>
  </w:style>
  <w:style w:type="character" w:customStyle="1" w:styleId="FootnoteTextChar">
    <w:name w:val="Footnote Text Char"/>
    <w:basedOn w:val="DefaultParagraphFont"/>
    <w:link w:val="FootnoteText"/>
    <w:semiHidden/>
    <w:rsid w:val="002C76E1"/>
  </w:style>
  <w:style w:type="paragraph" w:customStyle="1" w:styleId="font5">
    <w:name w:val="font5"/>
    <w:basedOn w:val="Normal"/>
    <w:rsid w:val="00886B62"/>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6B62"/>
    <w:pPr>
      <w:spacing w:before="100" w:beforeAutospacing="1" w:after="100" w:afterAutospacing="1"/>
    </w:pPr>
    <w:rPr>
      <w:rFonts w:ascii="Tahoma" w:hAnsi="Tahoma" w:cs="Tahoma"/>
      <w:color w:val="000000"/>
      <w:sz w:val="18"/>
      <w:szCs w:val="18"/>
    </w:rPr>
  </w:style>
  <w:style w:type="paragraph" w:customStyle="1" w:styleId="xl76">
    <w:name w:val="xl76"/>
    <w:basedOn w:val="Normal"/>
    <w:rsid w:val="00886B62"/>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77">
    <w:name w:val="xl77"/>
    <w:basedOn w:val="Normal"/>
    <w:rsid w:val="00886B62"/>
    <w:pP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78">
    <w:name w:val="xl78"/>
    <w:basedOn w:val="Normal"/>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79">
    <w:name w:val="xl79"/>
    <w:basedOn w:val="Normal"/>
    <w:rsid w:val="00886B62"/>
    <w:pPr>
      <w:pBdr>
        <w:top w:val="single" w:sz="4" w:space="0" w:color="auto"/>
        <w:left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0">
    <w:name w:val="xl80"/>
    <w:basedOn w:val="Normal"/>
    <w:rsid w:val="00886B62"/>
    <w:pPr>
      <w:pBdr>
        <w:top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Normal"/>
    <w:rsid w:val="00886B62"/>
    <w:pPr>
      <w:pBdr>
        <w:top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83">
    <w:name w:val="xl83"/>
    <w:basedOn w:val="Normal"/>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4">
    <w:name w:val="xl84"/>
    <w:basedOn w:val="Normal"/>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85">
    <w:name w:val="xl85"/>
    <w:basedOn w:val="Normal"/>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6">
    <w:name w:val="xl86"/>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7">
    <w:name w:val="xl87"/>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88">
    <w:name w:val="xl88"/>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9">
    <w:name w:val="xl89"/>
    <w:basedOn w:val="Normal"/>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0">
    <w:name w:val="xl90"/>
    <w:basedOn w:val="Normal"/>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i/>
      <w:iCs/>
      <w:sz w:val="16"/>
      <w:szCs w:val="16"/>
    </w:rPr>
  </w:style>
  <w:style w:type="paragraph" w:customStyle="1" w:styleId="xl91">
    <w:name w:val="xl91"/>
    <w:basedOn w:val="Normal"/>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2">
    <w:name w:val="xl92"/>
    <w:basedOn w:val="Normal"/>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3">
    <w:name w:val="xl93"/>
    <w:basedOn w:val="Normal"/>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Narrow" w:hAnsi="Arial Narrow"/>
      <w:b/>
      <w:bCs/>
      <w:i/>
      <w:iCs/>
      <w:sz w:val="16"/>
      <w:szCs w:val="16"/>
    </w:rPr>
  </w:style>
  <w:style w:type="paragraph" w:customStyle="1" w:styleId="xl94">
    <w:name w:val="xl94"/>
    <w:basedOn w:val="Normal"/>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5">
    <w:name w:val="xl95"/>
    <w:basedOn w:val="Normal"/>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96">
    <w:name w:val="xl96"/>
    <w:basedOn w:val="Normal"/>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7">
    <w:name w:val="xl97"/>
    <w:basedOn w:val="Normal"/>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8">
    <w:name w:val="xl98"/>
    <w:basedOn w:val="Normal"/>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99">
    <w:name w:val="xl99"/>
    <w:basedOn w:val="Normal"/>
    <w:rsid w:val="00886B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0">
    <w:name w:val="xl100"/>
    <w:basedOn w:val="Normal"/>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1">
    <w:name w:val="xl101"/>
    <w:basedOn w:val="Normal"/>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02">
    <w:name w:val="xl102"/>
    <w:basedOn w:val="Normal"/>
    <w:rsid w:val="00886B62"/>
    <w:pPr>
      <w:pBdr>
        <w:top w:val="single" w:sz="4" w:space="0" w:color="auto"/>
        <w:left w:val="single" w:sz="8" w:space="0" w:color="auto"/>
        <w:bottom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3">
    <w:name w:val="xl103"/>
    <w:basedOn w:val="Normal"/>
    <w:rsid w:val="00886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i/>
      <w:iCs/>
      <w:sz w:val="16"/>
      <w:szCs w:val="16"/>
    </w:rPr>
  </w:style>
  <w:style w:type="paragraph" w:customStyle="1" w:styleId="xl104">
    <w:name w:val="xl104"/>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
    <w:rsid w:val="00886B62"/>
    <w:pPr>
      <w:pBdr>
        <w:top w:val="single" w:sz="4" w:space="0" w:color="auto"/>
        <w:left w:val="single" w:sz="4" w:space="0" w:color="auto"/>
        <w:bottom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8">
    <w:name w:val="xl108"/>
    <w:basedOn w:val="Normal"/>
    <w:rsid w:val="00886B62"/>
    <w:pPr>
      <w:pBdr>
        <w:top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9">
    <w:name w:val="xl109"/>
    <w:basedOn w:val="Normal"/>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0">
    <w:name w:val="xl110"/>
    <w:basedOn w:val="Normal"/>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sz w:val="16"/>
      <w:szCs w:val="16"/>
    </w:rPr>
  </w:style>
  <w:style w:type="paragraph" w:customStyle="1" w:styleId="xl112">
    <w:name w:val="xl112"/>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3">
    <w:name w:val="xl113"/>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4">
    <w:name w:val="xl114"/>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15">
    <w:name w:val="xl115"/>
    <w:basedOn w:val="Normal"/>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16">
    <w:name w:val="xl116"/>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7">
    <w:name w:val="xl117"/>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18">
    <w:name w:val="xl118"/>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119">
    <w:name w:val="xl119"/>
    <w:basedOn w:val="Normal"/>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20">
    <w:name w:val="xl120"/>
    <w:basedOn w:val="Normal"/>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121">
    <w:name w:val="xl121"/>
    <w:basedOn w:val="Normal"/>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sz w:val="16"/>
      <w:szCs w:val="16"/>
    </w:rPr>
  </w:style>
  <w:style w:type="paragraph" w:customStyle="1" w:styleId="xl122">
    <w:name w:val="xl122"/>
    <w:basedOn w:val="Normal"/>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styleId="NoSpacing">
    <w:name w:val="No Spacing"/>
    <w:uiPriority w:val="1"/>
    <w:qFormat/>
    <w:rsid w:val="00235EF9"/>
    <w:rPr>
      <w:rFonts w:asciiTheme="minorHAnsi" w:eastAsiaTheme="minorHAnsi" w:hAnsiTheme="minorHAnsi" w:cstheme="minorBidi"/>
      <w:sz w:val="22"/>
      <w:szCs w:val="22"/>
      <w:lang w:eastAsia="en-US"/>
    </w:rPr>
  </w:style>
  <w:style w:type="paragraph" w:styleId="NormalWeb">
    <w:name w:val="Normal (Web)"/>
    <w:basedOn w:val="Normal"/>
    <w:uiPriority w:val="99"/>
    <w:rsid w:val="00D31046"/>
    <w:pPr>
      <w:spacing w:before="100" w:beforeAutospacing="1" w:after="119"/>
    </w:pPr>
  </w:style>
  <w:style w:type="character" w:styleId="LineNumber">
    <w:name w:val="line number"/>
    <w:basedOn w:val="DefaultParagraphFont"/>
    <w:rsid w:val="00D31046"/>
  </w:style>
  <w:style w:type="character" w:styleId="Strong">
    <w:name w:val="Strong"/>
    <w:basedOn w:val="DefaultParagraphFont"/>
    <w:qFormat/>
    <w:rsid w:val="00D31046"/>
    <w:rPr>
      <w:b/>
      <w:bCs/>
    </w:rPr>
  </w:style>
  <w:style w:type="paragraph" w:customStyle="1" w:styleId="Default">
    <w:name w:val="Default"/>
    <w:rsid w:val="00D31046"/>
    <w:pPr>
      <w:autoSpaceDE w:val="0"/>
      <w:autoSpaceDN w:val="0"/>
      <w:adjustRightInd w:val="0"/>
    </w:pPr>
    <w:rPr>
      <w:rFonts w:eastAsia="Calibri"/>
      <w:color w:val="000000"/>
      <w:sz w:val="24"/>
      <w:szCs w:val="24"/>
      <w:lang w:eastAsia="en-US"/>
    </w:rPr>
  </w:style>
  <w:style w:type="paragraph" w:styleId="HTMLPreformatted">
    <w:name w:val="HTML Preformatted"/>
    <w:basedOn w:val="Normal"/>
    <w:link w:val="HTMLPreformattedChar"/>
    <w:uiPriority w:val="99"/>
    <w:unhideWhenUsed/>
    <w:rsid w:val="00EF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F2957"/>
    <w:rPr>
      <w:rFonts w:ascii="Courier New" w:hAnsi="Courier New" w:cs="Courier New"/>
    </w:rPr>
  </w:style>
  <w:style w:type="paragraph" w:customStyle="1" w:styleId="font7">
    <w:name w:val="font7"/>
    <w:basedOn w:val="Normal"/>
    <w:rsid w:val="00EF2957"/>
    <w:pPr>
      <w:spacing w:before="100" w:beforeAutospacing="1" w:after="100" w:afterAutospacing="1"/>
    </w:pPr>
    <w:rPr>
      <w:rFonts w:ascii="Segoe UI" w:hAnsi="Segoe UI" w:cs="Segoe UI"/>
      <w:b/>
      <w:bCs/>
      <w:i/>
      <w:iCs/>
      <w:sz w:val="16"/>
      <w:szCs w:val="16"/>
    </w:rPr>
  </w:style>
  <w:style w:type="paragraph" w:customStyle="1" w:styleId="xl52827">
    <w:name w:val="xl52827"/>
    <w:basedOn w:val="Normal"/>
    <w:rsid w:val="00EF2957"/>
    <w:pPr>
      <w:spacing w:before="100" w:beforeAutospacing="1" w:after="100" w:afterAutospacing="1"/>
      <w:textAlignment w:val="center"/>
    </w:pPr>
    <w:rPr>
      <w:rFonts w:ascii="Segoe UI" w:hAnsi="Segoe UI" w:cs="Segoe UI"/>
      <w:sz w:val="16"/>
      <w:szCs w:val="16"/>
    </w:rPr>
  </w:style>
  <w:style w:type="paragraph" w:customStyle="1" w:styleId="xl52828">
    <w:name w:val="xl52828"/>
    <w:basedOn w:val="Normal"/>
    <w:rsid w:val="00EF2957"/>
    <w:pPr>
      <w:shd w:val="clear" w:color="000000" w:fill="BFBFBF"/>
      <w:spacing w:before="100" w:beforeAutospacing="1" w:after="100" w:afterAutospacing="1"/>
      <w:textAlignment w:val="center"/>
    </w:pPr>
    <w:rPr>
      <w:rFonts w:ascii="Segoe UI" w:hAnsi="Segoe UI" w:cs="Segoe UI"/>
      <w:sz w:val="16"/>
      <w:szCs w:val="16"/>
    </w:rPr>
  </w:style>
  <w:style w:type="paragraph" w:customStyle="1" w:styleId="xl52829">
    <w:name w:val="xl52829"/>
    <w:basedOn w:val="Normal"/>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0">
    <w:name w:val="xl52830"/>
    <w:basedOn w:val="Normal"/>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1">
    <w:name w:val="xl52831"/>
    <w:basedOn w:val="Normal"/>
    <w:rsid w:val="00EF2957"/>
    <w:pPr>
      <w:spacing w:before="100" w:beforeAutospacing="1" w:after="100" w:afterAutospacing="1"/>
      <w:textAlignment w:val="center"/>
    </w:pPr>
    <w:rPr>
      <w:rFonts w:ascii="Segoe UI" w:hAnsi="Segoe UI" w:cs="Segoe UI"/>
      <w:b/>
      <w:bCs/>
      <w:sz w:val="16"/>
      <w:szCs w:val="16"/>
    </w:rPr>
  </w:style>
  <w:style w:type="paragraph" w:customStyle="1" w:styleId="xl52832">
    <w:name w:val="xl52832"/>
    <w:basedOn w:val="Normal"/>
    <w:rsid w:val="00EF2957"/>
    <w:pPr>
      <w:shd w:val="clear" w:color="000000" w:fill="BFBFBF"/>
      <w:spacing w:before="100" w:beforeAutospacing="1" w:after="100" w:afterAutospacing="1"/>
      <w:textAlignment w:val="center"/>
    </w:pPr>
    <w:rPr>
      <w:rFonts w:ascii="Segoe UI" w:hAnsi="Segoe UI" w:cs="Segoe UI"/>
      <w:b/>
      <w:bCs/>
      <w:sz w:val="16"/>
      <w:szCs w:val="16"/>
    </w:rPr>
  </w:style>
  <w:style w:type="paragraph" w:customStyle="1" w:styleId="xl52833">
    <w:name w:val="xl52833"/>
    <w:basedOn w:val="Normal"/>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4">
    <w:name w:val="xl52834"/>
    <w:basedOn w:val="Normal"/>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5">
    <w:name w:val="xl52835"/>
    <w:basedOn w:val="Normal"/>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6">
    <w:name w:val="xl52836"/>
    <w:basedOn w:val="Normal"/>
    <w:rsid w:val="00EF2957"/>
    <w:pPr>
      <w:spacing w:before="100" w:beforeAutospacing="1" w:after="100" w:afterAutospacing="1"/>
      <w:textAlignment w:val="center"/>
    </w:pPr>
    <w:rPr>
      <w:rFonts w:ascii="Segoe UI" w:hAnsi="Segoe UI" w:cs="Segoe UI"/>
      <w:color w:val="C00000"/>
      <w:sz w:val="16"/>
      <w:szCs w:val="16"/>
    </w:rPr>
  </w:style>
  <w:style w:type="paragraph" w:customStyle="1" w:styleId="xl52837">
    <w:name w:val="xl52837"/>
    <w:basedOn w:val="Normal"/>
    <w:rsid w:val="00EF2957"/>
    <w:pPr>
      <w:pBdr>
        <w:left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8">
    <w:name w:val="xl52838"/>
    <w:basedOn w:val="Normal"/>
    <w:rsid w:val="00EF2957"/>
    <w:pPr>
      <w:pBdr>
        <w:left w:val="single" w:sz="4" w:space="0" w:color="auto"/>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9">
    <w:name w:val="xl52839"/>
    <w:basedOn w:val="Normal"/>
    <w:rsid w:val="00EF2957"/>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40">
    <w:name w:val="xl52840"/>
    <w:basedOn w:val="Normal"/>
    <w:rsid w:val="00EF2957"/>
    <w:pPr>
      <w:spacing w:before="100" w:beforeAutospacing="1" w:after="100" w:afterAutospacing="1"/>
      <w:textAlignment w:val="center"/>
    </w:pPr>
    <w:rPr>
      <w:rFonts w:ascii="Segoe UI" w:hAnsi="Segoe UI" w:cs="Segoe UI"/>
      <w:sz w:val="16"/>
      <w:szCs w:val="16"/>
    </w:rPr>
  </w:style>
  <w:style w:type="paragraph" w:customStyle="1" w:styleId="xl52841">
    <w:name w:val="xl52841"/>
    <w:basedOn w:val="Normal"/>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2">
    <w:name w:val="xl52842"/>
    <w:basedOn w:val="Normal"/>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3">
    <w:name w:val="xl52843"/>
    <w:basedOn w:val="Normal"/>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4">
    <w:name w:val="xl52844"/>
    <w:basedOn w:val="Normal"/>
    <w:rsid w:val="00EF2957"/>
    <w:pPr>
      <w:spacing w:before="100" w:beforeAutospacing="1" w:after="100" w:afterAutospacing="1"/>
      <w:jc w:val="center"/>
      <w:textAlignment w:val="center"/>
    </w:pPr>
    <w:rPr>
      <w:rFonts w:ascii="Segoe UI" w:hAnsi="Segoe UI" w:cs="Segoe UI"/>
      <w:sz w:val="16"/>
      <w:szCs w:val="16"/>
    </w:rPr>
  </w:style>
  <w:style w:type="paragraph" w:customStyle="1" w:styleId="xl52845">
    <w:name w:val="xl52845"/>
    <w:basedOn w:val="Normal"/>
    <w:rsid w:val="00EF2957"/>
    <w:pPr>
      <w:pBdr>
        <w:left w:val="single" w:sz="4"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846">
    <w:name w:val="xl52846"/>
    <w:basedOn w:val="Normal"/>
    <w:rsid w:val="00EF2957"/>
    <w:pPr>
      <w:pBdr>
        <w:left w:val="single" w:sz="4" w:space="0" w:color="auto"/>
        <w:right w:val="single" w:sz="8" w:space="0" w:color="auto"/>
      </w:pBdr>
      <w:spacing w:before="100" w:beforeAutospacing="1" w:after="100" w:afterAutospacing="1"/>
      <w:jc w:val="center"/>
    </w:pPr>
    <w:rPr>
      <w:rFonts w:ascii="Segoe UI" w:hAnsi="Segoe UI" w:cs="Segoe UI"/>
      <w:sz w:val="16"/>
      <w:szCs w:val="16"/>
    </w:rPr>
  </w:style>
  <w:style w:type="paragraph" w:customStyle="1" w:styleId="xl52847">
    <w:name w:val="xl52847"/>
    <w:basedOn w:val="Normal"/>
    <w:rsid w:val="00EF2957"/>
    <w:pPr>
      <w:pBdr>
        <w:left w:val="single" w:sz="4"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48">
    <w:name w:val="xl52848"/>
    <w:basedOn w:val="Normal"/>
    <w:rsid w:val="00EF2957"/>
    <w:pPr>
      <w:pBdr>
        <w:left w:val="single" w:sz="4" w:space="0" w:color="auto"/>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849">
    <w:name w:val="xl52849"/>
    <w:basedOn w:val="Normal"/>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0">
    <w:name w:val="xl52850"/>
    <w:basedOn w:val="Normal"/>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1">
    <w:name w:val="xl52851"/>
    <w:basedOn w:val="Normal"/>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2">
    <w:name w:val="xl52852"/>
    <w:basedOn w:val="Normal"/>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3">
    <w:name w:val="xl52853"/>
    <w:basedOn w:val="Normal"/>
    <w:rsid w:val="00EF2957"/>
    <w:pPr>
      <w:pBdr>
        <w:lef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54">
    <w:name w:val="xl52854"/>
    <w:basedOn w:val="Normal"/>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55">
    <w:name w:val="xl52855"/>
    <w:basedOn w:val="Normal"/>
    <w:rsid w:val="00EF2957"/>
    <w:pPr>
      <w:pBdr>
        <w:left w:val="single" w:sz="4" w:space="0" w:color="auto"/>
      </w:pBdr>
      <w:spacing w:before="100" w:beforeAutospacing="1" w:after="100" w:afterAutospacing="1"/>
      <w:jc w:val="center"/>
    </w:pPr>
    <w:rPr>
      <w:rFonts w:ascii="Segoe UI" w:hAnsi="Segoe UI" w:cs="Segoe UI"/>
      <w:sz w:val="16"/>
      <w:szCs w:val="16"/>
    </w:rPr>
  </w:style>
  <w:style w:type="paragraph" w:customStyle="1" w:styleId="xl52856">
    <w:name w:val="xl52856"/>
    <w:basedOn w:val="Normal"/>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7">
    <w:name w:val="xl52857"/>
    <w:basedOn w:val="Normal"/>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8">
    <w:name w:val="xl52858"/>
    <w:basedOn w:val="Normal"/>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9">
    <w:name w:val="xl52859"/>
    <w:basedOn w:val="Normal"/>
    <w:rsid w:val="00EF2957"/>
    <w:pP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860">
    <w:name w:val="xl52860"/>
    <w:basedOn w:val="Normal"/>
    <w:rsid w:val="00EF2957"/>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1">
    <w:name w:val="xl52861"/>
    <w:basedOn w:val="Normal"/>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2">
    <w:name w:val="xl52862"/>
    <w:basedOn w:val="Normal"/>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3">
    <w:name w:val="xl52863"/>
    <w:basedOn w:val="Normal"/>
    <w:rsid w:val="00EF2957"/>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4">
    <w:name w:val="xl52864"/>
    <w:basedOn w:val="Normal"/>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5">
    <w:name w:val="xl52865"/>
    <w:basedOn w:val="Normal"/>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6">
    <w:name w:val="xl52866"/>
    <w:basedOn w:val="Normal"/>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7">
    <w:name w:val="xl52867"/>
    <w:basedOn w:val="Normal"/>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8">
    <w:name w:val="xl52868"/>
    <w:basedOn w:val="Normal"/>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9">
    <w:name w:val="xl52869"/>
    <w:basedOn w:val="Normal"/>
    <w:rsid w:val="00EF2957"/>
    <w:pPr>
      <w:shd w:val="clear" w:color="000000" w:fill="A5A5A5"/>
      <w:spacing w:before="100" w:beforeAutospacing="1" w:after="100" w:afterAutospacing="1"/>
      <w:textAlignment w:val="center"/>
    </w:pPr>
    <w:rPr>
      <w:rFonts w:ascii="Segoe UI" w:hAnsi="Segoe UI" w:cs="Segoe UI"/>
      <w:color w:val="C00000"/>
      <w:sz w:val="16"/>
      <w:szCs w:val="16"/>
    </w:rPr>
  </w:style>
  <w:style w:type="paragraph" w:customStyle="1" w:styleId="xl52870">
    <w:name w:val="xl52870"/>
    <w:basedOn w:val="Normal"/>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71">
    <w:name w:val="xl52871"/>
    <w:basedOn w:val="Normal"/>
    <w:rsid w:val="00EF2957"/>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72">
    <w:name w:val="xl52872"/>
    <w:basedOn w:val="Normal"/>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3">
    <w:name w:val="xl52873"/>
    <w:basedOn w:val="Normal"/>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4">
    <w:name w:val="xl52874"/>
    <w:basedOn w:val="Normal"/>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5">
    <w:name w:val="xl52875"/>
    <w:basedOn w:val="Normal"/>
    <w:rsid w:val="00EF2957"/>
    <w:pPr>
      <w:pBdr>
        <w:left w:val="single" w:sz="8" w:space="0" w:color="auto"/>
      </w:pBd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76">
    <w:name w:val="xl52876"/>
    <w:basedOn w:val="Normal"/>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7">
    <w:name w:val="xl52877"/>
    <w:basedOn w:val="Normal"/>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8">
    <w:name w:val="xl52878"/>
    <w:basedOn w:val="Normal"/>
    <w:rsid w:val="00EF2957"/>
    <w:pPr>
      <w:pBdr>
        <w:left w:val="single" w:sz="8"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52879">
    <w:name w:val="xl52879"/>
    <w:basedOn w:val="Normal"/>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80">
    <w:name w:val="xl52880"/>
    <w:basedOn w:val="Normal"/>
    <w:rsid w:val="00EF2957"/>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81">
    <w:name w:val="xl52881"/>
    <w:basedOn w:val="Normal"/>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i/>
      <w:iCs/>
      <w:sz w:val="16"/>
      <w:szCs w:val="16"/>
    </w:rPr>
  </w:style>
  <w:style w:type="paragraph" w:customStyle="1" w:styleId="xl52882">
    <w:name w:val="xl52882"/>
    <w:basedOn w:val="Normal"/>
    <w:rsid w:val="00EF2957"/>
    <w:pPr>
      <w:pBdr>
        <w:left w:val="single" w:sz="8" w:space="0" w:color="auto"/>
      </w:pBdr>
      <w:spacing w:before="100" w:beforeAutospacing="1" w:after="100" w:afterAutospacing="1"/>
    </w:pPr>
    <w:rPr>
      <w:rFonts w:ascii="Segoe UI" w:hAnsi="Segoe UI" w:cs="Segoe UI"/>
      <w:sz w:val="16"/>
      <w:szCs w:val="16"/>
    </w:rPr>
  </w:style>
  <w:style w:type="paragraph" w:customStyle="1" w:styleId="xl52883">
    <w:name w:val="xl52883"/>
    <w:basedOn w:val="Normal"/>
    <w:rsid w:val="00EF2957"/>
    <w:pPr>
      <w:pBdr>
        <w:left w:val="single" w:sz="8" w:space="0" w:color="auto"/>
      </w:pBdr>
      <w:spacing w:before="100" w:beforeAutospacing="1" w:after="100" w:afterAutospacing="1"/>
    </w:pPr>
    <w:rPr>
      <w:rFonts w:ascii="Segoe UI" w:hAnsi="Segoe UI" w:cs="Segoe UI"/>
      <w:b/>
      <w:bCs/>
      <w:sz w:val="16"/>
      <w:szCs w:val="16"/>
    </w:rPr>
  </w:style>
  <w:style w:type="paragraph" w:customStyle="1" w:styleId="xl52884">
    <w:name w:val="xl52884"/>
    <w:basedOn w:val="Normal"/>
    <w:rsid w:val="00EF2957"/>
    <w:pPr>
      <w:pBdr>
        <w:left w:val="single" w:sz="8" w:space="0" w:color="auto"/>
      </w:pBdr>
      <w:spacing w:before="100" w:beforeAutospacing="1" w:after="100" w:afterAutospacing="1"/>
    </w:pPr>
    <w:rPr>
      <w:rFonts w:ascii="Segoe UI" w:hAnsi="Segoe UI" w:cs="Segoe UI"/>
      <w:sz w:val="16"/>
      <w:szCs w:val="16"/>
    </w:rPr>
  </w:style>
  <w:style w:type="paragraph" w:customStyle="1" w:styleId="xl52885">
    <w:name w:val="xl52885"/>
    <w:basedOn w:val="Normal"/>
    <w:rsid w:val="00EF2957"/>
    <w:pPr>
      <w:pBdr>
        <w:left w:val="single" w:sz="8" w:space="0" w:color="auto"/>
      </w:pBdr>
      <w:shd w:val="clear" w:color="000000" w:fill="FFFFFF"/>
      <w:spacing w:before="100" w:beforeAutospacing="1" w:after="100" w:afterAutospacing="1"/>
    </w:pPr>
    <w:rPr>
      <w:rFonts w:ascii="Segoe UI" w:hAnsi="Segoe UI" w:cs="Segoe UI"/>
      <w:b/>
      <w:bCs/>
      <w:i/>
      <w:iCs/>
      <w:sz w:val="16"/>
      <w:szCs w:val="16"/>
    </w:rPr>
  </w:style>
  <w:style w:type="paragraph" w:customStyle="1" w:styleId="xl52886">
    <w:name w:val="xl52886"/>
    <w:basedOn w:val="Normal"/>
    <w:rsid w:val="00EF2957"/>
    <w:pPr>
      <w:pBdr>
        <w:left w:val="single" w:sz="8" w:space="0" w:color="auto"/>
      </w:pBdr>
      <w:shd w:val="clear" w:color="000000" w:fill="FFFFFF"/>
      <w:spacing w:before="100" w:beforeAutospacing="1" w:after="100" w:afterAutospacing="1"/>
    </w:pPr>
    <w:rPr>
      <w:rFonts w:ascii="Segoe UI" w:hAnsi="Segoe UI" w:cs="Segoe UI"/>
      <w:b/>
      <w:bCs/>
      <w:sz w:val="16"/>
      <w:szCs w:val="16"/>
    </w:rPr>
  </w:style>
  <w:style w:type="paragraph" w:customStyle="1" w:styleId="xl52887">
    <w:name w:val="xl52887"/>
    <w:basedOn w:val="Normal"/>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88">
    <w:name w:val="xl52888"/>
    <w:basedOn w:val="Normal"/>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89">
    <w:name w:val="xl52889"/>
    <w:basedOn w:val="Normal"/>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0">
    <w:name w:val="xl52890"/>
    <w:basedOn w:val="Normal"/>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1">
    <w:name w:val="xl52891"/>
    <w:basedOn w:val="Normal"/>
    <w:rsid w:val="00EF2957"/>
    <w:pPr>
      <w:pBdr>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92">
    <w:name w:val="xl52892"/>
    <w:basedOn w:val="Normal"/>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93">
    <w:name w:val="xl52893"/>
    <w:basedOn w:val="Normal"/>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4">
    <w:name w:val="xl52894"/>
    <w:basedOn w:val="Normal"/>
    <w:rsid w:val="00EF2957"/>
    <w:pPr>
      <w:pBdr>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95">
    <w:name w:val="xl52895"/>
    <w:basedOn w:val="Normal"/>
    <w:rsid w:val="00EF2957"/>
    <w:pPr>
      <w:pBdr>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96">
    <w:name w:val="xl52896"/>
    <w:basedOn w:val="Normal"/>
    <w:rsid w:val="00EF2957"/>
    <w:pPr>
      <w:pBdr>
        <w:right w:val="single" w:sz="4" w:space="0" w:color="auto"/>
      </w:pBdr>
      <w:spacing w:before="100" w:beforeAutospacing="1" w:after="100" w:afterAutospacing="1"/>
      <w:jc w:val="center"/>
    </w:pPr>
    <w:rPr>
      <w:rFonts w:ascii="Segoe UI" w:hAnsi="Segoe UI" w:cs="Segoe UI"/>
      <w:sz w:val="16"/>
      <w:szCs w:val="16"/>
    </w:rPr>
  </w:style>
  <w:style w:type="paragraph" w:customStyle="1" w:styleId="xl52897">
    <w:name w:val="xl52897"/>
    <w:basedOn w:val="Normal"/>
    <w:rsid w:val="00EF2957"/>
    <w:pPr>
      <w:pBdr>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98">
    <w:name w:val="xl52898"/>
    <w:basedOn w:val="Normal"/>
    <w:rsid w:val="00EF2957"/>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99">
    <w:name w:val="xl52899"/>
    <w:basedOn w:val="Normal"/>
    <w:rsid w:val="00EF2957"/>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0">
    <w:name w:val="xl52900"/>
    <w:basedOn w:val="Normal"/>
    <w:rsid w:val="00EF2957"/>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1">
    <w:name w:val="xl52901"/>
    <w:basedOn w:val="Normal"/>
    <w:rsid w:val="00EF2957"/>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02">
    <w:name w:val="xl52902"/>
    <w:basedOn w:val="Normal"/>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3">
    <w:name w:val="xl52903"/>
    <w:basedOn w:val="Normal"/>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4">
    <w:name w:val="xl52904"/>
    <w:basedOn w:val="Normal"/>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5">
    <w:name w:val="xl52905"/>
    <w:basedOn w:val="Normal"/>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6">
    <w:name w:val="xl52906"/>
    <w:basedOn w:val="Normal"/>
    <w:rsid w:val="00EF2957"/>
    <w:pPr>
      <w:pBdr>
        <w:lef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07">
    <w:name w:val="xl52907"/>
    <w:basedOn w:val="Normal"/>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8">
    <w:name w:val="xl52908"/>
    <w:basedOn w:val="Normal"/>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9">
    <w:name w:val="xl52909"/>
    <w:basedOn w:val="Normal"/>
    <w:rsid w:val="00EF2957"/>
    <w:pPr>
      <w:pBdr>
        <w:lef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10">
    <w:name w:val="xl52910"/>
    <w:basedOn w:val="Normal"/>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1">
    <w:name w:val="xl52911"/>
    <w:basedOn w:val="Normal"/>
    <w:rsid w:val="00EF2957"/>
    <w:pPr>
      <w:pBdr>
        <w:left w:val="single" w:sz="8" w:space="0" w:color="auto"/>
      </w:pBdr>
      <w:spacing w:before="100" w:beforeAutospacing="1" w:after="100" w:afterAutospacing="1"/>
      <w:jc w:val="center"/>
    </w:pPr>
    <w:rPr>
      <w:rFonts w:ascii="Segoe UI" w:hAnsi="Segoe UI" w:cs="Segoe UI"/>
      <w:sz w:val="16"/>
      <w:szCs w:val="16"/>
    </w:rPr>
  </w:style>
  <w:style w:type="paragraph" w:customStyle="1" w:styleId="xl52912">
    <w:name w:val="xl52912"/>
    <w:basedOn w:val="Normal"/>
    <w:rsid w:val="00EF2957"/>
    <w:pPr>
      <w:pBdr>
        <w:lef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13">
    <w:name w:val="xl52913"/>
    <w:basedOn w:val="Normal"/>
    <w:rsid w:val="00EF2957"/>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4">
    <w:name w:val="xl52914"/>
    <w:basedOn w:val="Normal"/>
    <w:rsid w:val="00EF2957"/>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5">
    <w:name w:val="xl52915"/>
    <w:basedOn w:val="Normal"/>
    <w:rsid w:val="00EF2957"/>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6">
    <w:name w:val="xl52916"/>
    <w:basedOn w:val="Normal"/>
    <w:rsid w:val="00EF2957"/>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7">
    <w:name w:val="xl52917"/>
    <w:basedOn w:val="Normal"/>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8">
    <w:name w:val="xl52918"/>
    <w:basedOn w:val="Normal"/>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19">
    <w:name w:val="xl52919"/>
    <w:basedOn w:val="Normal"/>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0">
    <w:name w:val="xl52920"/>
    <w:basedOn w:val="Normal"/>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21">
    <w:name w:val="xl52921"/>
    <w:basedOn w:val="Normal"/>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22">
    <w:name w:val="xl52922"/>
    <w:basedOn w:val="Normal"/>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3">
    <w:name w:val="xl52923"/>
    <w:basedOn w:val="Normal"/>
    <w:rsid w:val="00EF2957"/>
    <w:pPr>
      <w:pBdr>
        <w:left w:val="single" w:sz="8"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24">
    <w:name w:val="xl52924"/>
    <w:basedOn w:val="Normal"/>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5">
    <w:name w:val="xl52925"/>
    <w:basedOn w:val="Normal"/>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6">
    <w:name w:val="xl52926"/>
    <w:basedOn w:val="Normal"/>
    <w:rsid w:val="00EF2957"/>
    <w:pPr>
      <w:pBdr>
        <w:left w:val="single" w:sz="8"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927">
    <w:name w:val="xl52927"/>
    <w:basedOn w:val="Normal"/>
    <w:rsid w:val="00EF2957"/>
    <w:pPr>
      <w:pBdr>
        <w:left w:val="single" w:sz="8"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28">
    <w:name w:val="xl52928"/>
    <w:basedOn w:val="Normal"/>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29">
    <w:name w:val="xl52929"/>
    <w:basedOn w:val="Normal"/>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0">
    <w:name w:val="xl52930"/>
    <w:basedOn w:val="Normal"/>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1">
    <w:name w:val="xl52931"/>
    <w:basedOn w:val="Normal"/>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2">
    <w:name w:val="xl52932"/>
    <w:basedOn w:val="Normal"/>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33">
    <w:name w:val="xl52933"/>
    <w:basedOn w:val="Normal"/>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4">
    <w:name w:val="xl52934"/>
    <w:basedOn w:val="Normal"/>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5">
    <w:name w:val="xl52935"/>
    <w:basedOn w:val="Normal"/>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6">
    <w:name w:val="xl52936"/>
    <w:basedOn w:val="Normal"/>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7">
    <w:name w:val="xl52937"/>
    <w:basedOn w:val="Normal"/>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8">
    <w:name w:val="xl52938"/>
    <w:basedOn w:val="Normal"/>
    <w:rsid w:val="00EF2957"/>
    <w:pPr>
      <w:pBdr>
        <w:lef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39">
    <w:name w:val="xl52939"/>
    <w:basedOn w:val="Normal"/>
    <w:rsid w:val="00EF2957"/>
    <w:pPr>
      <w:pBdr>
        <w:lef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40">
    <w:name w:val="xl52940"/>
    <w:basedOn w:val="Normal"/>
    <w:rsid w:val="00EF2957"/>
    <w:pPr>
      <w:pBdr>
        <w:lef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41">
    <w:name w:val="xl52941"/>
    <w:basedOn w:val="Normal"/>
    <w:rsid w:val="00EF2957"/>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2">
    <w:name w:val="xl52942"/>
    <w:basedOn w:val="Normal"/>
    <w:rsid w:val="00EF2957"/>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3">
    <w:name w:val="xl52943"/>
    <w:basedOn w:val="Normal"/>
    <w:rsid w:val="00EF2957"/>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4">
    <w:name w:val="xl52944"/>
    <w:basedOn w:val="Normal"/>
    <w:rsid w:val="00EF2957"/>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5">
    <w:name w:val="xl52945"/>
    <w:basedOn w:val="Normal"/>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6">
    <w:name w:val="xl52946"/>
    <w:basedOn w:val="Normal"/>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7">
    <w:name w:val="xl52947"/>
    <w:basedOn w:val="Normal"/>
    <w:rsid w:val="00EF2957"/>
    <w:pPr>
      <w:spacing w:before="100" w:beforeAutospacing="1" w:after="100" w:afterAutospacing="1"/>
      <w:jc w:val="center"/>
      <w:textAlignment w:val="center"/>
    </w:pPr>
    <w:rPr>
      <w:rFonts w:ascii="Segoe UI" w:hAnsi="Segoe UI" w:cs="Segoe UI"/>
      <w:sz w:val="16"/>
      <w:szCs w:val="16"/>
    </w:rPr>
  </w:style>
  <w:style w:type="paragraph" w:customStyle="1" w:styleId="xl52948">
    <w:name w:val="xl52948"/>
    <w:basedOn w:val="Normal"/>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49">
    <w:name w:val="xl52949"/>
    <w:basedOn w:val="Normal"/>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0">
    <w:name w:val="xl52950"/>
    <w:basedOn w:val="Normal"/>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1">
    <w:name w:val="xl52951"/>
    <w:basedOn w:val="Normal"/>
    <w:rsid w:val="00EF2957"/>
    <w:pPr>
      <w:pBdr>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52">
    <w:name w:val="xl52952"/>
    <w:basedOn w:val="Normal"/>
    <w:rsid w:val="00EF2957"/>
    <w:pPr>
      <w:pBdr>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53">
    <w:name w:val="xl52953"/>
    <w:basedOn w:val="Normal"/>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4">
    <w:name w:val="xl52954"/>
    <w:basedOn w:val="Normal"/>
    <w:rsid w:val="00EF2957"/>
    <w:pPr>
      <w:spacing w:before="100" w:beforeAutospacing="1" w:after="100" w:afterAutospacing="1"/>
      <w:jc w:val="center"/>
      <w:textAlignment w:val="center"/>
    </w:pPr>
    <w:rPr>
      <w:rFonts w:ascii="Segoe UI" w:hAnsi="Segoe UI" w:cs="Segoe UI"/>
      <w:b/>
      <w:bCs/>
      <w:sz w:val="16"/>
      <w:szCs w:val="16"/>
    </w:rPr>
  </w:style>
  <w:style w:type="paragraph" w:customStyle="1" w:styleId="xl52955">
    <w:name w:val="xl52955"/>
    <w:basedOn w:val="Normal"/>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56">
    <w:name w:val="xl52956"/>
    <w:basedOn w:val="Normal"/>
    <w:rsid w:val="00EF2957"/>
    <w:pPr>
      <w:pBdr>
        <w:right w:val="single" w:sz="8" w:space="0" w:color="auto"/>
      </w:pBdr>
      <w:spacing w:before="100" w:beforeAutospacing="1" w:after="100" w:afterAutospacing="1"/>
      <w:jc w:val="center"/>
    </w:pPr>
    <w:rPr>
      <w:rFonts w:ascii="Segoe UI" w:hAnsi="Segoe UI" w:cs="Segoe UI"/>
      <w:sz w:val="16"/>
      <w:szCs w:val="16"/>
    </w:rPr>
  </w:style>
  <w:style w:type="paragraph" w:customStyle="1" w:styleId="xl52957">
    <w:name w:val="xl52957"/>
    <w:basedOn w:val="Normal"/>
    <w:rsid w:val="00EF2957"/>
    <w:pPr>
      <w:spacing w:before="100" w:beforeAutospacing="1" w:after="100" w:afterAutospacing="1"/>
      <w:jc w:val="center"/>
    </w:pPr>
    <w:rPr>
      <w:rFonts w:ascii="Segoe UI" w:hAnsi="Segoe UI" w:cs="Segoe UI"/>
      <w:sz w:val="16"/>
      <w:szCs w:val="16"/>
    </w:rPr>
  </w:style>
  <w:style w:type="paragraph" w:customStyle="1" w:styleId="xl52958">
    <w:name w:val="xl52958"/>
    <w:basedOn w:val="Normal"/>
    <w:rsid w:val="00EF2957"/>
    <w:pPr>
      <w:pBdr>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59">
    <w:name w:val="xl52959"/>
    <w:basedOn w:val="Normal"/>
    <w:rsid w:val="00EF2957"/>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0">
    <w:name w:val="xl52960"/>
    <w:basedOn w:val="Normal"/>
    <w:rsid w:val="00EF2957"/>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1">
    <w:name w:val="xl52961"/>
    <w:basedOn w:val="Normal"/>
    <w:rsid w:val="00EF2957"/>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2">
    <w:name w:val="xl52962"/>
    <w:basedOn w:val="Normal"/>
    <w:rsid w:val="00EF2957"/>
    <w:pPr>
      <w:pBdr>
        <w:top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63">
    <w:name w:val="xl52963"/>
    <w:basedOn w:val="Normal"/>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4">
    <w:name w:val="xl52964"/>
    <w:basedOn w:val="Normal"/>
    <w:rsid w:val="00EF2957"/>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5">
    <w:name w:val="xl52965"/>
    <w:basedOn w:val="Normal"/>
    <w:rsid w:val="00EF2957"/>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6">
    <w:name w:val="xl52966"/>
    <w:basedOn w:val="Normal"/>
    <w:rsid w:val="00EF2957"/>
    <w:pPr>
      <w:spacing w:before="100" w:beforeAutospacing="1" w:after="100" w:afterAutospacing="1"/>
      <w:jc w:val="center"/>
      <w:textAlignment w:val="center"/>
    </w:pPr>
    <w:rPr>
      <w:rFonts w:ascii="Segoe UI" w:hAnsi="Segoe UI" w:cs="Segoe UI"/>
      <w:sz w:val="16"/>
      <w:szCs w:val="16"/>
    </w:rPr>
  </w:style>
  <w:style w:type="paragraph" w:customStyle="1" w:styleId="xl52967">
    <w:name w:val="xl52967"/>
    <w:basedOn w:val="Normal"/>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8">
    <w:name w:val="xl52968"/>
    <w:basedOn w:val="Normal"/>
    <w:rsid w:val="00EF2957"/>
    <w:pP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69">
    <w:name w:val="xl52969"/>
    <w:basedOn w:val="Normal"/>
    <w:rsid w:val="00EF2957"/>
    <w:pPr>
      <w:spacing w:before="100" w:beforeAutospacing="1" w:after="100" w:afterAutospacing="1"/>
      <w:jc w:val="center"/>
    </w:pPr>
    <w:rPr>
      <w:rFonts w:ascii="Segoe UI" w:hAnsi="Segoe UI" w:cs="Segoe UI"/>
      <w:b/>
      <w:bCs/>
      <w:sz w:val="16"/>
      <w:szCs w:val="16"/>
    </w:rPr>
  </w:style>
  <w:style w:type="paragraph" w:customStyle="1" w:styleId="xl52970">
    <w:name w:val="xl52970"/>
    <w:basedOn w:val="Normal"/>
    <w:rsid w:val="00EF2957"/>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1">
    <w:name w:val="xl52971"/>
    <w:basedOn w:val="Normal"/>
    <w:rsid w:val="00EF2957"/>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72">
    <w:name w:val="xl52972"/>
    <w:basedOn w:val="Normal"/>
    <w:rsid w:val="00EF2957"/>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3">
    <w:name w:val="xl52973"/>
    <w:basedOn w:val="Normal"/>
    <w:rsid w:val="00EF2957"/>
    <w:pPr>
      <w:pBdr>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74">
    <w:name w:val="xl52974"/>
    <w:basedOn w:val="Normal"/>
    <w:rsid w:val="00EF2957"/>
    <w:pPr>
      <w:spacing w:before="100" w:beforeAutospacing="1" w:after="100" w:afterAutospacing="1"/>
      <w:jc w:val="center"/>
      <w:textAlignment w:val="center"/>
    </w:pPr>
    <w:rPr>
      <w:rFonts w:ascii="Segoe UI" w:hAnsi="Segoe UI" w:cs="Segoe UI"/>
      <w:color w:val="FFFFFF"/>
      <w:sz w:val="16"/>
      <w:szCs w:val="16"/>
    </w:rPr>
  </w:style>
  <w:style w:type="paragraph" w:customStyle="1" w:styleId="xl52975">
    <w:name w:val="xl52975"/>
    <w:basedOn w:val="Normal"/>
    <w:rsid w:val="00EF2957"/>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6">
    <w:name w:val="xl52976"/>
    <w:basedOn w:val="Normal"/>
    <w:rsid w:val="00EF2957"/>
    <w:pPr>
      <w:pBdr>
        <w:top w:val="single" w:sz="8" w:space="0" w:color="auto"/>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7">
    <w:name w:val="xl52977"/>
    <w:basedOn w:val="Normal"/>
    <w:rsid w:val="00EF2957"/>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8">
    <w:name w:val="xl52978"/>
    <w:basedOn w:val="Normal"/>
    <w:rsid w:val="00EF2957"/>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79">
    <w:name w:val="xl52979"/>
    <w:basedOn w:val="Normal"/>
    <w:rsid w:val="00EF2957"/>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0">
    <w:name w:val="xl52980"/>
    <w:basedOn w:val="Normal"/>
    <w:rsid w:val="00EF2957"/>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1">
    <w:name w:val="xl52981"/>
    <w:basedOn w:val="Normal"/>
    <w:rsid w:val="00EF2957"/>
    <w:pPr>
      <w:pBdr>
        <w:top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82">
    <w:name w:val="xl52982"/>
    <w:basedOn w:val="Normal"/>
    <w:rsid w:val="00EF2957"/>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3">
    <w:name w:val="xl52983"/>
    <w:basedOn w:val="Normal"/>
    <w:rsid w:val="00EF2957"/>
    <w:pPr>
      <w:pBdr>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84">
    <w:name w:val="xl52984"/>
    <w:basedOn w:val="Normal"/>
    <w:rsid w:val="00EF2957"/>
    <w:pPr>
      <w:pBdr>
        <w:left w:val="single" w:sz="8" w:space="0" w:color="auto"/>
      </w:pBdr>
      <w:shd w:val="clear" w:color="000000" w:fill="A5A5A5"/>
      <w:spacing w:before="100" w:beforeAutospacing="1" w:after="100" w:afterAutospacing="1"/>
    </w:pPr>
    <w:rPr>
      <w:rFonts w:ascii="Segoe UI" w:hAnsi="Segoe UI" w:cs="Segoe UI"/>
      <w:b/>
      <w:bCs/>
      <w:sz w:val="16"/>
      <w:szCs w:val="16"/>
    </w:rPr>
  </w:style>
  <w:style w:type="paragraph" w:customStyle="1" w:styleId="xl52985">
    <w:name w:val="xl52985"/>
    <w:basedOn w:val="Normal"/>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6">
    <w:name w:val="xl52986"/>
    <w:basedOn w:val="Normal"/>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7">
    <w:name w:val="xl52987"/>
    <w:basedOn w:val="Normal"/>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8">
    <w:name w:val="xl52988"/>
    <w:basedOn w:val="Normal"/>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9">
    <w:name w:val="xl52989"/>
    <w:basedOn w:val="Normal"/>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0">
    <w:name w:val="xl52990"/>
    <w:basedOn w:val="Normal"/>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1">
    <w:name w:val="xl52991"/>
    <w:basedOn w:val="Normal"/>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2">
    <w:name w:val="xl52992"/>
    <w:basedOn w:val="Normal"/>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3">
    <w:name w:val="xl52993"/>
    <w:basedOn w:val="Normal"/>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4">
    <w:name w:val="xl52994"/>
    <w:basedOn w:val="Normal"/>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5">
    <w:name w:val="xl52995"/>
    <w:basedOn w:val="Normal"/>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6">
    <w:name w:val="xl52996"/>
    <w:basedOn w:val="Normal"/>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7">
    <w:name w:val="xl52997"/>
    <w:basedOn w:val="Normal"/>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8">
    <w:name w:val="xl52998"/>
    <w:basedOn w:val="Normal"/>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9">
    <w:name w:val="xl52999"/>
    <w:basedOn w:val="Normal"/>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0">
    <w:name w:val="xl53000"/>
    <w:basedOn w:val="Normal"/>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1">
    <w:name w:val="xl53001"/>
    <w:basedOn w:val="Normal"/>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2">
    <w:name w:val="xl53002"/>
    <w:basedOn w:val="Normal"/>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3">
    <w:name w:val="xl53003"/>
    <w:basedOn w:val="Normal"/>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4">
    <w:name w:val="xl53004"/>
    <w:basedOn w:val="Normal"/>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5">
    <w:name w:val="xl53005"/>
    <w:basedOn w:val="Normal"/>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6">
    <w:name w:val="xl53006"/>
    <w:basedOn w:val="Normal"/>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7">
    <w:name w:val="xl53007"/>
    <w:basedOn w:val="Normal"/>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8">
    <w:name w:val="xl53008"/>
    <w:basedOn w:val="Normal"/>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9">
    <w:name w:val="xl53009"/>
    <w:basedOn w:val="Normal"/>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0">
    <w:name w:val="xl53010"/>
    <w:basedOn w:val="Normal"/>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1">
    <w:name w:val="xl53011"/>
    <w:basedOn w:val="Normal"/>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2">
    <w:name w:val="xl53012"/>
    <w:basedOn w:val="Normal"/>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3">
    <w:name w:val="xl53013"/>
    <w:basedOn w:val="Normal"/>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4">
    <w:name w:val="xl53014"/>
    <w:basedOn w:val="Normal"/>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5">
    <w:name w:val="xl53015"/>
    <w:basedOn w:val="Normal"/>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6">
    <w:name w:val="xl53016"/>
    <w:basedOn w:val="Normal"/>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7">
    <w:name w:val="xl53017"/>
    <w:basedOn w:val="Normal"/>
    <w:rsid w:val="00EF2957"/>
    <w:pPr>
      <w:pBdr>
        <w:left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18">
    <w:name w:val="xl53018"/>
    <w:basedOn w:val="Normal"/>
    <w:rsid w:val="00EF2957"/>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9">
    <w:name w:val="xl53019"/>
    <w:basedOn w:val="Normal"/>
    <w:rsid w:val="00EF2957"/>
    <w:pPr>
      <w:pBdr>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0">
    <w:name w:val="xl53020"/>
    <w:basedOn w:val="Normal"/>
    <w:rsid w:val="00EF2957"/>
    <w:pPr>
      <w:pBdr>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1">
    <w:name w:val="xl53021"/>
    <w:basedOn w:val="Normal"/>
    <w:rsid w:val="00EF2957"/>
    <w:pPr>
      <w:pBdr>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2">
    <w:name w:val="xl53022"/>
    <w:basedOn w:val="Normal"/>
    <w:rsid w:val="00EF2957"/>
    <w:pPr>
      <w:pBdr>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3">
    <w:name w:val="xl53023"/>
    <w:basedOn w:val="Normal"/>
    <w:rsid w:val="00EF2957"/>
    <w:pPr>
      <w:pBdr>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4">
    <w:name w:val="xl53024"/>
    <w:basedOn w:val="Normal"/>
    <w:rsid w:val="00EF2957"/>
    <w:pPr>
      <w:pBdr>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5">
    <w:name w:val="xl53025"/>
    <w:basedOn w:val="Normal"/>
    <w:rsid w:val="00EF2957"/>
    <w:pPr>
      <w:pBdr>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6">
    <w:name w:val="xl53026"/>
    <w:basedOn w:val="Normal"/>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27">
    <w:name w:val="xl53027"/>
    <w:basedOn w:val="Normal"/>
    <w:rsid w:val="00EF2957"/>
    <w:pPr>
      <w:pBdr>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53028">
    <w:name w:val="xl53028"/>
    <w:basedOn w:val="Normal"/>
    <w:rsid w:val="00EF2957"/>
    <w:pPr>
      <w:pBdr>
        <w:left w:val="single" w:sz="8" w:space="0" w:color="auto"/>
      </w:pBdr>
      <w:spacing w:before="100" w:beforeAutospacing="1" w:after="100" w:afterAutospacing="1"/>
      <w:textAlignment w:val="center"/>
    </w:pPr>
    <w:rPr>
      <w:rFonts w:ascii="Segoe UI" w:hAnsi="Segoe UI" w:cs="Segoe UI"/>
      <w:color w:val="FFFFFF"/>
      <w:sz w:val="16"/>
      <w:szCs w:val="16"/>
    </w:rPr>
  </w:style>
  <w:style w:type="paragraph" w:customStyle="1" w:styleId="xl53029">
    <w:name w:val="xl53029"/>
    <w:basedOn w:val="Normal"/>
    <w:rsid w:val="00EF2957"/>
    <w:pPr>
      <w:pBdr>
        <w:lef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3030">
    <w:name w:val="xl53030"/>
    <w:basedOn w:val="Normal"/>
    <w:rsid w:val="00EF2957"/>
    <w:pPr>
      <w:spacing w:before="100" w:beforeAutospacing="1" w:after="100" w:afterAutospacing="1"/>
      <w:textAlignment w:val="center"/>
    </w:pPr>
    <w:rPr>
      <w:rFonts w:ascii="Segoe UI" w:hAnsi="Segoe UI" w:cs="Segoe UI"/>
      <w:color w:val="FFFFFF"/>
      <w:sz w:val="16"/>
      <w:szCs w:val="16"/>
    </w:rPr>
  </w:style>
  <w:style w:type="paragraph" w:customStyle="1" w:styleId="xl53031">
    <w:name w:val="xl53031"/>
    <w:basedOn w:val="Normal"/>
    <w:rsid w:val="00EF2957"/>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2">
    <w:name w:val="xl53032"/>
    <w:basedOn w:val="Normal"/>
    <w:rsid w:val="00EF2957"/>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3">
    <w:name w:val="xl53033"/>
    <w:basedOn w:val="Normal"/>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0000"/>
      <w:sz w:val="16"/>
      <w:szCs w:val="16"/>
    </w:rPr>
  </w:style>
  <w:style w:type="paragraph" w:customStyle="1" w:styleId="xl53034">
    <w:name w:val="xl53034"/>
    <w:basedOn w:val="Normal"/>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color w:val="FF0000"/>
      <w:sz w:val="16"/>
      <w:szCs w:val="16"/>
    </w:rPr>
  </w:style>
  <w:style w:type="paragraph" w:customStyle="1" w:styleId="xl53035">
    <w:name w:val="xl53035"/>
    <w:basedOn w:val="Normal"/>
    <w:rsid w:val="00EF2957"/>
    <w:pPr>
      <w:pBdr>
        <w:top w:val="single" w:sz="8" w:space="0" w:color="auto"/>
      </w:pBd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6">
    <w:name w:val="xl53036"/>
    <w:basedOn w:val="Normal"/>
    <w:rsid w:val="00EF2957"/>
    <w:pP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7">
    <w:name w:val="xl53037"/>
    <w:basedOn w:val="Normal"/>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3038">
    <w:name w:val="xl53038"/>
    <w:basedOn w:val="Normal"/>
    <w:rsid w:val="00EF2957"/>
    <w:pPr>
      <w:pBdr>
        <w:top w:val="single" w:sz="8" w:space="0" w:color="auto"/>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39">
    <w:name w:val="xl53039"/>
    <w:basedOn w:val="Normal"/>
    <w:rsid w:val="00EF2957"/>
    <w:pPr>
      <w:pBdr>
        <w:top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0">
    <w:name w:val="xl53040"/>
    <w:basedOn w:val="Normal"/>
    <w:rsid w:val="00EF2957"/>
    <w:pPr>
      <w:pBdr>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1">
    <w:name w:val="xl53041"/>
    <w:basedOn w:val="Normal"/>
    <w:rsid w:val="00EF2957"/>
    <w:pP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2">
    <w:name w:val="xl53042"/>
    <w:basedOn w:val="Normal"/>
    <w:rsid w:val="00EF2957"/>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3">
    <w:name w:val="xl53043"/>
    <w:basedOn w:val="Normal"/>
    <w:rsid w:val="00EF2957"/>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4">
    <w:name w:val="xl53044"/>
    <w:basedOn w:val="Normal"/>
    <w:rsid w:val="00EF2957"/>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5">
    <w:name w:val="xl53045"/>
    <w:basedOn w:val="Normal"/>
    <w:rsid w:val="00EF2957"/>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6">
    <w:name w:val="xl53046"/>
    <w:basedOn w:val="Normal"/>
    <w:rsid w:val="00EF2957"/>
    <w:pPr>
      <w:pBdr>
        <w:bottom w:val="single" w:sz="8" w:space="0" w:color="auto"/>
      </w:pBdr>
      <w:spacing w:before="100" w:beforeAutospacing="1" w:after="100" w:afterAutospacing="1"/>
      <w:textAlignment w:val="center"/>
    </w:pPr>
    <w:rPr>
      <w:rFonts w:ascii="Segoe UI" w:hAnsi="Segoe UI" w:cs="Segoe UI"/>
      <w:i/>
      <w:iCs/>
      <w:sz w:val="16"/>
      <w:szCs w:val="16"/>
    </w:rPr>
  </w:style>
  <w:style w:type="paragraph" w:customStyle="1" w:styleId="xl53047">
    <w:name w:val="xl53047"/>
    <w:basedOn w:val="Normal"/>
    <w:rsid w:val="00EF2957"/>
    <w:pPr>
      <w:pBdr>
        <w:bottom w:val="single" w:sz="8" w:space="0" w:color="auto"/>
      </w:pBdr>
      <w:spacing w:before="100" w:beforeAutospacing="1" w:after="100" w:afterAutospacing="1"/>
      <w:jc w:val="center"/>
      <w:textAlignment w:val="center"/>
    </w:pPr>
    <w:rPr>
      <w:rFonts w:ascii="Segoe UI" w:hAnsi="Segoe UI" w:cs="Segoe UI"/>
      <w:i/>
      <w:iCs/>
      <w:sz w:val="16"/>
      <w:szCs w:val="16"/>
    </w:rPr>
  </w:style>
  <w:style w:type="paragraph" w:styleId="BodyTextFirstIndent">
    <w:name w:val="Body Text First Indent"/>
    <w:basedOn w:val="BodyText"/>
    <w:link w:val="BodyTextFirstIndentChar"/>
    <w:uiPriority w:val="99"/>
    <w:rsid w:val="00BA4CBC"/>
    <w:pPr>
      <w:spacing w:after="120"/>
      <w:ind w:firstLine="210"/>
      <w:jc w:val="left"/>
    </w:pPr>
    <w:rPr>
      <w:sz w:val="20"/>
      <w:szCs w:val="20"/>
      <w:lang w:eastAsia="en-US"/>
    </w:rPr>
  </w:style>
  <w:style w:type="character" w:customStyle="1" w:styleId="BodyTextFirstIndentChar">
    <w:name w:val="Body Text First Indent Char"/>
    <w:basedOn w:val="BodyTextChar"/>
    <w:link w:val="BodyTextFirstIndent"/>
    <w:uiPriority w:val="99"/>
    <w:rsid w:val="00BA4CBC"/>
    <w:rPr>
      <w:sz w:val="22"/>
      <w:szCs w:val="22"/>
      <w:lang w:eastAsia="en-US"/>
    </w:rPr>
  </w:style>
  <w:style w:type="paragraph" w:styleId="Revision">
    <w:name w:val="Revision"/>
    <w:hidden/>
    <w:uiPriority w:val="99"/>
    <w:semiHidden/>
    <w:rsid w:val="00700C67"/>
    <w:rPr>
      <w:sz w:val="24"/>
      <w:szCs w:val="24"/>
    </w:rPr>
  </w:style>
  <w:style w:type="paragraph" w:customStyle="1" w:styleId="xl123">
    <w:name w:val="xl123"/>
    <w:basedOn w:val="Normal"/>
    <w:rsid w:val="009566E0"/>
    <w:pPr>
      <w:shd w:val="clear" w:color="000000" w:fill="FFFFFF"/>
      <w:spacing w:before="100" w:beforeAutospacing="1" w:after="100" w:afterAutospacing="1"/>
    </w:pPr>
    <w:rPr>
      <w:rFonts w:ascii="Arial Narrow" w:hAnsi="Arial Narrow"/>
    </w:rPr>
  </w:style>
  <w:style w:type="paragraph" w:customStyle="1" w:styleId="xl124">
    <w:name w:val="xl124"/>
    <w:basedOn w:val="Normal"/>
    <w:rsid w:val="00956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rPr>
  </w:style>
  <w:style w:type="paragraph" w:customStyle="1" w:styleId="xl125">
    <w:name w:val="xl125"/>
    <w:basedOn w:val="Normal"/>
    <w:rsid w:val="00956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i/>
      <w:iCs/>
      <w:sz w:val="16"/>
      <w:szCs w:val="16"/>
    </w:rPr>
  </w:style>
  <w:style w:type="paragraph" w:customStyle="1" w:styleId="xl126">
    <w:name w:val="xl126"/>
    <w:basedOn w:val="Normal"/>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27">
    <w:name w:val="xl127"/>
    <w:basedOn w:val="Normal"/>
    <w:rsid w:val="00956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28">
    <w:name w:val="xl128"/>
    <w:basedOn w:val="Normal"/>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129">
    <w:name w:val="xl129"/>
    <w:basedOn w:val="Normal"/>
    <w:rsid w:val="00956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16"/>
      <w:szCs w:val="16"/>
    </w:rPr>
  </w:style>
  <w:style w:type="paragraph" w:customStyle="1" w:styleId="xl130">
    <w:name w:val="xl130"/>
    <w:basedOn w:val="Normal"/>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131">
    <w:name w:val="xl131"/>
    <w:basedOn w:val="Normal"/>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s>
</file>

<file path=word/webSettings.xml><?xml version="1.0" encoding="utf-8"?>
<w:webSettings xmlns:r="http://schemas.openxmlformats.org/officeDocument/2006/relationships" xmlns:w="http://schemas.openxmlformats.org/wordprocessingml/2006/main">
  <w:divs>
    <w:div w:id="20667946">
      <w:bodyDiv w:val="1"/>
      <w:marLeft w:val="0"/>
      <w:marRight w:val="0"/>
      <w:marTop w:val="0"/>
      <w:marBottom w:val="0"/>
      <w:divBdr>
        <w:top w:val="none" w:sz="0" w:space="0" w:color="auto"/>
        <w:left w:val="none" w:sz="0" w:space="0" w:color="auto"/>
        <w:bottom w:val="none" w:sz="0" w:space="0" w:color="auto"/>
        <w:right w:val="none" w:sz="0" w:space="0" w:color="auto"/>
      </w:divBdr>
    </w:div>
    <w:div w:id="47919311">
      <w:bodyDiv w:val="1"/>
      <w:marLeft w:val="0"/>
      <w:marRight w:val="0"/>
      <w:marTop w:val="0"/>
      <w:marBottom w:val="0"/>
      <w:divBdr>
        <w:top w:val="none" w:sz="0" w:space="0" w:color="auto"/>
        <w:left w:val="none" w:sz="0" w:space="0" w:color="auto"/>
        <w:bottom w:val="none" w:sz="0" w:space="0" w:color="auto"/>
        <w:right w:val="none" w:sz="0" w:space="0" w:color="auto"/>
      </w:divBdr>
    </w:div>
    <w:div w:id="54084980">
      <w:bodyDiv w:val="1"/>
      <w:marLeft w:val="0"/>
      <w:marRight w:val="0"/>
      <w:marTop w:val="0"/>
      <w:marBottom w:val="0"/>
      <w:divBdr>
        <w:top w:val="none" w:sz="0" w:space="0" w:color="auto"/>
        <w:left w:val="none" w:sz="0" w:space="0" w:color="auto"/>
        <w:bottom w:val="none" w:sz="0" w:space="0" w:color="auto"/>
        <w:right w:val="none" w:sz="0" w:space="0" w:color="auto"/>
      </w:divBdr>
    </w:div>
    <w:div w:id="58796521">
      <w:bodyDiv w:val="1"/>
      <w:marLeft w:val="0"/>
      <w:marRight w:val="0"/>
      <w:marTop w:val="0"/>
      <w:marBottom w:val="0"/>
      <w:divBdr>
        <w:top w:val="none" w:sz="0" w:space="0" w:color="auto"/>
        <w:left w:val="none" w:sz="0" w:space="0" w:color="auto"/>
        <w:bottom w:val="none" w:sz="0" w:space="0" w:color="auto"/>
        <w:right w:val="none" w:sz="0" w:space="0" w:color="auto"/>
      </w:divBdr>
    </w:div>
    <w:div w:id="82385496">
      <w:bodyDiv w:val="1"/>
      <w:marLeft w:val="0"/>
      <w:marRight w:val="0"/>
      <w:marTop w:val="0"/>
      <w:marBottom w:val="0"/>
      <w:divBdr>
        <w:top w:val="none" w:sz="0" w:space="0" w:color="auto"/>
        <w:left w:val="none" w:sz="0" w:space="0" w:color="auto"/>
        <w:bottom w:val="none" w:sz="0" w:space="0" w:color="auto"/>
        <w:right w:val="none" w:sz="0" w:space="0" w:color="auto"/>
      </w:divBdr>
    </w:div>
    <w:div w:id="138310505">
      <w:bodyDiv w:val="1"/>
      <w:marLeft w:val="0"/>
      <w:marRight w:val="0"/>
      <w:marTop w:val="0"/>
      <w:marBottom w:val="0"/>
      <w:divBdr>
        <w:top w:val="none" w:sz="0" w:space="0" w:color="auto"/>
        <w:left w:val="none" w:sz="0" w:space="0" w:color="auto"/>
        <w:bottom w:val="none" w:sz="0" w:space="0" w:color="auto"/>
        <w:right w:val="none" w:sz="0" w:space="0" w:color="auto"/>
      </w:divBdr>
    </w:div>
    <w:div w:id="160969857">
      <w:bodyDiv w:val="1"/>
      <w:marLeft w:val="0"/>
      <w:marRight w:val="0"/>
      <w:marTop w:val="0"/>
      <w:marBottom w:val="0"/>
      <w:divBdr>
        <w:top w:val="none" w:sz="0" w:space="0" w:color="auto"/>
        <w:left w:val="none" w:sz="0" w:space="0" w:color="auto"/>
        <w:bottom w:val="none" w:sz="0" w:space="0" w:color="auto"/>
        <w:right w:val="none" w:sz="0" w:space="0" w:color="auto"/>
      </w:divBdr>
    </w:div>
    <w:div w:id="170680019">
      <w:bodyDiv w:val="1"/>
      <w:marLeft w:val="0"/>
      <w:marRight w:val="0"/>
      <w:marTop w:val="0"/>
      <w:marBottom w:val="0"/>
      <w:divBdr>
        <w:top w:val="none" w:sz="0" w:space="0" w:color="auto"/>
        <w:left w:val="none" w:sz="0" w:space="0" w:color="auto"/>
        <w:bottom w:val="none" w:sz="0" w:space="0" w:color="auto"/>
        <w:right w:val="none" w:sz="0" w:space="0" w:color="auto"/>
      </w:divBdr>
    </w:div>
    <w:div w:id="184439433">
      <w:bodyDiv w:val="1"/>
      <w:marLeft w:val="0"/>
      <w:marRight w:val="0"/>
      <w:marTop w:val="0"/>
      <w:marBottom w:val="0"/>
      <w:divBdr>
        <w:top w:val="none" w:sz="0" w:space="0" w:color="auto"/>
        <w:left w:val="none" w:sz="0" w:space="0" w:color="auto"/>
        <w:bottom w:val="none" w:sz="0" w:space="0" w:color="auto"/>
        <w:right w:val="none" w:sz="0" w:space="0" w:color="auto"/>
      </w:divBdr>
    </w:div>
    <w:div w:id="191649147">
      <w:bodyDiv w:val="1"/>
      <w:marLeft w:val="0"/>
      <w:marRight w:val="0"/>
      <w:marTop w:val="0"/>
      <w:marBottom w:val="0"/>
      <w:divBdr>
        <w:top w:val="none" w:sz="0" w:space="0" w:color="auto"/>
        <w:left w:val="none" w:sz="0" w:space="0" w:color="auto"/>
        <w:bottom w:val="none" w:sz="0" w:space="0" w:color="auto"/>
        <w:right w:val="none" w:sz="0" w:space="0" w:color="auto"/>
      </w:divBdr>
    </w:div>
    <w:div w:id="281115634">
      <w:bodyDiv w:val="1"/>
      <w:marLeft w:val="0"/>
      <w:marRight w:val="0"/>
      <w:marTop w:val="0"/>
      <w:marBottom w:val="0"/>
      <w:divBdr>
        <w:top w:val="none" w:sz="0" w:space="0" w:color="auto"/>
        <w:left w:val="none" w:sz="0" w:space="0" w:color="auto"/>
        <w:bottom w:val="none" w:sz="0" w:space="0" w:color="auto"/>
        <w:right w:val="none" w:sz="0" w:space="0" w:color="auto"/>
      </w:divBdr>
    </w:div>
    <w:div w:id="430587806">
      <w:bodyDiv w:val="1"/>
      <w:marLeft w:val="0"/>
      <w:marRight w:val="0"/>
      <w:marTop w:val="0"/>
      <w:marBottom w:val="0"/>
      <w:divBdr>
        <w:top w:val="none" w:sz="0" w:space="0" w:color="auto"/>
        <w:left w:val="none" w:sz="0" w:space="0" w:color="auto"/>
        <w:bottom w:val="none" w:sz="0" w:space="0" w:color="auto"/>
        <w:right w:val="none" w:sz="0" w:space="0" w:color="auto"/>
      </w:divBdr>
    </w:div>
    <w:div w:id="438182309">
      <w:bodyDiv w:val="1"/>
      <w:marLeft w:val="0"/>
      <w:marRight w:val="0"/>
      <w:marTop w:val="0"/>
      <w:marBottom w:val="0"/>
      <w:divBdr>
        <w:top w:val="none" w:sz="0" w:space="0" w:color="auto"/>
        <w:left w:val="none" w:sz="0" w:space="0" w:color="auto"/>
        <w:bottom w:val="none" w:sz="0" w:space="0" w:color="auto"/>
        <w:right w:val="none" w:sz="0" w:space="0" w:color="auto"/>
      </w:divBdr>
    </w:div>
    <w:div w:id="454445890">
      <w:bodyDiv w:val="1"/>
      <w:marLeft w:val="0"/>
      <w:marRight w:val="0"/>
      <w:marTop w:val="0"/>
      <w:marBottom w:val="0"/>
      <w:divBdr>
        <w:top w:val="none" w:sz="0" w:space="0" w:color="auto"/>
        <w:left w:val="none" w:sz="0" w:space="0" w:color="auto"/>
        <w:bottom w:val="none" w:sz="0" w:space="0" w:color="auto"/>
        <w:right w:val="none" w:sz="0" w:space="0" w:color="auto"/>
      </w:divBdr>
    </w:div>
    <w:div w:id="489712309">
      <w:bodyDiv w:val="1"/>
      <w:marLeft w:val="0"/>
      <w:marRight w:val="0"/>
      <w:marTop w:val="0"/>
      <w:marBottom w:val="0"/>
      <w:divBdr>
        <w:top w:val="none" w:sz="0" w:space="0" w:color="auto"/>
        <w:left w:val="none" w:sz="0" w:space="0" w:color="auto"/>
        <w:bottom w:val="none" w:sz="0" w:space="0" w:color="auto"/>
        <w:right w:val="none" w:sz="0" w:space="0" w:color="auto"/>
      </w:divBdr>
    </w:div>
    <w:div w:id="495270658">
      <w:bodyDiv w:val="1"/>
      <w:marLeft w:val="0"/>
      <w:marRight w:val="0"/>
      <w:marTop w:val="0"/>
      <w:marBottom w:val="0"/>
      <w:divBdr>
        <w:top w:val="none" w:sz="0" w:space="0" w:color="auto"/>
        <w:left w:val="none" w:sz="0" w:space="0" w:color="auto"/>
        <w:bottom w:val="none" w:sz="0" w:space="0" w:color="auto"/>
        <w:right w:val="none" w:sz="0" w:space="0" w:color="auto"/>
      </w:divBdr>
    </w:div>
    <w:div w:id="513499783">
      <w:bodyDiv w:val="1"/>
      <w:marLeft w:val="0"/>
      <w:marRight w:val="0"/>
      <w:marTop w:val="0"/>
      <w:marBottom w:val="0"/>
      <w:divBdr>
        <w:top w:val="none" w:sz="0" w:space="0" w:color="auto"/>
        <w:left w:val="none" w:sz="0" w:space="0" w:color="auto"/>
        <w:bottom w:val="none" w:sz="0" w:space="0" w:color="auto"/>
        <w:right w:val="none" w:sz="0" w:space="0" w:color="auto"/>
      </w:divBdr>
    </w:div>
    <w:div w:id="525679770">
      <w:bodyDiv w:val="1"/>
      <w:marLeft w:val="0"/>
      <w:marRight w:val="0"/>
      <w:marTop w:val="0"/>
      <w:marBottom w:val="0"/>
      <w:divBdr>
        <w:top w:val="none" w:sz="0" w:space="0" w:color="auto"/>
        <w:left w:val="none" w:sz="0" w:space="0" w:color="auto"/>
        <w:bottom w:val="none" w:sz="0" w:space="0" w:color="auto"/>
        <w:right w:val="none" w:sz="0" w:space="0" w:color="auto"/>
      </w:divBdr>
    </w:div>
    <w:div w:id="530340666">
      <w:bodyDiv w:val="1"/>
      <w:marLeft w:val="0"/>
      <w:marRight w:val="0"/>
      <w:marTop w:val="0"/>
      <w:marBottom w:val="0"/>
      <w:divBdr>
        <w:top w:val="none" w:sz="0" w:space="0" w:color="auto"/>
        <w:left w:val="none" w:sz="0" w:space="0" w:color="auto"/>
        <w:bottom w:val="none" w:sz="0" w:space="0" w:color="auto"/>
        <w:right w:val="none" w:sz="0" w:space="0" w:color="auto"/>
      </w:divBdr>
    </w:div>
    <w:div w:id="534735252">
      <w:bodyDiv w:val="1"/>
      <w:marLeft w:val="0"/>
      <w:marRight w:val="0"/>
      <w:marTop w:val="0"/>
      <w:marBottom w:val="0"/>
      <w:divBdr>
        <w:top w:val="none" w:sz="0" w:space="0" w:color="auto"/>
        <w:left w:val="none" w:sz="0" w:space="0" w:color="auto"/>
        <w:bottom w:val="none" w:sz="0" w:space="0" w:color="auto"/>
        <w:right w:val="none" w:sz="0" w:space="0" w:color="auto"/>
      </w:divBdr>
    </w:div>
    <w:div w:id="535585007">
      <w:bodyDiv w:val="1"/>
      <w:marLeft w:val="0"/>
      <w:marRight w:val="0"/>
      <w:marTop w:val="0"/>
      <w:marBottom w:val="0"/>
      <w:divBdr>
        <w:top w:val="none" w:sz="0" w:space="0" w:color="auto"/>
        <w:left w:val="none" w:sz="0" w:space="0" w:color="auto"/>
        <w:bottom w:val="none" w:sz="0" w:space="0" w:color="auto"/>
        <w:right w:val="none" w:sz="0" w:space="0" w:color="auto"/>
      </w:divBdr>
    </w:div>
    <w:div w:id="542525334">
      <w:bodyDiv w:val="1"/>
      <w:marLeft w:val="0"/>
      <w:marRight w:val="0"/>
      <w:marTop w:val="0"/>
      <w:marBottom w:val="0"/>
      <w:divBdr>
        <w:top w:val="none" w:sz="0" w:space="0" w:color="auto"/>
        <w:left w:val="none" w:sz="0" w:space="0" w:color="auto"/>
        <w:bottom w:val="none" w:sz="0" w:space="0" w:color="auto"/>
        <w:right w:val="none" w:sz="0" w:space="0" w:color="auto"/>
      </w:divBdr>
    </w:div>
    <w:div w:id="557083931">
      <w:bodyDiv w:val="1"/>
      <w:marLeft w:val="0"/>
      <w:marRight w:val="0"/>
      <w:marTop w:val="0"/>
      <w:marBottom w:val="0"/>
      <w:divBdr>
        <w:top w:val="none" w:sz="0" w:space="0" w:color="auto"/>
        <w:left w:val="none" w:sz="0" w:space="0" w:color="auto"/>
        <w:bottom w:val="none" w:sz="0" w:space="0" w:color="auto"/>
        <w:right w:val="none" w:sz="0" w:space="0" w:color="auto"/>
      </w:divBdr>
    </w:div>
    <w:div w:id="562915135">
      <w:bodyDiv w:val="1"/>
      <w:marLeft w:val="0"/>
      <w:marRight w:val="0"/>
      <w:marTop w:val="0"/>
      <w:marBottom w:val="0"/>
      <w:divBdr>
        <w:top w:val="none" w:sz="0" w:space="0" w:color="auto"/>
        <w:left w:val="none" w:sz="0" w:space="0" w:color="auto"/>
        <w:bottom w:val="none" w:sz="0" w:space="0" w:color="auto"/>
        <w:right w:val="none" w:sz="0" w:space="0" w:color="auto"/>
      </w:divBdr>
    </w:div>
    <w:div w:id="587082769">
      <w:bodyDiv w:val="1"/>
      <w:marLeft w:val="0"/>
      <w:marRight w:val="0"/>
      <w:marTop w:val="0"/>
      <w:marBottom w:val="0"/>
      <w:divBdr>
        <w:top w:val="none" w:sz="0" w:space="0" w:color="auto"/>
        <w:left w:val="none" w:sz="0" w:space="0" w:color="auto"/>
        <w:bottom w:val="none" w:sz="0" w:space="0" w:color="auto"/>
        <w:right w:val="none" w:sz="0" w:space="0" w:color="auto"/>
      </w:divBdr>
    </w:div>
    <w:div w:id="602418402">
      <w:bodyDiv w:val="1"/>
      <w:marLeft w:val="0"/>
      <w:marRight w:val="0"/>
      <w:marTop w:val="0"/>
      <w:marBottom w:val="0"/>
      <w:divBdr>
        <w:top w:val="none" w:sz="0" w:space="0" w:color="auto"/>
        <w:left w:val="none" w:sz="0" w:space="0" w:color="auto"/>
        <w:bottom w:val="none" w:sz="0" w:space="0" w:color="auto"/>
        <w:right w:val="none" w:sz="0" w:space="0" w:color="auto"/>
      </w:divBdr>
    </w:div>
    <w:div w:id="619381893">
      <w:bodyDiv w:val="1"/>
      <w:marLeft w:val="0"/>
      <w:marRight w:val="0"/>
      <w:marTop w:val="0"/>
      <w:marBottom w:val="0"/>
      <w:divBdr>
        <w:top w:val="none" w:sz="0" w:space="0" w:color="auto"/>
        <w:left w:val="none" w:sz="0" w:space="0" w:color="auto"/>
        <w:bottom w:val="none" w:sz="0" w:space="0" w:color="auto"/>
        <w:right w:val="none" w:sz="0" w:space="0" w:color="auto"/>
      </w:divBdr>
    </w:div>
    <w:div w:id="622003564">
      <w:bodyDiv w:val="1"/>
      <w:marLeft w:val="0"/>
      <w:marRight w:val="0"/>
      <w:marTop w:val="0"/>
      <w:marBottom w:val="0"/>
      <w:divBdr>
        <w:top w:val="none" w:sz="0" w:space="0" w:color="auto"/>
        <w:left w:val="none" w:sz="0" w:space="0" w:color="auto"/>
        <w:bottom w:val="none" w:sz="0" w:space="0" w:color="auto"/>
        <w:right w:val="none" w:sz="0" w:space="0" w:color="auto"/>
      </w:divBdr>
    </w:div>
    <w:div w:id="644547216">
      <w:bodyDiv w:val="1"/>
      <w:marLeft w:val="0"/>
      <w:marRight w:val="0"/>
      <w:marTop w:val="0"/>
      <w:marBottom w:val="0"/>
      <w:divBdr>
        <w:top w:val="none" w:sz="0" w:space="0" w:color="auto"/>
        <w:left w:val="none" w:sz="0" w:space="0" w:color="auto"/>
        <w:bottom w:val="none" w:sz="0" w:space="0" w:color="auto"/>
        <w:right w:val="none" w:sz="0" w:space="0" w:color="auto"/>
      </w:divBdr>
    </w:div>
    <w:div w:id="650255072">
      <w:bodyDiv w:val="1"/>
      <w:marLeft w:val="0"/>
      <w:marRight w:val="0"/>
      <w:marTop w:val="0"/>
      <w:marBottom w:val="0"/>
      <w:divBdr>
        <w:top w:val="none" w:sz="0" w:space="0" w:color="auto"/>
        <w:left w:val="none" w:sz="0" w:space="0" w:color="auto"/>
        <w:bottom w:val="none" w:sz="0" w:space="0" w:color="auto"/>
        <w:right w:val="none" w:sz="0" w:space="0" w:color="auto"/>
      </w:divBdr>
    </w:div>
    <w:div w:id="653145047">
      <w:bodyDiv w:val="1"/>
      <w:marLeft w:val="0"/>
      <w:marRight w:val="0"/>
      <w:marTop w:val="0"/>
      <w:marBottom w:val="0"/>
      <w:divBdr>
        <w:top w:val="none" w:sz="0" w:space="0" w:color="auto"/>
        <w:left w:val="none" w:sz="0" w:space="0" w:color="auto"/>
        <w:bottom w:val="none" w:sz="0" w:space="0" w:color="auto"/>
        <w:right w:val="none" w:sz="0" w:space="0" w:color="auto"/>
      </w:divBdr>
    </w:div>
    <w:div w:id="660736270">
      <w:bodyDiv w:val="1"/>
      <w:marLeft w:val="0"/>
      <w:marRight w:val="0"/>
      <w:marTop w:val="0"/>
      <w:marBottom w:val="0"/>
      <w:divBdr>
        <w:top w:val="none" w:sz="0" w:space="0" w:color="auto"/>
        <w:left w:val="none" w:sz="0" w:space="0" w:color="auto"/>
        <w:bottom w:val="none" w:sz="0" w:space="0" w:color="auto"/>
        <w:right w:val="none" w:sz="0" w:space="0" w:color="auto"/>
      </w:divBdr>
    </w:div>
    <w:div w:id="670529105">
      <w:bodyDiv w:val="1"/>
      <w:marLeft w:val="0"/>
      <w:marRight w:val="0"/>
      <w:marTop w:val="0"/>
      <w:marBottom w:val="0"/>
      <w:divBdr>
        <w:top w:val="none" w:sz="0" w:space="0" w:color="auto"/>
        <w:left w:val="none" w:sz="0" w:space="0" w:color="auto"/>
        <w:bottom w:val="none" w:sz="0" w:space="0" w:color="auto"/>
        <w:right w:val="none" w:sz="0" w:space="0" w:color="auto"/>
      </w:divBdr>
    </w:div>
    <w:div w:id="671838779">
      <w:bodyDiv w:val="1"/>
      <w:marLeft w:val="0"/>
      <w:marRight w:val="0"/>
      <w:marTop w:val="0"/>
      <w:marBottom w:val="0"/>
      <w:divBdr>
        <w:top w:val="none" w:sz="0" w:space="0" w:color="auto"/>
        <w:left w:val="none" w:sz="0" w:space="0" w:color="auto"/>
        <w:bottom w:val="none" w:sz="0" w:space="0" w:color="auto"/>
        <w:right w:val="none" w:sz="0" w:space="0" w:color="auto"/>
      </w:divBdr>
    </w:div>
    <w:div w:id="708843227">
      <w:bodyDiv w:val="1"/>
      <w:marLeft w:val="0"/>
      <w:marRight w:val="0"/>
      <w:marTop w:val="0"/>
      <w:marBottom w:val="0"/>
      <w:divBdr>
        <w:top w:val="none" w:sz="0" w:space="0" w:color="auto"/>
        <w:left w:val="none" w:sz="0" w:space="0" w:color="auto"/>
        <w:bottom w:val="none" w:sz="0" w:space="0" w:color="auto"/>
        <w:right w:val="none" w:sz="0" w:space="0" w:color="auto"/>
      </w:divBdr>
    </w:div>
    <w:div w:id="839275807">
      <w:bodyDiv w:val="1"/>
      <w:marLeft w:val="0"/>
      <w:marRight w:val="0"/>
      <w:marTop w:val="0"/>
      <w:marBottom w:val="0"/>
      <w:divBdr>
        <w:top w:val="none" w:sz="0" w:space="0" w:color="auto"/>
        <w:left w:val="none" w:sz="0" w:space="0" w:color="auto"/>
        <w:bottom w:val="none" w:sz="0" w:space="0" w:color="auto"/>
        <w:right w:val="none" w:sz="0" w:space="0" w:color="auto"/>
      </w:divBdr>
    </w:div>
    <w:div w:id="854460376">
      <w:bodyDiv w:val="1"/>
      <w:marLeft w:val="0"/>
      <w:marRight w:val="0"/>
      <w:marTop w:val="0"/>
      <w:marBottom w:val="0"/>
      <w:divBdr>
        <w:top w:val="none" w:sz="0" w:space="0" w:color="auto"/>
        <w:left w:val="none" w:sz="0" w:space="0" w:color="auto"/>
        <w:bottom w:val="none" w:sz="0" w:space="0" w:color="auto"/>
        <w:right w:val="none" w:sz="0" w:space="0" w:color="auto"/>
      </w:divBdr>
    </w:div>
    <w:div w:id="880288657">
      <w:bodyDiv w:val="1"/>
      <w:marLeft w:val="0"/>
      <w:marRight w:val="0"/>
      <w:marTop w:val="0"/>
      <w:marBottom w:val="0"/>
      <w:divBdr>
        <w:top w:val="none" w:sz="0" w:space="0" w:color="auto"/>
        <w:left w:val="none" w:sz="0" w:space="0" w:color="auto"/>
        <w:bottom w:val="none" w:sz="0" w:space="0" w:color="auto"/>
        <w:right w:val="none" w:sz="0" w:space="0" w:color="auto"/>
      </w:divBdr>
    </w:div>
    <w:div w:id="880357683">
      <w:bodyDiv w:val="1"/>
      <w:marLeft w:val="0"/>
      <w:marRight w:val="0"/>
      <w:marTop w:val="0"/>
      <w:marBottom w:val="0"/>
      <w:divBdr>
        <w:top w:val="none" w:sz="0" w:space="0" w:color="auto"/>
        <w:left w:val="none" w:sz="0" w:space="0" w:color="auto"/>
        <w:bottom w:val="none" w:sz="0" w:space="0" w:color="auto"/>
        <w:right w:val="none" w:sz="0" w:space="0" w:color="auto"/>
      </w:divBdr>
    </w:div>
    <w:div w:id="884485431">
      <w:bodyDiv w:val="1"/>
      <w:marLeft w:val="0"/>
      <w:marRight w:val="0"/>
      <w:marTop w:val="0"/>
      <w:marBottom w:val="0"/>
      <w:divBdr>
        <w:top w:val="none" w:sz="0" w:space="0" w:color="auto"/>
        <w:left w:val="none" w:sz="0" w:space="0" w:color="auto"/>
        <w:bottom w:val="none" w:sz="0" w:space="0" w:color="auto"/>
        <w:right w:val="none" w:sz="0" w:space="0" w:color="auto"/>
      </w:divBdr>
    </w:div>
    <w:div w:id="886183794">
      <w:bodyDiv w:val="1"/>
      <w:marLeft w:val="0"/>
      <w:marRight w:val="0"/>
      <w:marTop w:val="0"/>
      <w:marBottom w:val="0"/>
      <w:divBdr>
        <w:top w:val="none" w:sz="0" w:space="0" w:color="auto"/>
        <w:left w:val="none" w:sz="0" w:space="0" w:color="auto"/>
        <w:bottom w:val="none" w:sz="0" w:space="0" w:color="auto"/>
        <w:right w:val="none" w:sz="0" w:space="0" w:color="auto"/>
      </w:divBdr>
    </w:div>
    <w:div w:id="891842672">
      <w:bodyDiv w:val="1"/>
      <w:marLeft w:val="0"/>
      <w:marRight w:val="0"/>
      <w:marTop w:val="0"/>
      <w:marBottom w:val="0"/>
      <w:divBdr>
        <w:top w:val="none" w:sz="0" w:space="0" w:color="auto"/>
        <w:left w:val="none" w:sz="0" w:space="0" w:color="auto"/>
        <w:bottom w:val="none" w:sz="0" w:space="0" w:color="auto"/>
        <w:right w:val="none" w:sz="0" w:space="0" w:color="auto"/>
      </w:divBdr>
    </w:div>
    <w:div w:id="897975893">
      <w:bodyDiv w:val="1"/>
      <w:marLeft w:val="0"/>
      <w:marRight w:val="0"/>
      <w:marTop w:val="0"/>
      <w:marBottom w:val="0"/>
      <w:divBdr>
        <w:top w:val="none" w:sz="0" w:space="0" w:color="auto"/>
        <w:left w:val="none" w:sz="0" w:space="0" w:color="auto"/>
        <w:bottom w:val="none" w:sz="0" w:space="0" w:color="auto"/>
        <w:right w:val="none" w:sz="0" w:space="0" w:color="auto"/>
      </w:divBdr>
    </w:div>
    <w:div w:id="898518779">
      <w:bodyDiv w:val="1"/>
      <w:marLeft w:val="0"/>
      <w:marRight w:val="0"/>
      <w:marTop w:val="0"/>
      <w:marBottom w:val="0"/>
      <w:divBdr>
        <w:top w:val="none" w:sz="0" w:space="0" w:color="auto"/>
        <w:left w:val="none" w:sz="0" w:space="0" w:color="auto"/>
        <w:bottom w:val="none" w:sz="0" w:space="0" w:color="auto"/>
        <w:right w:val="none" w:sz="0" w:space="0" w:color="auto"/>
      </w:divBdr>
    </w:div>
    <w:div w:id="904803296">
      <w:bodyDiv w:val="1"/>
      <w:marLeft w:val="0"/>
      <w:marRight w:val="0"/>
      <w:marTop w:val="0"/>
      <w:marBottom w:val="0"/>
      <w:divBdr>
        <w:top w:val="none" w:sz="0" w:space="0" w:color="auto"/>
        <w:left w:val="none" w:sz="0" w:space="0" w:color="auto"/>
        <w:bottom w:val="none" w:sz="0" w:space="0" w:color="auto"/>
        <w:right w:val="none" w:sz="0" w:space="0" w:color="auto"/>
      </w:divBdr>
    </w:div>
    <w:div w:id="926308617">
      <w:bodyDiv w:val="1"/>
      <w:marLeft w:val="0"/>
      <w:marRight w:val="0"/>
      <w:marTop w:val="0"/>
      <w:marBottom w:val="0"/>
      <w:divBdr>
        <w:top w:val="none" w:sz="0" w:space="0" w:color="auto"/>
        <w:left w:val="none" w:sz="0" w:space="0" w:color="auto"/>
        <w:bottom w:val="none" w:sz="0" w:space="0" w:color="auto"/>
        <w:right w:val="none" w:sz="0" w:space="0" w:color="auto"/>
      </w:divBdr>
    </w:div>
    <w:div w:id="940837001">
      <w:bodyDiv w:val="1"/>
      <w:marLeft w:val="0"/>
      <w:marRight w:val="0"/>
      <w:marTop w:val="0"/>
      <w:marBottom w:val="0"/>
      <w:divBdr>
        <w:top w:val="none" w:sz="0" w:space="0" w:color="auto"/>
        <w:left w:val="none" w:sz="0" w:space="0" w:color="auto"/>
        <w:bottom w:val="none" w:sz="0" w:space="0" w:color="auto"/>
        <w:right w:val="none" w:sz="0" w:space="0" w:color="auto"/>
      </w:divBdr>
    </w:div>
    <w:div w:id="967013213">
      <w:bodyDiv w:val="1"/>
      <w:marLeft w:val="0"/>
      <w:marRight w:val="0"/>
      <w:marTop w:val="0"/>
      <w:marBottom w:val="0"/>
      <w:divBdr>
        <w:top w:val="none" w:sz="0" w:space="0" w:color="auto"/>
        <w:left w:val="none" w:sz="0" w:space="0" w:color="auto"/>
        <w:bottom w:val="none" w:sz="0" w:space="0" w:color="auto"/>
        <w:right w:val="none" w:sz="0" w:space="0" w:color="auto"/>
      </w:divBdr>
    </w:div>
    <w:div w:id="987131101">
      <w:bodyDiv w:val="1"/>
      <w:marLeft w:val="0"/>
      <w:marRight w:val="0"/>
      <w:marTop w:val="0"/>
      <w:marBottom w:val="0"/>
      <w:divBdr>
        <w:top w:val="none" w:sz="0" w:space="0" w:color="auto"/>
        <w:left w:val="none" w:sz="0" w:space="0" w:color="auto"/>
        <w:bottom w:val="none" w:sz="0" w:space="0" w:color="auto"/>
        <w:right w:val="none" w:sz="0" w:space="0" w:color="auto"/>
      </w:divBdr>
    </w:div>
    <w:div w:id="1063911630">
      <w:bodyDiv w:val="1"/>
      <w:marLeft w:val="0"/>
      <w:marRight w:val="0"/>
      <w:marTop w:val="0"/>
      <w:marBottom w:val="0"/>
      <w:divBdr>
        <w:top w:val="none" w:sz="0" w:space="0" w:color="auto"/>
        <w:left w:val="none" w:sz="0" w:space="0" w:color="auto"/>
        <w:bottom w:val="none" w:sz="0" w:space="0" w:color="auto"/>
        <w:right w:val="none" w:sz="0" w:space="0" w:color="auto"/>
      </w:divBdr>
    </w:div>
    <w:div w:id="1111167538">
      <w:bodyDiv w:val="1"/>
      <w:marLeft w:val="0"/>
      <w:marRight w:val="0"/>
      <w:marTop w:val="0"/>
      <w:marBottom w:val="0"/>
      <w:divBdr>
        <w:top w:val="none" w:sz="0" w:space="0" w:color="auto"/>
        <w:left w:val="none" w:sz="0" w:space="0" w:color="auto"/>
        <w:bottom w:val="none" w:sz="0" w:space="0" w:color="auto"/>
        <w:right w:val="none" w:sz="0" w:space="0" w:color="auto"/>
      </w:divBdr>
    </w:div>
    <w:div w:id="1133403353">
      <w:bodyDiv w:val="1"/>
      <w:marLeft w:val="0"/>
      <w:marRight w:val="0"/>
      <w:marTop w:val="0"/>
      <w:marBottom w:val="0"/>
      <w:divBdr>
        <w:top w:val="none" w:sz="0" w:space="0" w:color="auto"/>
        <w:left w:val="none" w:sz="0" w:space="0" w:color="auto"/>
        <w:bottom w:val="none" w:sz="0" w:space="0" w:color="auto"/>
        <w:right w:val="none" w:sz="0" w:space="0" w:color="auto"/>
      </w:divBdr>
    </w:div>
    <w:div w:id="1143890517">
      <w:bodyDiv w:val="1"/>
      <w:marLeft w:val="0"/>
      <w:marRight w:val="0"/>
      <w:marTop w:val="0"/>
      <w:marBottom w:val="0"/>
      <w:divBdr>
        <w:top w:val="none" w:sz="0" w:space="0" w:color="auto"/>
        <w:left w:val="none" w:sz="0" w:space="0" w:color="auto"/>
        <w:bottom w:val="none" w:sz="0" w:space="0" w:color="auto"/>
        <w:right w:val="none" w:sz="0" w:space="0" w:color="auto"/>
      </w:divBdr>
    </w:div>
    <w:div w:id="1144279583">
      <w:bodyDiv w:val="1"/>
      <w:marLeft w:val="0"/>
      <w:marRight w:val="0"/>
      <w:marTop w:val="0"/>
      <w:marBottom w:val="0"/>
      <w:divBdr>
        <w:top w:val="none" w:sz="0" w:space="0" w:color="auto"/>
        <w:left w:val="none" w:sz="0" w:space="0" w:color="auto"/>
        <w:bottom w:val="none" w:sz="0" w:space="0" w:color="auto"/>
        <w:right w:val="none" w:sz="0" w:space="0" w:color="auto"/>
      </w:divBdr>
    </w:div>
    <w:div w:id="1161655448">
      <w:bodyDiv w:val="1"/>
      <w:marLeft w:val="0"/>
      <w:marRight w:val="0"/>
      <w:marTop w:val="0"/>
      <w:marBottom w:val="0"/>
      <w:divBdr>
        <w:top w:val="none" w:sz="0" w:space="0" w:color="auto"/>
        <w:left w:val="none" w:sz="0" w:space="0" w:color="auto"/>
        <w:bottom w:val="none" w:sz="0" w:space="0" w:color="auto"/>
        <w:right w:val="none" w:sz="0" w:space="0" w:color="auto"/>
      </w:divBdr>
    </w:div>
    <w:div w:id="1169633941">
      <w:bodyDiv w:val="1"/>
      <w:marLeft w:val="0"/>
      <w:marRight w:val="0"/>
      <w:marTop w:val="0"/>
      <w:marBottom w:val="0"/>
      <w:divBdr>
        <w:top w:val="none" w:sz="0" w:space="0" w:color="auto"/>
        <w:left w:val="none" w:sz="0" w:space="0" w:color="auto"/>
        <w:bottom w:val="none" w:sz="0" w:space="0" w:color="auto"/>
        <w:right w:val="none" w:sz="0" w:space="0" w:color="auto"/>
      </w:divBdr>
    </w:div>
    <w:div w:id="1172182431">
      <w:bodyDiv w:val="1"/>
      <w:marLeft w:val="0"/>
      <w:marRight w:val="0"/>
      <w:marTop w:val="0"/>
      <w:marBottom w:val="0"/>
      <w:divBdr>
        <w:top w:val="none" w:sz="0" w:space="0" w:color="auto"/>
        <w:left w:val="none" w:sz="0" w:space="0" w:color="auto"/>
        <w:bottom w:val="none" w:sz="0" w:space="0" w:color="auto"/>
        <w:right w:val="none" w:sz="0" w:space="0" w:color="auto"/>
      </w:divBdr>
    </w:div>
    <w:div w:id="1172447187">
      <w:bodyDiv w:val="1"/>
      <w:marLeft w:val="0"/>
      <w:marRight w:val="0"/>
      <w:marTop w:val="0"/>
      <w:marBottom w:val="0"/>
      <w:divBdr>
        <w:top w:val="none" w:sz="0" w:space="0" w:color="auto"/>
        <w:left w:val="none" w:sz="0" w:space="0" w:color="auto"/>
        <w:bottom w:val="none" w:sz="0" w:space="0" w:color="auto"/>
        <w:right w:val="none" w:sz="0" w:space="0" w:color="auto"/>
      </w:divBdr>
    </w:div>
    <w:div w:id="1175262123">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92721052">
      <w:bodyDiv w:val="1"/>
      <w:marLeft w:val="0"/>
      <w:marRight w:val="0"/>
      <w:marTop w:val="0"/>
      <w:marBottom w:val="0"/>
      <w:divBdr>
        <w:top w:val="none" w:sz="0" w:space="0" w:color="auto"/>
        <w:left w:val="none" w:sz="0" w:space="0" w:color="auto"/>
        <w:bottom w:val="none" w:sz="0" w:space="0" w:color="auto"/>
        <w:right w:val="none" w:sz="0" w:space="0" w:color="auto"/>
      </w:divBdr>
    </w:div>
    <w:div w:id="1322739336">
      <w:bodyDiv w:val="1"/>
      <w:marLeft w:val="0"/>
      <w:marRight w:val="0"/>
      <w:marTop w:val="0"/>
      <w:marBottom w:val="0"/>
      <w:divBdr>
        <w:top w:val="none" w:sz="0" w:space="0" w:color="auto"/>
        <w:left w:val="none" w:sz="0" w:space="0" w:color="auto"/>
        <w:bottom w:val="none" w:sz="0" w:space="0" w:color="auto"/>
        <w:right w:val="none" w:sz="0" w:space="0" w:color="auto"/>
      </w:divBdr>
    </w:div>
    <w:div w:id="1339313984">
      <w:bodyDiv w:val="1"/>
      <w:marLeft w:val="0"/>
      <w:marRight w:val="0"/>
      <w:marTop w:val="0"/>
      <w:marBottom w:val="0"/>
      <w:divBdr>
        <w:top w:val="none" w:sz="0" w:space="0" w:color="auto"/>
        <w:left w:val="none" w:sz="0" w:space="0" w:color="auto"/>
        <w:bottom w:val="none" w:sz="0" w:space="0" w:color="auto"/>
        <w:right w:val="none" w:sz="0" w:space="0" w:color="auto"/>
      </w:divBdr>
    </w:div>
    <w:div w:id="1409309325">
      <w:bodyDiv w:val="1"/>
      <w:marLeft w:val="0"/>
      <w:marRight w:val="0"/>
      <w:marTop w:val="0"/>
      <w:marBottom w:val="0"/>
      <w:divBdr>
        <w:top w:val="none" w:sz="0" w:space="0" w:color="auto"/>
        <w:left w:val="none" w:sz="0" w:space="0" w:color="auto"/>
        <w:bottom w:val="none" w:sz="0" w:space="0" w:color="auto"/>
        <w:right w:val="none" w:sz="0" w:space="0" w:color="auto"/>
      </w:divBdr>
    </w:div>
    <w:div w:id="1412846645">
      <w:bodyDiv w:val="1"/>
      <w:marLeft w:val="0"/>
      <w:marRight w:val="0"/>
      <w:marTop w:val="0"/>
      <w:marBottom w:val="0"/>
      <w:divBdr>
        <w:top w:val="none" w:sz="0" w:space="0" w:color="auto"/>
        <w:left w:val="none" w:sz="0" w:space="0" w:color="auto"/>
        <w:bottom w:val="none" w:sz="0" w:space="0" w:color="auto"/>
        <w:right w:val="none" w:sz="0" w:space="0" w:color="auto"/>
      </w:divBdr>
    </w:div>
    <w:div w:id="1420710510">
      <w:bodyDiv w:val="1"/>
      <w:marLeft w:val="0"/>
      <w:marRight w:val="0"/>
      <w:marTop w:val="0"/>
      <w:marBottom w:val="0"/>
      <w:divBdr>
        <w:top w:val="none" w:sz="0" w:space="0" w:color="auto"/>
        <w:left w:val="none" w:sz="0" w:space="0" w:color="auto"/>
        <w:bottom w:val="none" w:sz="0" w:space="0" w:color="auto"/>
        <w:right w:val="none" w:sz="0" w:space="0" w:color="auto"/>
      </w:divBdr>
    </w:div>
    <w:div w:id="1432579295">
      <w:bodyDiv w:val="1"/>
      <w:marLeft w:val="0"/>
      <w:marRight w:val="0"/>
      <w:marTop w:val="0"/>
      <w:marBottom w:val="0"/>
      <w:divBdr>
        <w:top w:val="none" w:sz="0" w:space="0" w:color="auto"/>
        <w:left w:val="none" w:sz="0" w:space="0" w:color="auto"/>
        <w:bottom w:val="none" w:sz="0" w:space="0" w:color="auto"/>
        <w:right w:val="none" w:sz="0" w:space="0" w:color="auto"/>
      </w:divBdr>
    </w:div>
    <w:div w:id="1444575701">
      <w:bodyDiv w:val="1"/>
      <w:marLeft w:val="0"/>
      <w:marRight w:val="0"/>
      <w:marTop w:val="0"/>
      <w:marBottom w:val="0"/>
      <w:divBdr>
        <w:top w:val="none" w:sz="0" w:space="0" w:color="auto"/>
        <w:left w:val="none" w:sz="0" w:space="0" w:color="auto"/>
        <w:bottom w:val="none" w:sz="0" w:space="0" w:color="auto"/>
        <w:right w:val="none" w:sz="0" w:space="0" w:color="auto"/>
      </w:divBdr>
    </w:div>
    <w:div w:id="1461726006">
      <w:bodyDiv w:val="1"/>
      <w:marLeft w:val="0"/>
      <w:marRight w:val="0"/>
      <w:marTop w:val="0"/>
      <w:marBottom w:val="0"/>
      <w:divBdr>
        <w:top w:val="none" w:sz="0" w:space="0" w:color="auto"/>
        <w:left w:val="none" w:sz="0" w:space="0" w:color="auto"/>
        <w:bottom w:val="none" w:sz="0" w:space="0" w:color="auto"/>
        <w:right w:val="none" w:sz="0" w:space="0" w:color="auto"/>
      </w:divBdr>
    </w:div>
    <w:div w:id="1489789287">
      <w:bodyDiv w:val="1"/>
      <w:marLeft w:val="0"/>
      <w:marRight w:val="0"/>
      <w:marTop w:val="0"/>
      <w:marBottom w:val="0"/>
      <w:divBdr>
        <w:top w:val="none" w:sz="0" w:space="0" w:color="auto"/>
        <w:left w:val="none" w:sz="0" w:space="0" w:color="auto"/>
        <w:bottom w:val="none" w:sz="0" w:space="0" w:color="auto"/>
        <w:right w:val="none" w:sz="0" w:space="0" w:color="auto"/>
      </w:divBdr>
    </w:div>
    <w:div w:id="1538276512">
      <w:bodyDiv w:val="1"/>
      <w:marLeft w:val="0"/>
      <w:marRight w:val="0"/>
      <w:marTop w:val="0"/>
      <w:marBottom w:val="0"/>
      <w:divBdr>
        <w:top w:val="none" w:sz="0" w:space="0" w:color="auto"/>
        <w:left w:val="none" w:sz="0" w:space="0" w:color="auto"/>
        <w:bottom w:val="none" w:sz="0" w:space="0" w:color="auto"/>
        <w:right w:val="none" w:sz="0" w:space="0" w:color="auto"/>
      </w:divBdr>
    </w:div>
    <w:div w:id="1552841555">
      <w:bodyDiv w:val="1"/>
      <w:marLeft w:val="0"/>
      <w:marRight w:val="0"/>
      <w:marTop w:val="0"/>
      <w:marBottom w:val="0"/>
      <w:divBdr>
        <w:top w:val="none" w:sz="0" w:space="0" w:color="auto"/>
        <w:left w:val="none" w:sz="0" w:space="0" w:color="auto"/>
        <w:bottom w:val="none" w:sz="0" w:space="0" w:color="auto"/>
        <w:right w:val="none" w:sz="0" w:space="0" w:color="auto"/>
      </w:divBdr>
    </w:div>
    <w:div w:id="1560824808">
      <w:bodyDiv w:val="1"/>
      <w:marLeft w:val="0"/>
      <w:marRight w:val="0"/>
      <w:marTop w:val="0"/>
      <w:marBottom w:val="0"/>
      <w:divBdr>
        <w:top w:val="none" w:sz="0" w:space="0" w:color="auto"/>
        <w:left w:val="none" w:sz="0" w:space="0" w:color="auto"/>
        <w:bottom w:val="none" w:sz="0" w:space="0" w:color="auto"/>
        <w:right w:val="none" w:sz="0" w:space="0" w:color="auto"/>
      </w:divBdr>
    </w:div>
    <w:div w:id="1563296460">
      <w:bodyDiv w:val="1"/>
      <w:marLeft w:val="0"/>
      <w:marRight w:val="0"/>
      <w:marTop w:val="0"/>
      <w:marBottom w:val="0"/>
      <w:divBdr>
        <w:top w:val="none" w:sz="0" w:space="0" w:color="auto"/>
        <w:left w:val="none" w:sz="0" w:space="0" w:color="auto"/>
        <w:bottom w:val="none" w:sz="0" w:space="0" w:color="auto"/>
        <w:right w:val="none" w:sz="0" w:space="0" w:color="auto"/>
      </w:divBdr>
    </w:div>
    <w:div w:id="1601136239">
      <w:bodyDiv w:val="1"/>
      <w:marLeft w:val="0"/>
      <w:marRight w:val="0"/>
      <w:marTop w:val="0"/>
      <w:marBottom w:val="0"/>
      <w:divBdr>
        <w:top w:val="none" w:sz="0" w:space="0" w:color="auto"/>
        <w:left w:val="none" w:sz="0" w:space="0" w:color="auto"/>
        <w:bottom w:val="none" w:sz="0" w:space="0" w:color="auto"/>
        <w:right w:val="none" w:sz="0" w:space="0" w:color="auto"/>
      </w:divBdr>
    </w:div>
    <w:div w:id="1632174375">
      <w:bodyDiv w:val="1"/>
      <w:marLeft w:val="0"/>
      <w:marRight w:val="0"/>
      <w:marTop w:val="0"/>
      <w:marBottom w:val="0"/>
      <w:divBdr>
        <w:top w:val="none" w:sz="0" w:space="0" w:color="auto"/>
        <w:left w:val="none" w:sz="0" w:space="0" w:color="auto"/>
        <w:bottom w:val="none" w:sz="0" w:space="0" w:color="auto"/>
        <w:right w:val="none" w:sz="0" w:space="0" w:color="auto"/>
      </w:divBdr>
    </w:div>
    <w:div w:id="1650135067">
      <w:bodyDiv w:val="1"/>
      <w:marLeft w:val="0"/>
      <w:marRight w:val="0"/>
      <w:marTop w:val="0"/>
      <w:marBottom w:val="0"/>
      <w:divBdr>
        <w:top w:val="none" w:sz="0" w:space="0" w:color="auto"/>
        <w:left w:val="none" w:sz="0" w:space="0" w:color="auto"/>
        <w:bottom w:val="none" w:sz="0" w:space="0" w:color="auto"/>
        <w:right w:val="none" w:sz="0" w:space="0" w:color="auto"/>
      </w:divBdr>
    </w:div>
    <w:div w:id="1673987776">
      <w:bodyDiv w:val="1"/>
      <w:marLeft w:val="0"/>
      <w:marRight w:val="0"/>
      <w:marTop w:val="0"/>
      <w:marBottom w:val="0"/>
      <w:divBdr>
        <w:top w:val="none" w:sz="0" w:space="0" w:color="auto"/>
        <w:left w:val="none" w:sz="0" w:space="0" w:color="auto"/>
        <w:bottom w:val="none" w:sz="0" w:space="0" w:color="auto"/>
        <w:right w:val="none" w:sz="0" w:space="0" w:color="auto"/>
      </w:divBdr>
    </w:div>
    <w:div w:id="1716543216">
      <w:bodyDiv w:val="1"/>
      <w:marLeft w:val="0"/>
      <w:marRight w:val="0"/>
      <w:marTop w:val="0"/>
      <w:marBottom w:val="0"/>
      <w:divBdr>
        <w:top w:val="none" w:sz="0" w:space="0" w:color="auto"/>
        <w:left w:val="none" w:sz="0" w:space="0" w:color="auto"/>
        <w:bottom w:val="none" w:sz="0" w:space="0" w:color="auto"/>
        <w:right w:val="none" w:sz="0" w:space="0" w:color="auto"/>
      </w:divBdr>
    </w:div>
    <w:div w:id="1735425099">
      <w:bodyDiv w:val="1"/>
      <w:marLeft w:val="0"/>
      <w:marRight w:val="0"/>
      <w:marTop w:val="0"/>
      <w:marBottom w:val="0"/>
      <w:divBdr>
        <w:top w:val="none" w:sz="0" w:space="0" w:color="auto"/>
        <w:left w:val="none" w:sz="0" w:space="0" w:color="auto"/>
        <w:bottom w:val="none" w:sz="0" w:space="0" w:color="auto"/>
        <w:right w:val="none" w:sz="0" w:space="0" w:color="auto"/>
      </w:divBdr>
    </w:div>
    <w:div w:id="1776051508">
      <w:bodyDiv w:val="1"/>
      <w:marLeft w:val="0"/>
      <w:marRight w:val="0"/>
      <w:marTop w:val="0"/>
      <w:marBottom w:val="0"/>
      <w:divBdr>
        <w:top w:val="none" w:sz="0" w:space="0" w:color="auto"/>
        <w:left w:val="none" w:sz="0" w:space="0" w:color="auto"/>
        <w:bottom w:val="none" w:sz="0" w:space="0" w:color="auto"/>
        <w:right w:val="none" w:sz="0" w:space="0" w:color="auto"/>
      </w:divBdr>
    </w:div>
    <w:div w:id="1780566195">
      <w:bodyDiv w:val="1"/>
      <w:marLeft w:val="0"/>
      <w:marRight w:val="0"/>
      <w:marTop w:val="0"/>
      <w:marBottom w:val="0"/>
      <w:divBdr>
        <w:top w:val="none" w:sz="0" w:space="0" w:color="auto"/>
        <w:left w:val="none" w:sz="0" w:space="0" w:color="auto"/>
        <w:bottom w:val="none" w:sz="0" w:space="0" w:color="auto"/>
        <w:right w:val="none" w:sz="0" w:space="0" w:color="auto"/>
      </w:divBdr>
    </w:div>
    <w:div w:id="1784156390">
      <w:bodyDiv w:val="1"/>
      <w:marLeft w:val="0"/>
      <w:marRight w:val="0"/>
      <w:marTop w:val="0"/>
      <w:marBottom w:val="0"/>
      <w:divBdr>
        <w:top w:val="none" w:sz="0" w:space="0" w:color="auto"/>
        <w:left w:val="none" w:sz="0" w:space="0" w:color="auto"/>
        <w:bottom w:val="none" w:sz="0" w:space="0" w:color="auto"/>
        <w:right w:val="none" w:sz="0" w:space="0" w:color="auto"/>
      </w:divBdr>
    </w:div>
    <w:div w:id="1805002050">
      <w:bodyDiv w:val="1"/>
      <w:marLeft w:val="0"/>
      <w:marRight w:val="0"/>
      <w:marTop w:val="0"/>
      <w:marBottom w:val="0"/>
      <w:divBdr>
        <w:top w:val="none" w:sz="0" w:space="0" w:color="auto"/>
        <w:left w:val="none" w:sz="0" w:space="0" w:color="auto"/>
        <w:bottom w:val="none" w:sz="0" w:space="0" w:color="auto"/>
        <w:right w:val="none" w:sz="0" w:space="0" w:color="auto"/>
      </w:divBdr>
    </w:div>
    <w:div w:id="1828738501">
      <w:bodyDiv w:val="1"/>
      <w:marLeft w:val="0"/>
      <w:marRight w:val="0"/>
      <w:marTop w:val="0"/>
      <w:marBottom w:val="0"/>
      <w:divBdr>
        <w:top w:val="none" w:sz="0" w:space="0" w:color="auto"/>
        <w:left w:val="none" w:sz="0" w:space="0" w:color="auto"/>
        <w:bottom w:val="none" w:sz="0" w:space="0" w:color="auto"/>
        <w:right w:val="none" w:sz="0" w:space="0" w:color="auto"/>
      </w:divBdr>
    </w:div>
    <w:div w:id="1868327288">
      <w:bodyDiv w:val="1"/>
      <w:marLeft w:val="0"/>
      <w:marRight w:val="0"/>
      <w:marTop w:val="0"/>
      <w:marBottom w:val="0"/>
      <w:divBdr>
        <w:top w:val="none" w:sz="0" w:space="0" w:color="auto"/>
        <w:left w:val="none" w:sz="0" w:space="0" w:color="auto"/>
        <w:bottom w:val="none" w:sz="0" w:space="0" w:color="auto"/>
        <w:right w:val="none" w:sz="0" w:space="0" w:color="auto"/>
      </w:divBdr>
    </w:div>
    <w:div w:id="1904876856">
      <w:bodyDiv w:val="1"/>
      <w:marLeft w:val="0"/>
      <w:marRight w:val="0"/>
      <w:marTop w:val="0"/>
      <w:marBottom w:val="0"/>
      <w:divBdr>
        <w:top w:val="none" w:sz="0" w:space="0" w:color="auto"/>
        <w:left w:val="none" w:sz="0" w:space="0" w:color="auto"/>
        <w:bottom w:val="none" w:sz="0" w:space="0" w:color="auto"/>
        <w:right w:val="none" w:sz="0" w:space="0" w:color="auto"/>
      </w:divBdr>
    </w:div>
    <w:div w:id="1945503019">
      <w:bodyDiv w:val="1"/>
      <w:marLeft w:val="0"/>
      <w:marRight w:val="0"/>
      <w:marTop w:val="0"/>
      <w:marBottom w:val="0"/>
      <w:divBdr>
        <w:top w:val="none" w:sz="0" w:space="0" w:color="auto"/>
        <w:left w:val="none" w:sz="0" w:space="0" w:color="auto"/>
        <w:bottom w:val="none" w:sz="0" w:space="0" w:color="auto"/>
        <w:right w:val="none" w:sz="0" w:space="0" w:color="auto"/>
      </w:divBdr>
    </w:div>
    <w:div w:id="1980646517">
      <w:bodyDiv w:val="1"/>
      <w:marLeft w:val="0"/>
      <w:marRight w:val="0"/>
      <w:marTop w:val="0"/>
      <w:marBottom w:val="0"/>
      <w:divBdr>
        <w:top w:val="none" w:sz="0" w:space="0" w:color="auto"/>
        <w:left w:val="none" w:sz="0" w:space="0" w:color="auto"/>
        <w:bottom w:val="none" w:sz="0" w:space="0" w:color="auto"/>
        <w:right w:val="none" w:sz="0" w:space="0" w:color="auto"/>
      </w:divBdr>
    </w:div>
    <w:div w:id="2016298149">
      <w:bodyDiv w:val="1"/>
      <w:marLeft w:val="0"/>
      <w:marRight w:val="0"/>
      <w:marTop w:val="0"/>
      <w:marBottom w:val="0"/>
      <w:divBdr>
        <w:top w:val="none" w:sz="0" w:space="0" w:color="auto"/>
        <w:left w:val="none" w:sz="0" w:space="0" w:color="auto"/>
        <w:bottom w:val="none" w:sz="0" w:space="0" w:color="auto"/>
        <w:right w:val="none" w:sz="0" w:space="0" w:color="auto"/>
      </w:divBdr>
    </w:div>
    <w:div w:id="2054571432">
      <w:bodyDiv w:val="1"/>
      <w:marLeft w:val="0"/>
      <w:marRight w:val="0"/>
      <w:marTop w:val="0"/>
      <w:marBottom w:val="0"/>
      <w:divBdr>
        <w:top w:val="none" w:sz="0" w:space="0" w:color="auto"/>
        <w:left w:val="none" w:sz="0" w:space="0" w:color="auto"/>
        <w:bottom w:val="none" w:sz="0" w:space="0" w:color="auto"/>
        <w:right w:val="none" w:sz="0" w:space="0" w:color="auto"/>
      </w:divBdr>
    </w:div>
    <w:div w:id="2054578541">
      <w:bodyDiv w:val="1"/>
      <w:marLeft w:val="0"/>
      <w:marRight w:val="0"/>
      <w:marTop w:val="0"/>
      <w:marBottom w:val="0"/>
      <w:divBdr>
        <w:top w:val="none" w:sz="0" w:space="0" w:color="auto"/>
        <w:left w:val="none" w:sz="0" w:space="0" w:color="auto"/>
        <w:bottom w:val="none" w:sz="0" w:space="0" w:color="auto"/>
        <w:right w:val="none" w:sz="0" w:space="0" w:color="auto"/>
      </w:divBdr>
    </w:div>
    <w:div w:id="2063098424">
      <w:bodyDiv w:val="1"/>
      <w:marLeft w:val="0"/>
      <w:marRight w:val="0"/>
      <w:marTop w:val="0"/>
      <w:marBottom w:val="0"/>
      <w:divBdr>
        <w:top w:val="none" w:sz="0" w:space="0" w:color="auto"/>
        <w:left w:val="none" w:sz="0" w:space="0" w:color="auto"/>
        <w:bottom w:val="none" w:sz="0" w:space="0" w:color="auto"/>
        <w:right w:val="none" w:sz="0" w:space="0" w:color="auto"/>
      </w:divBdr>
    </w:div>
    <w:div w:id="2089574642">
      <w:bodyDiv w:val="1"/>
      <w:marLeft w:val="0"/>
      <w:marRight w:val="0"/>
      <w:marTop w:val="0"/>
      <w:marBottom w:val="0"/>
      <w:divBdr>
        <w:top w:val="none" w:sz="0" w:space="0" w:color="auto"/>
        <w:left w:val="none" w:sz="0" w:space="0" w:color="auto"/>
        <w:bottom w:val="none" w:sz="0" w:space="0" w:color="auto"/>
        <w:right w:val="none" w:sz="0" w:space="0" w:color="auto"/>
      </w:divBdr>
    </w:div>
    <w:div w:id="2112429357">
      <w:bodyDiv w:val="1"/>
      <w:marLeft w:val="0"/>
      <w:marRight w:val="0"/>
      <w:marTop w:val="0"/>
      <w:marBottom w:val="0"/>
      <w:divBdr>
        <w:top w:val="none" w:sz="0" w:space="0" w:color="auto"/>
        <w:left w:val="none" w:sz="0" w:space="0" w:color="auto"/>
        <w:bottom w:val="none" w:sz="0" w:space="0" w:color="auto"/>
        <w:right w:val="none" w:sz="0" w:space="0" w:color="auto"/>
      </w:divBdr>
    </w:div>
    <w:div w:id="21402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diagramData" Target="diagrams/data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microsoft.com/office/2007/relationships/stylesWithEffects" Target="stylesWithEffects.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diagramColors" Target="diagrams/colors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EIS_2005.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________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plotArea>
      <c:layout>
        <c:manualLayout>
          <c:layoutTarget val="inner"/>
          <c:xMode val="edge"/>
          <c:yMode val="edge"/>
          <c:x val="0.10526123811562829"/>
          <c:y val="5.7810971168957809E-2"/>
          <c:w val="0.82527469187197522"/>
          <c:h val="0.43329387274866532"/>
        </c:manualLayout>
      </c:layout>
      <c:barChart>
        <c:barDir val="col"/>
        <c:grouping val="clustered"/>
        <c:ser>
          <c:idx val="0"/>
          <c:order val="0"/>
          <c:tx>
            <c:v>Εξοικονόμηση δαπανών</c:v>
          </c:tx>
          <c:cat>
            <c:strRef>
              <c:f>'ΕΣΟΔΑ ΚΑΙ ΔΑΠΑΝΕΣ 2018'!$A$3:$A$13</c:f>
              <c:strCache>
                <c:ptCount val="11"/>
                <c:pt idx="0">
                  <c:v>Διοικητικής Ανασυγκρότησης</c:v>
                </c:pt>
                <c:pt idx="1">
                  <c:v>Υγείας</c:v>
                </c:pt>
                <c:pt idx="2">
                  <c:v>Δικαιοσύνης, Διαφάνειας και Ανθρωπίνων Δικαιωμάτων</c:v>
                </c:pt>
                <c:pt idx="3">
                  <c:v>Πολιτισμού  και Αθλητισμού</c:v>
                </c:pt>
                <c:pt idx="4">
                  <c:v>Οικονομικών</c:v>
                </c:pt>
                <c:pt idx="5">
                  <c:v> Αγροτικής Ανάπτυξης και Τροφίμων</c:v>
                </c:pt>
                <c:pt idx="6">
                  <c:v> Περιβάλλοντος και Ενέργειας</c:v>
                </c:pt>
                <c:pt idx="7">
                  <c:v>Εργασίας, Κοιν. Ασφάλισης  και Κοιν. Αλληλεγγύης</c:v>
                </c:pt>
                <c:pt idx="8">
                  <c:v>Οικονομίας &amp; Ανάπτυξης</c:v>
                </c:pt>
                <c:pt idx="9">
                  <c:v>Υποδομών και Μεταφορών </c:v>
                </c:pt>
                <c:pt idx="10">
                  <c:v>Ναυτιλίας και Νησιωτικής Πολιτικής</c:v>
                </c:pt>
              </c:strCache>
            </c:strRef>
          </c:cat>
          <c:val>
            <c:numRef>
              <c:f>'ΕΣΟΔΑ ΚΑΙ ΔΑΠΑΝΕΣ 2018'!$B$3:$B$13</c:f>
              <c:numCache>
                <c:formatCode>#,##0.0</c:formatCode>
                <c:ptCount val="11"/>
                <c:pt idx="0">
                  <c:v>1.1399999999999852</c:v>
                </c:pt>
                <c:pt idx="1">
                  <c:v>25.67</c:v>
                </c:pt>
                <c:pt idx="2">
                  <c:v>3.1</c:v>
                </c:pt>
                <c:pt idx="3">
                  <c:v>3.72</c:v>
                </c:pt>
                <c:pt idx="4">
                  <c:v>6.2700000000000014</c:v>
                </c:pt>
                <c:pt idx="5">
                  <c:v>2.59</c:v>
                </c:pt>
                <c:pt idx="6">
                  <c:v>0.97000000000000064</c:v>
                </c:pt>
                <c:pt idx="7">
                  <c:v>29.99</c:v>
                </c:pt>
                <c:pt idx="8">
                  <c:v>1.6400000000000001</c:v>
                </c:pt>
                <c:pt idx="9">
                  <c:v>4.9300000000000024</c:v>
                </c:pt>
                <c:pt idx="10">
                  <c:v>8.32</c:v>
                </c:pt>
              </c:numCache>
            </c:numRef>
          </c:val>
        </c:ser>
        <c:ser>
          <c:idx val="1"/>
          <c:order val="1"/>
          <c:tx>
            <c:v>Aύξηση εσόδων</c:v>
          </c:tx>
          <c:cat>
            <c:strRef>
              <c:f>'ΕΣΟΔΑ ΚΑΙ ΔΑΠΑΝΕΣ 2018'!$A$3:$A$13</c:f>
              <c:strCache>
                <c:ptCount val="11"/>
                <c:pt idx="0">
                  <c:v>Διοικητικής Ανασυγκρότησης</c:v>
                </c:pt>
                <c:pt idx="1">
                  <c:v>Υγείας</c:v>
                </c:pt>
                <c:pt idx="2">
                  <c:v>Δικαιοσύνης, Διαφάνειας και Ανθρωπίνων Δικαιωμάτων</c:v>
                </c:pt>
                <c:pt idx="3">
                  <c:v>Πολιτισμού  και Αθλητισμού</c:v>
                </c:pt>
                <c:pt idx="4">
                  <c:v>Οικονομικών</c:v>
                </c:pt>
                <c:pt idx="5">
                  <c:v> Αγροτικής Ανάπτυξης και Τροφίμων</c:v>
                </c:pt>
                <c:pt idx="6">
                  <c:v> Περιβάλλοντος και Ενέργειας</c:v>
                </c:pt>
                <c:pt idx="7">
                  <c:v>Εργασίας, Κοιν. Ασφάλισης  και Κοιν. Αλληλεγγύης</c:v>
                </c:pt>
                <c:pt idx="8">
                  <c:v>Οικονομίας &amp; Ανάπτυξης</c:v>
                </c:pt>
                <c:pt idx="9">
                  <c:v>Υποδομών και Μεταφορών </c:v>
                </c:pt>
                <c:pt idx="10">
                  <c:v>Ναυτιλίας και Νησιωτικής Πολιτικής</c:v>
                </c:pt>
              </c:strCache>
            </c:strRef>
          </c:cat>
          <c:val>
            <c:numRef>
              <c:f>'ΕΣΟΔΑ ΚΑΙ ΔΑΠΑΝΕΣ 2018'!$C$3:$C$13</c:f>
              <c:numCache>
                <c:formatCode>@</c:formatCode>
                <c:ptCount val="11"/>
                <c:pt idx="0" formatCode="General">
                  <c:v>0</c:v>
                </c:pt>
                <c:pt idx="1">
                  <c:v>0</c:v>
                </c:pt>
                <c:pt idx="2">
                  <c:v>0</c:v>
                </c:pt>
                <c:pt idx="3">
                  <c:v>0</c:v>
                </c:pt>
                <c:pt idx="4" formatCode="General">
                  <c:v>0</c:v>
                </c:pt>
                <c:pt idx="5">
                  <c:v>0</c:v>
                </c:pt>
                <c:pt idx="6" formatCode="#,##0.0">
                  <c:v>0.21000000000000021</c:v>
                </c:pt>
                <c:pt idx="7">
                  <c:v>0</c:v>
                </c:pt>
                <c:pt idx="8">
                  <c:v>0</c:v>
                </c:pt>
                <c:pt idx="9">
                  <c:v>0</c:v>
                </c:pt>
                <c:pt idx="10" formatCode="#,##0.0">
                  <c:v>1.9500000000000122</c:v>
                </c:pt>
              </c:numCache>
            </c:numRef>
          </c:val>
        </c:ser>
        <c:axId val="175056768"/>
        <c:axId val="175058304"/>
      </c:barChart>
      <c:catAx>
        <c:axId val="175056768"/>
        <c:scaling>
          <c:orientation val="minMax"/>
        </c:scaling>
        <c:axPos val="b"/>
        <c:tickLblPos val="nextTo"/>
        <c:crossAx val="175058304"/>
        <c:crosses val="autoZero"/>
        <c:auto val="1"/>
        <c:lblAlgn val="ctr"/>
        <c:lblOffset val="100"/>
      </c:catAx>
      <c:valAx>
        <c:axId val="175058304"/>
        <c:scaling>
          <c:orientation val="minMax"/>
          <c:max val="30"/>
        </c:scaling>
        <c:axPos val="l"/>
        <c:majorGridlines/>
        <c:numFmt formatCode="#,##0.0" sourceLinked="1"/>
        <c:tickLblPos val="nextTo"/>
        <c:crossAx val="175056768"/>
        <c:crosses val="autoZero"/>
        <c:crossBetween val="between"/>
      </c:valAx>
    </c:plotArea>
    <c:legend>
      <c:legendPos val="b"/>
    </c:legend>
    <c:plotVisOnly val="1"/>
  </c:chart>
  <c:spPr>
    <a:ln>
      <a:noFill/>
    </a:ln>
  </c:spPr>
  <c:txPr>
    <a:bodyPr/>
    <a:lstStyle/>
    <a:p>
      <a:pPr>
        <a:defRPr sz="800">
          <a:latin typeface="Arial Narrow" pitchFamily="34" charset="0"/>
        </a:defRPr>
      </a:pPr>
      <a:endParaRPr lang="el-GR"/>
    </a:p>
  </c:txPr>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F39646-0BB1-47B0-A2C4-838E06A9FA4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l-GR"/>
        </a:p>
      </dgm:t>
    </dgm:pt>
    <dgm:pt modelId="{4C72372B-2480-4515-A22B-D81D2326EE4A}">
      <dgm:prSet phldrT="[Κείμενο]" custT="1"/>
      <dgm:spPr>
        <a:solidFill>
          <a:schemeClr val="lt1">
            <a:hueOff val="0"/>
            <a:satOff val="0"/>
            <a:lumOff val="0"/>
          </a:schemeClr>
        </a:solidFill>
      </dgm:spPr>
      <dgm:t>
        <a:bodyPr/>
        <a:lstStyle/>
        <a:p>
          <a:r>
            <a:rPr lang="el-GR" sz="900">
              <a:latin typeface="Arial Narrow" pitchFamily="34" charset="0"/>
              <a:cs typeface="Arial" pitchFamily="34" charset="0"/>
            </a:rPr>
            <a:t>Υγεία</a:t>
          </a:r>
        </a:p>
      </dgm:t>
    </dgm:pt>
    <dgm:pt modelId="{F263D299-062D-496E-BA24-59F68EDFC300}" type="parTrans" cxnId="{0BA7B6B0-3AEA-473B-B675-72AAFA10CD78}">
      <dgm:prSet/>
      <dgm:spPr/>
      <dgm:t>
        <a:bodyPr/>
        <a:lstStyle/>
        <a:p>
          <a:endParaRPr lang="el-GR"/>
        </a:p>
      </dgm:t>
    </dgm:pt>
    <dgm:pt modelId="{86DEA90A-B55B-4FF1-B800-6E8345FE68A1}" type="sibTrans" cxnId="{0BA7B6B0-3AEA-473B-B675-72AAFA10CD78}">
      <dgm:prSet/>
      <dgm:spPr/>
      <dgm:t>
        <a:bodyPr/>
        <a:lstStyle/>
        <a:p>
          <a:endParaRPr lang="el-GR"/>
        </a:p>
      </dgm:t>
    </dgm:pt>
    <dgm:pt modelId="{A0E4ED7B-C342-482C-8F04-69F529643707}">
      <dgm:prSet phldrT="[Κείμενο]" custT="1"/>
      <dgm:spPr>
        <a:solidFill>
          <a:schemeClr val="lt1">
            <a:hueOff val="0"/>
            <a:satOff val="0"/>
            <a:lumOff val="0"/>
          </a:schemeClr>
        </a:solidFill>
      </dgm:spPr>
      <dgm:t>
        <a:bodyPr/>
        <a:lstStyle/>
        <a:p>
          <a:r>
            <a:rPr lang="el-GR" sz="700">
              <a:latin typeface="Arial Narrow" pitchFamily="34" charset="0"/>
              <a:cs typeface="Arial" pitchFamily="34" charset="0"/>
            </a:rPr>
            <a:t>Υποστήριξη Πολιτικών Υγείας</a:t>
          </a:r>
        </a:p>
      </dgm:t>
    </dgm:pt>
    <dgm:pt modelId="{F0AD7C43-CB4E-452B-80B2-D866190AB4CD}" type="parTrans" cxnId="{5AB14515-1F37-454C-94B0-88F68D77D282}">
      <dgm:prSet/>
      <dgm:spPr/>
      <dgm:t>
        <a:bodyPr/>
        <a:lstStyle/>
        <a:p>
          <a:endParaRPr lang="el-GR"/>
        </a:p>
      </dgm:t>
    </dgm:pt>
    <dgm:pt modelId="{76630116-931F-4100-BD04-41826C53FC22}" type="sibTrans" cxnId="{5AB14515-1F37-454C-94B0-88F68D77D282}">
      <dgm:prSet/>
      <dgm:spPr/>
      <dgm:t>
        <a:bodyPr/>
        <a:lstStyle/>
        <a:p>
          <a:endParaRPr lang="el-GR"/>
        </a:p>
      </dgm:t>
    </dgm:pt>
    <dgm:pt modelId="{5733E53E-4E53-4A79-9DB8-1F7B1F9CC4C1}">
      <dgm:prSet phldrT="[Κείμενο]" custT="1"/>
      <dgm:spPr>
        <a:solidFill>
          <a:schemeClr val="lt1">
            <a:hueOff val="0"/>
            <a:satOff val="0"/>
            <a:lumOff val="0"/>
          </a:schemeClr>
        </a:solidFill>
      </dgm:spPr>
      <dgm:t>
        <a:bodyPr/>
        <a:lstStyle/>
        <a:p>
          <a:r>
            <a:rPr lang="el-GR" sz="700">
              <a:latin typeface="Arial Narrow" pitchFamily="34" charset="0"/>
              <a:cs typeface="Arial" pitchFamily="34" charset="0"/>
            </a:rPr>
            <a:t>Υλοποίηση Πολιτικών Υγείας και Κοινωνικής Αλληλεγγύης</a:t>
          </a:r>
        </a:p>
      </dgm:t>
    </dgm:pt>
    <dgm:pt modelId="{EB2BD41E-73DF-4240-9B31-0A64184A30DF}" type="parTrans" cxnId="{59BF4088-CDD6-4539-85BF-E1CA0ECA1680}">
      <dgm:prSet/>
      <dgm:spPr/>
      <dgm:t>
        <a:bodyPr/>
        <a:lstStyle/>
        <a:p>
          <a:endParaRPr lang="el-GR"/>
        </a:p>
      </dgm:t>
    </dgm:pt>
    <dgm:pt modelId="{779937BA-6DB3-4E2E-888D-65D1490AA4D9}" type="sibTrans" cxnId="{59BF4088-CDD6-4539-85BF-E1CA0ECA1680}">
      <dgm:prSet/>
      <dgm:spPr/>
      <dgm:t>
        <a:bodyPr/>
        <a:lstStyle/>
        <a:p>
          <a:endParaRPr lang="el-GR"/>
        </a:p>
      </dgm:t>
    </dgm:pt>
    <dgm:pt modelId="{33A5FA2A-115F-4364-A684-E19A503ABF9B}">
      <dgm:prSet custT="1"/>
      <dgm:spPr>
        <a:solidFill>
          <a:schemeClr val="lt1">
            <a:hueOff val="0"/>
            <a:satOff val="0"/>
            <a:lumOff val="0"/>
          </a:schemeClr>
        </a:solidFill>
      </dgm:spPr>
      <dgm:t>
        <a:bodyPr/>
        <a:lstStyle/>
        <a:p>
          <a:r>
            <a:rPr lang="el-GR" sz="700">
              <a:latin typeface="Arial Narrow" pitchFamily="34" charset="0"/>
              <a:cs typeface="Arial" pitchFamily="34" charset="0"/>
            </a:rPr>
            <a:t>Νοσοκομειακή Περίθαλψη</a:t>
          </a:r>
        </a:p>
      </dgm:t>
    </dgm:pt>
    <dgm:pt modelId="{BA57858D-3309-4FB7-8881-E6CAD8EDC831}" type="parTrans" cxnId="{6D62DCCA-DF58-421D-BF20-12D091F660C1}">
      <dgm:prSet/>
      <dgm:spPr/>
      <dgm:t>
        <a:bodyPr/>
        <a:lstStyle/>
        <a:p>
          <a:endParaRPr lang="el-GR"/>
        </a:p>
      </dgm:t>
    </dgm:pt>
    <dgm:pt modelId="{8734AAFD-E1DF-40CB-A983-35C75CDCC4DA}" type="sibTrans" cxnId="{6D62DCCA-DF58-421D-BF20-12D091F660C1}">
      <dgm:prSet/>
      <dgm:spPr/>
      <dgm:t>
        <a:bodyPr/>
        <a:lstStyle/>
        <a:p>
          <a:endParaRPr lang="el-GR"/>
        </a:p>
      </dgm:t>
    </dgm:pt>
    <dgm:pt modelId="{B0DD5176-20BE-4E70-B1F0-948DC13B8424}">
      <dgm:prSet custT="1"/>
      <dgm:spPr>
        <a:solidFill>
          <a:schemeClr val="lt1">
            <a:hueOff val="0"/>
            <a:satOff val="0"/>
            <a:lumOff val="0"/>
          </a:schemeClr>
        </a:solidFill>
      </dgm:spPr>
      <dgm:t>
        <a:bodyPr/>
        <a:lstStyle/>
        <a:p>
          <a:r>
            <a:rPr lang="el-GR" sz="700">
              <a:latin typeface="Arial Narrow" pitchFamily="34" charset="0"/>
              <a:cs typeface="Arial" pitchFamily="34" charset="0"/>
            </a:rPr>
            <a:t>Συντονισμός Νοσοκομείων και Πρωτοβάθμιας  Φροντίδας Υγείας</a:t>
          </a:r>
        </a:p>
      </dgm:t>
    </dgm:pt>
    <dgm:pt modelId="{99D3FC78-E85A-4F27-8F45-2A2AE2E30036}" type="parTrans" cxnId="{BE4E2020-6863-485A-AC00-9BA76AF74178}">
      <dgm:prSet/>
      <dgm:spPr/>
      <dgm:t>
        <a:bodyPr/>
        <a:lstStyle/>
        <a:p>
          <a:endParaRPr lang="el-GR"/>
        </a:p>
      </dgm:t>
    </dgm:pt>
    <dgm:pt modelId="{C1B2A97B-6E60-460F-B896-344135B69251}" type="sibTrans" cxnId="{BE4E2020-6863-485A-AC00-9BA76AF74178}">
      <dgm:prSet/>
      <dgm:spPr/>
      <dgm:t>
        <a:bodyPr/>
        <a:lstStyle/>
        <a:p>
          <a:endParaRPr lang="el-GR"/>
        </a:p>
      </dgm:t>
    </dgm:pt>
    <dgm:pt modelId="{2E1AF2A3-6A77-4E02-802E-5EE5B551F2ED}">
      <dgm:prSet custT="1"/>
      <dgm:spPr>
        <a:solidFill>
          <a:schemeClr val="lt1">
            <a:hueOff val="0"/>
            <a:satOff val="0"/>
            <a:lumOff val="0"/>
          </a:schemeClr>
        </a:solidFill>
      </dgm:spPr>
      <dgm:t>
        <a:bodyPr lIns="90000" tIns="46800" rIns="90000" bIns="46800"/>
        <a:lstStyle/>
        <a:p>
          <a:r>
            <a:rPr lang="el-GR" sz="900">
              <a:latin typeface="Arial Narrow" pitchFamily="34" charset="0"/>
              <a:cs typeface="Arial" pitchFamily="34" charset="0"/>
            </a:rPr>
            <a:t>Εκπαίδευση</a:t>
          </a:r>
        </a:p>
      </dgm:t>
    </dgm:pt>
    <dgm:pt modelId="{1DC2C1F1-FB5C-4742-BCC2-0EDE94C16C9B}" type="parTrans" cxnId="{A17089CB-E236-4E06-9DDD-E8F9AB3382AB}">
      <dgm:prSet/>
      <dgm:spPr/>
      <dgm:t>
        <a:bodyPr/>
        <a:lstStyle/>
        <a:p>
          <a:endParaRPr lang="el-GR"/>
        </a:p>
      </dgm:t>
    </dgm:pt>
    <dgm:pt modelId="{08002AB0-C80C-43AC-BD26-16492CD9DD90}" type="sibTrans" cxnId="{A17089CB-E236-4E06-9DDD-E8F9AB3382AB}">
      <dgm:prSet/>
      <dgm:spPr/>
      <dgm:t>
        <a:bodyPr/>
        <a:lstStyle/>
        <a:p>
          <a:endParaRPr lang="el-GR"/>
        </a:p>
      </dgm:t>
    </dgm:pt>
    <dgm:pt modelId="{3664AE15-EC3E-4D46-9C3B-7B5398037CA4}">
      <dgm:prSet custT="1"/>
      <dgm:spPr>
        <a:solidFill>
          <a:schemeClr val="lt1">
            <a:hueOff val="0"/>
            <a:satOff val="0"/>
            <a:lumOff val="0"/>
          </a:schemeClr>
        </a:solidFill>
      </dgm:spPr>
      <dgm:t>
        <a:bodyPr/>
        <a:lstStyle/>
        <a:p>
          <a:r>
            <a:rPr lang="el-GR" sz="700">
              <a:latin typeface="Arial Narrow" pitchFamily="34" charset="0"/>
              <a:cs typeface="Arial" pitchFamily="34" charset="0"/>
            </a:rPr>
            <a:t>Επιμόρφωση στον Τομέα της Δημόσιας Υγείας</a:t>
          </a:r>
        </a:p>
      </dgm:t>
    </dgm:pt>
    <dgm:pt modelId="{0FACB8B8-B7A3-4149-9608-89CEBFFCB151}" type="parTrans" cxnId="{3E55CBE0-461E-472F-8E8F-F8C21296272E}">
      <dgm:prSet/>
      <dgm:spPr/>
      <dgm:t>
        <a:bodyPr/>
        <a:lstStyle/>
        <a:p>
          <a:endParaRPr lang="el-GR"/>
        </a:p>
      </dgm:t>
    </dgm:pt>
    <dgm:pt modelId="{00AB51B3-433B-4589-9502-3170BC946C74}" type="sibTrans" cxnId="{3E55CBE0-461E-472F-8E8F-F8C21296272E}">
      <dgm:prSet/>
      <dgm:spPr/>
      <dgm:t>
        <a:bodyPr/>
        <a:lstStyle/>
        <a:p>
          <a:endParaRPr lang="el-GR"/>
        </a:p>
      </dgm:t>
    </dgm:pt>
    <dgm:pt modelId="{E974CBC5-C066-484F-997E-463C1E0FACCC}">
      <dgm:prSet custT="1"/>
      <dgm:spPr>
        <a:solidFill>
          <a:schemeClr val="lt1">
            <a:hueOff val="0"/>
            <a:satOff val="0"/>
            <a:lumOff val="0"/>
          </a:schemeClr>
        </a:solidFill>
      </dgm:spPr>
      <dgm:t>
        <a:bodyPr/>
        <a:lstStyle/>
        <a:p>
          <a:r>
            <a:rPr lang="el-GR" sz="900">
              <a:latin typeface="Arial Narrow" pitchFamily="34" charset="0"/>
              <a:cs typeface="Arial" pitchFamily="34" charset="0"/>
            </a:rPr>
            <a:t>Κοινωνική Προστασία</a:t>
          </a:r>
        </a:p>
      </dgm:t>
    </dgm:pt>
    <dgm:pt modelId="{4638B59D-EC99-4071-A2BF-1530F6088549}" type="parTrans" cxnId="{B420D5EC-3589-4B7E-AEDC-9677474AE28A}">
      <dgm:prSet/>
      <dgm:spPr/>
      <dgm:t>
        <a:bodyPr/>
        <a:lstStyle/>
        <a:p>
          <a:endParaRPr lang="el-GR"/>
        </a:p>
      </dgm:t>
    </dgm:pt>
    <dgm:pt modelId="{2AF25D6D-0C64-42B9-8D32-A3FD9EFCEF50}" type="sibTrans" cxnId="{B420D5EC-3589-4B7E-AEDC-9677474AE28A}">
      <dgm:prSet/>
      <dgm:spPr/>
      <dgm:t>
        <a:bodyPr/>
        <a:lstStyle/>
        <a:p>
          <a:endParaRPr lang="el-GR"/>
        </a:p>
      </dgm:t>
    </dgm:pt>
    <dgm:pt modelId="{0BBC36BF-2979-4EBD-A212-0BDCB67E3040}">
      <dgm:prSet custT="1"/>
      <dgm:spPr>
        <a:solidFill>
          <a:schemeClr val="lt1">
            <a:hueOff val="0"/>
            <a:satOff val="0"/>
            <a:lumOff val="0"/>
          </a:schemeClr>
        </a:solidFill>
      </dgm:spPr>
      <dgm:t>
        <a:bodyPr/>
        <a:lstStyle/>
        <a:p>
          <a:r>
            <a:rPr lang="el-GR" sz="700">
              <a:latin typeface="Arial Narrow" pitchFamily="34" charset="0"/>
              <a:cs typeface="Arial" pitchFamily="34" charset="0"/>
            </a:rPr>
            <a:t>Πολιτικές κατά των Ναρκωτικών </a:t>
          </a:r>
        </a:p>
      </dgm:t>
    </dgm:pt>
    <dgm:pt modelId="{AE5BAE77-AC57-4757-9821-9650B82D74EC}" type="parTrans" cxnId="{E8FF8EBE-580F-4786-A9E4-45EBFCC6443F}">
      <dgm:prSet/>
      <dgm:spPr/>
      <dgm:t>
        <a:bodyPr/>
        <a:lstStyle/>
        <a:p>
          <a:endParaRPr lang="el-GR"/>
        </a:p>
      </dgm:t>
    </dgm:pt>
    <dgm:pt modelId="{0E73D2DA-8265-462A-B696-2D63A11B0B60}" type="sibTrans" cxnId="{E8FF8EBE-580F-4786-A9E4-45EBFCC6443F}">
      <dgm:prSet/>
      <dgm:spPr/>
      <dgm:t>
        <a:bodyPr/>
        <a:lstStyle/>
        <a:p>
          <a:endParaRPr lang="el-GR"/>
        </a:p>
      </dgm:t>
    </dgm:pt>
    <dgm:pt modelId="{DCB3E9B7-A19A-44DE-B48D-662C64E575E3}">
      <dgm:prSet custT="1"/>
      <dgm:spPr>
        <a:solidFill>
          <a:schemeClr val="lt1">
            <a:hueOff val="0"/>
            <a:satOff val="0"/>
            <a:lumOff val="0"/>
          </a:schemeClr>
        </a:solidFill>
      </dgm:spPr>
      <dgm:t>
        <a:bodyPr/>
        <a:lstStyle/>
        <a:p>
          <a:r>
            <a:rPr lang="el-GR" sz="700">
              <a:latin typeface="Arial Narrow" pitchFamily="34" charset="0"/>
              <a:cs typeface="Arial" pitchFamily="34" charset="0"/>
            </a:rPr>
            <a:t>Πολιτικές Υγείας των Μεταναστών</a:t>
          </a:r>
        </a:p>
      </dgm:t>
    </dgm:pt>
    <dgm:pt modelId="{867B413E-B849-451A-AF19-7AE03C789693}" type="parTrans" cxnId="{2BDBEF36-6D63-41E3-BD9C-D4E9740835D9}">
      <dgm:prSet/>
      <dgm:spPr/>
      <dgm:t>
        <a:bodyPr/>
        <a:lstStyle/>
        <a:p>
          <a:endParaRPr lang="el-GR"/>
        </a:p>
      </dgm:t>
    </dgm:pt>
    <dgm:pt modelId="{812BE9C4-112F-42A9-B60E-90072018B793}" type="sibTrans" cxnId="{2BDBEF36-6D63-41E3-BD9C-D4E9740835D9}">
      <dgm:prSet/>
      <dgm:spPr/>
      <dgm:t>
        <a:bodyPr/>
        <a:lstStyle/>
        <a:p>
          <a:endParaRPr lang="el-GR"/>
        </a:p>
      </dgm:t>
    </dgm:pt>
    <dgm:pt modelId="{C84954D9-78D7-4B00-8535-4535043FF05C}">
      <dgm:prSet custT="1"/>
      <dgm:spPr>
        <a:solidFill>
          <a:schemeClr val="lt1">
            <a:hueOff val="0"/>
            <a:satOff val="0"/>
            <a:lumOff val="0"/>
          </a:schemeClr>
        </a:solidFill>
      </dgm:spPr>
      <dgm:t>
        <a:bodyPr/>
        <a:lstStyle/>
        <a:p>
          <a:r>
            <a:rPr lang="el-GR" sz="650">
              <a:latin typeface="Arial Narrow" pitchFamily="34" charset="0"/>
              <a:cs typeface="Arial" pitchFamily="34" charset="0"/>
            </a:rPr>
            <a:t>Πολιτικές Υποστήριξης της Αναπαραγωγής </a:t>
          </a:r>
        </a:p>
      </dgm:t>
    </dgm:pt>
    <dgm:pt modelId="{07B2B965-8A43-44D3-9342-3BEE0A1D1821}" type="parTrans" cxnId="{021C08BA-D074-45EE-9DAE-95E341802533}">
      <dgm:prSet/>
      <dgm:spPr/>
      <dgm:t>
        <a:bodyPr/>
        <a:lstStyle/>
        <a:p>
          <a:endParaRPr lang="el-GR"/>
        </a:p>
      </dgm:t>
    </dgm:pt>
    <dgm:pt modelId="{38C9B338-34D5-4226-BB5E-98BDCDFACDEE}" type="sibTrans" cxnId="{021C08BA-D074-45EE-9DAE-95E341802533}">
      <dgm:prSet/>
      <dgm:spPr/>
      <dgm:t>
        <a:bodyPr/>
        <a:lstStyle/>
        <a:p>
          <a:endParaRPr lang="el-GR"/>
        </a:p>
      </dgm:t>
    </dgm:pt>
    <dgm:pt modelId="{AE506DB5-201A-46DC-AFDE-721ED15C7C51}" type="pres">
      <dgm:prSet presAssocID="{4AF39646-0BB1-47B0-A2C4-838E06A9FA4C}" presName="hierChild1" presStyleCnt="0">
        <dgm:presLayoutVars>
          <dgm:chPref val="1"/>
          <dgm:dir/>
          <dgm:animOne val="branch"/>
          <dgm:animLvl val="lvl"/>
          <dgm:resizeHandles/>
        </dgm:presLayoutVars>
      </dgm:prSet>
      <dgm:spPr/>
      <dgm:t>
        <a:bodyPr/>
        <a:lstStyle/>
        <a:p>
          <a:endParaRPr lang="el-GR"/>
        </a:p>
      </dgm:t>
    </dgm:pt>
    <dgm:pt modelId="{7CF688B9-5394-4979-A083-6163458FD94A}" type="pres">
      <dgm:prSet presAssocID="{4C72372B-2480-4515-A22B-D81D2326EE4A}" presName="hierRoot1" presStyleCnt="0"/>
      <dgm:spPr/>
    </dgm:pt>
    <dgm:pt modelId="{C0E95693-ECFD-4C17-83F3-BB6BF4DC0828}" type="pres">
      <dgm:prSet presAssocID="{4C72372B-2480-4515-A22B-D81D2326EE4A}" presName="composite" presStyleCnt="0"/>
      <dgm:spPr/>
    </dgm:pt>
    <dgm:pt modelId="{0BF8FB7F-10A7-4379-9B38-B9E141063922}" type="pres">
      <dgm:prSet presAssocID="{4C72372B-2480-4515-A22B-D81D2326EE4A}" presName="background" presStyleLbl="node0" presStyleIdx="0" presStyleCnt="3"/>
      <dgm:spPr/>
    </dgm:pt>
    <dgm:pt modelId="{D6C445C6-6D95-4BD7-81DD-65C71584E834}" type="pres">
      <dgm:prSet presAssocID="{4C72372B-2480-4515-A22B-D81D2326EE4A}" presName="text" presStyleLbl="fgAcc0" presStyleIdx="0" presStyleCnt="3" custScaleX="258704" custScaleY="303337" custLinFactNeighborX="-3421" custLinFactNeighborY="-5609">
        <dgm:presLayoutVars>
          <dgm:chPref val="3"/>
        </dgm:presLayoutVars>
      </dgm:prSet>
      <dgm:spPr/>
      <dgm:t>
        <a:bodyPr/>
        <a:lstStyle/>
        <a:p>
          <a:endParaRPr lang="el-GR"/>
        </a:p>
      </dgm:t>
    </dgm:pt>
    <dgm:pt modelId="{0D2491CF-1F61-4DEA-A30D-11958252E21C}" type="pres">
      <dgm:prSet presAssocID="{4C72372B-2480-4515-A22B-D81D2326EE4A}" presName="hierChild2" presStyleCnt="0"/>
      <dgm:spPr/>
    </dgm:pt>
    <dgm:pt modelId="{80061DF8-6797-4267-AEB2-047F9DFB04C0}" type="pres">
      <dgm:prSet presAssocID="{F0AD7C43-CB4E-452B-80B2-D866190AB4CD}" presName="Name10" presStyleLbl="parChTrans1D2" presStyleIdx="0" presStyleCnt="8"/>
      <dgm:spPr/>
      <dgm:t>
        <a:bodyPr/>
        <a:lstStyle/>
        <a:p>
          <a:endParaRPr lang="el-GR"/>
        </a:p>
      </dgm:t>
    </dgm:pt>
    <dgm:pt modelId="{86560962-04DE-4CFA-B9D3-7D84763859D3}" type="pres">
      <dgm:prSet presAssocID="{A0E4ED7B-C342-482C-8F04-69F529643707}" presName="hierRoot2" presStyleCnt="0"/>
      <dgm:spPr/>
    </dgm:pt>
    <dgm:pt modelId="{96771A57-3545-4E00-8D35-3CD32B80660F}" type="pres">
      <dgm:prSet presAssocID="{A0E4ED7B-C342-482C-8F04-69F529643707}" presName="composite2" presStyleCnt="0"/>
      <dgm:spPr/>
    </dgm:pt>
    <dgm:pt modelId="{28EAB84C-EAE6-49EE-8274-576D3607486E}" type="pres">
      <dgm:prSet presAssocID="{A0E4ED7B-C342-482C-8F04-69F529643707}" presName="background2" presStyleLbl="node2" presStyleIdx="0" presStyleCnt="8"/>
      <dgm:spPr/>
    </dgm:pt>
    <dgm:pt modelId="{678F4EC2-C81F-4DE0-8F84-0460A3A17F99}" type="pres">
      <dgm:prSet presAssocID="{A0E4ED7B-C342-482C-8F04-69F529643707}" presName="text2" presStyleLbl="fgAcc2" presStyleIdx="0" presStyleCnt="8" custScaleX="154939" custScaleY="324272" custLinFactNeighborX="140">
        <dgm:presLayoutVars>
          <dgm:chPref val="3"/>
        </dgm:presLayoutVars>
      </dgm:prSet>
      <dgm:spPr/>
      <dgm:t>
        <a:bodyPr/>
        <a:lstStyle/>
        <a:p>
          <a:endParaRPr lang="el-GR"/>
        </a:p>
      </dgm:t>
    </dgm:pt>
    <dgm:pt modelId="{ED1C4724-D8F7-4A94-9926-303C457C7B8A}" type="pres">
      <dgm:prSet presAssocID="{A0E4ED7B-C342-482C-8F04-69F529643707}" presName="hierChild3" presStyleCnt="0"/>
      <dgm:spPr/>
    </dgm:pt>
    <dgm:pt modelId="{27FA275B-BDBC-44C9-BAD4-09F7AB91A5D5}" type="pres">
      <dgm:prSet presAssocID="{EB2BD41E-73DF-4240-9B31-0A64184A30DF}" presName="Name10" presStyleLbl="parChTrans1D2" presStyleIdx="1" presStyleCnt="8"/>
      <dgm:spPr/>
      <dgm:t>
        <a:bodyPr/>
        <a:lstStyle/>
        <a:p>
          <a:endParaRPr lang="el-GR"/>
        </a:p>
      </dgm:t>
    </dgm:pt>
    <dgm:pt modelId="{E58DC1E3-DC8C-4668-A9E0-C9D223E945D4}" type="pres">
      <dgm:prSet presAssocID="{5733E53E-4E53-4A79-9DB8-1F7B1F9CC4C1}" presName="hierRoot2" presStyleCnt="0"/>
      <dgm:spPr/>
    </dgm:pt>
    <dgm:pt modelId="{C50BB252-E2C8-4CA6-9F8B-2D5F381540C5}" type="pres">
      <dgm:prSet presAssocID="{5733E53E-4E53-4A79-9DB8-1F7B1F9CC4C1}" presName="composite2" presStyleCnt="0"/>
      <dgm:spPr/>
    </dgm:pt>
    <dgm:pt modelId="{5E83162A-655F-4A77-A078-4BD7B858D8BE}" type="pres">
      <dgm:prSet presAssocID="{5733E53E-4E53-4A79-9DB8-1F7B1F9CC4C1}" presName="background2" presStyleLbl="node2" presStyleIdx="1" presStyleCnt="8"/>
      <dgm:spPr/>
    </dgm:pt>
    <dgm:pt modelId="{70EF4264-8304-4B64-940A-BB8B67287616}" type="pres">
      <dgm:prSet presAssocID="{5733E53E-4E53-4A79-9DB8-1F7B1F9CC4C1}" presName="text2" presStyleLbl="fgAcc2" presStyleIdx="1" presStyleCnt="8" custScaleX="166871" custScaleY="319426" custLinFactNeighborX="140">
        <dgm:presLayoutVars>
          <dgm:chPref val="3"/>
        </dgm:presLayoutVars>
      </dgm:prSet>
      <dgm:spPr/>
      <dgm:t>
        <a:bodyPr/>
        <a:lstStyle/>
        <a:p>
          <a:endParaRPr lang="el-GR"/>
        </a:p>
      </dgm:t>
    </dgm:pt>
    <dgm:pt modelId="{7D453E09-0CEE-4B2A-805C-6B0A54D985C2}" type="pres">
      <dgm:prSet presAssocID="{5733E53E-4E53-4A79-9DB8-1F7B1F9CC4C1}" presName="hierChild3" presStyleCnt="0"/>
      <dgm:spPr/>
    </dgm:pt>
    <dgm:pt modelId="{C6D7033C-49EB-43CF-A5E2-65BA022E6E3B}" type="pres">
      <dgm:prSet presAssocID="{BA57858D-3309-4FB7-8881-E6CAD8EDC831}" presName="Name10" presStyleLbl="parChTrans1D2" presStyleIdx="2" presStyleCnt="8"/>
      <dgm:spPr/>
      <dgm:t>
        <a:bodyPr/>
        <a:lstStyle/>
        <a:p>
          <a:endParaRPr lang="el-GR"/>
        </a:p>
      </dgm:t>
    </dgm:pt>
    <dgm:pt modelId="{3432D1CB-19CE-4562-92B5-D1269073C69B}" type="pres">
      <dgm:prSet presAssocID="{33A5FA2A-115F-4364-A684-E19A503ABF9B}" presName="hierRoot2" presStyleCnt="0"/>
      <dgm:spPr/>
    </dgm:pt>
    <dgm:pt modelId="{D3A061B1-272E-4601-97F4-CF77B6262A6F}" type="pres">
      <dgm:prSet presAssocID="{33A5FA2A-115F-4364-A684-E19A503ABF9B}" presName="composite2" presStyleCnt="0"/>
      <dgm:spPr/>
    </dgm:pt>
    <dgm:pt modelId="{37CB8C5E-9237-43AA-B305-8C6DD6359B7D}" type="pres">
      <dgm:prSet presAssocID="{33A5FA2A-115F-4364-A684-E19A503ABF9B}" presName="background2" presStyleLbl="node2" presStyleIdx="2" presStyleCnt="8"/>
      <dgm:spPr/>
    </dgm:pt>
    <dgm:pt modelId="{54773EFC-7BB5-4308-9F81-DCA421E847FB}" type="pres">
      <dgm:prSet presAssocID="{33A5FA2A-115F-4364-A684-E19A503ABF9B}" presName="text2" presStyleLbl="fgAcc2" presStyleIdx="2" presStyleCnt="8" custScaleX="186177" custScaleY="331181" custLinFactNeighborX="140">
        <dgm:presLayoutVars>
          <dgm:chPref val="3"/>
        </dgm:presLayoutVars>
      </dgm:prSet>
      <dgm:spPr/>
      <dgm:t>
        <a:bodyPr/>
        <a:lstStyle/>
        <a:p>
          <a:endParaRPr lang="el-GR"/>
        </a:p>
      </dgm:t>
    </dgm:pt>
    <dgm:pt modelId="{2E86C446-D768-4EDF-89EE-DB8ECE289B68}" type="pres">
      <dgm:prSet presAssocID="{33A5FA2A-115F-4364-A684-E19A503ABF9B}" presName="hierChild3" presStyleCnt="0"/>
      <dgm:spPr/>
    </dgm:pt>
    <dgm:pt modelId="{D047B411-8362-4F5C-AE0D-D557D0B64AF9}" type="pres">
      <dgm:prSet presAssocID="{99D3FC78-E85A-4F27-8F45-2A2AE2E30036}" presName="Name10" presStyleLbl="parChTrans1D2" presStyleIdx="3" presStyleCnt="8"/>
      <dgm:spPr/>
      <dgm:t>
        <a:bodyPr/>
        <a:lstStyle/>
        <a:p>
          <a:endParaRPr lang="el-GR"/>
        </a:p>
      </dgm:t>
    </dgm:pt>
    <dgm:pt modelId="{94E3B8B7-FB71-48A5-AF89-D315F4588EDB}" type="pres">
      <dgm:prSet presAssocID="{B0DD5176-20BE-4E70-B1F0-948DC13B8424}" presName="hierRoot2" presStyleCnt="0"/>
      <dgm:spPr/>
    </dgm:pt>
    <dgm:pt modelId="{FC26814A-A728-4B02-845B-4B8A7706465D}" type="pres">
      <dgm:prSet presAssocID="{B0DD5176-20BE-4E70-B1F0-948DC13B8424}" presName="composite2" presStyleCnt="0"/>
      <dgm:spPr/>
    </dgm:pt>
    <dgm:pt modelId="{68FAAD71-6A2C-4D26-90C6-BA865E5B2D49}" type="pres">
      <dgm:prSet presAssocID="{B0DD5176-20BE-4E70-B1F0-948DC13B8424}" presName="background2" presStyleLbl="node2" presStyleIdx="3" presStyleCnt="8"/>
      <dgm:spPr/>
    </dgm:pt>
    <dgm:pt modelId="{DC79E7D0-A3A4-4F9F-85E1-42D87A69FA27}" type="pres">
      <dgm:prSet presAssocID="{B0DD5176-20BE-4E70-B1F0-948DC13B8424}" presName="text2" presStyleLbl="fgAcc2" presStyleIdx="3" presStyleCnt="8" custScaleX="195672" custScaleY="316648" custLinFactNeighborX="140">
        <dgm:presLayoutVars>
          <dgm:chPref val="3"/>
        </dgm:presLayoutVars>
      </dgm:prSet>
      <dgm:spPr/>
      <dgm:t>
        <a:bodyPr/>
        <a:lstStyle/>
        <a:p>
          <a:endParaRPr lang="el-GR"/>
        </a:p>
      </dgm:t>
    </dgm:pt>
    <dgm:pt modelId="{8B5E7D47-1DD8-40F8-ABEC-E70186F2A315}" type="pres">
      <dgm:prSet presAssocID="{B0DD5176-20BE-4E70-B1F0-948DC13B8424}" presName="hierChild3" presStyleCnt="0"/>
      <dgm:spPr/>
    </dgm:pt>
    <dgm:pt modelId="{D8C71C97-51D4-4971-B281-4B1F3655F0A3}" type="pres">
      <dgm:prSet presAssocID="{2E1AF2A3-6A77-4E02-802E-5EE5B551F2ED}" presName="hierRoot1" presStyleCnt="0"/>
      <dgm:spPr/>
    </dgm:pt>
    <dgm:pt modelId="{CC22B80F-71FE-48EE-9A17-2C6D8368C675}" type="pres">
      <dgm:prSet presAssocID="{2E1AF2A3-6A77-4E02-802E-5EE5B551F2ED}" presName="composite" presStyleCnt="0"/>
      <dgm:spPr/>
    </dgm:pt>
    <dgm:pt modelId="{05677491-7277-468E-B0B2-E7EB515211B4}" type="pres">
      <dgm:prSet presAssocID="{2E1AF2A3-6A77-4E02-802E-5EE5B551F2ED}" presName="background" presStyleLbl="node0" presStyleIdx="1" presStyleCnt="3"/>
      <dgm:spPr/>
    </dgm:pt>
    <dgm:pt modelId="{43CA7B70-DCAB-4CF2-A9FE-029B92FDC204}" type="pres">
      <dgm:prSet presAssocID="{2E1AF2A3-6A77-4E02-802E-5EE5B551F2ED}" presName="text" presStyleLbl="fgAcc0" presStyleIdx="1" presStyleCnt="3" custScaleX="238394" custScaleY="285050" custLinFactNeighborX="1401" custLinFactNeighborY="10725">
        <dgm:presLayoutVars>
          <dgm:chPref val="3"/>
        </dgm:presLayoutVars>
      </dgm:prSet>
      <dgm:spPr/>
      <dgm:t>
        <a:bodyPr/>
        <a:lstStyle/>
        <a:p>
          <a:endParaRPr lang="el-GR"/>
        </a:p>
      </dgm:t>
    </dgm:pt>
    <dgm:pt modelId="{A52BAC44-063F-429E-834B-F4486C7178BF}" type="pres">
      <dgm:prSet presAssocID="{2E1AF2A3-6A77-4E02-802E-5EE5B551F2ED}" presName="hierChild2" presStyleCnt="0"/>
      <dgm:spPr/>
    </dgm:pt>
    <dgm:pt modelId="{1BB83A49-0072-461C-BA38-31794E5F9678}" type="pres">
      <dgm:prSet presAssocID="{0FACB8B8-B7A3-4149-9608-89CEBFFCB151}" presName="Name10" presStyleLbl="parChTrans1D2" presStyleIdx="4" presStyleCnt="8"/>
      <dgm:spPr/>
      <dgm:t>
        <a:bodyPr/>
        <a:lstStyle/>
        <a:p>
          <a:endParaRPr lang="el-GR"/>
        </a:p>
      </dgm:t>
    </dgm:pt>
    <dgm:pt modelId="{AEE04D8C-493E-4D65-BCCD-3BED5E353C09}" type="pres">
      <dgm:prSet presAssocID="{3664AE15-EC3E-4D46-9C3B-7B5398037CA4}" presName="hierRoot2" presStyleCnt="0"/>
      <dgm:spPr/>
    </dgm:pt>
    <dgm:pt modelId="{3EB50526-82D7-488F-94A3-CFAB399DFF21}" type="pres">
      <dgm:prSet presAssocID="{3664AE15-EC3E-4D46-9C3B-7B5398037CA4}" presName="composite2" presStyleCnt="0"/>
      <dgm:spPr/>
    </dgm:pt>
    <dgm:pt modelId="{7F43F873-545C-456E-85BA-426FADBD260E}" type="pres">
      <dgm:prSet presAssocID="{3664AE15-EC3E-4D46-9C3B-7B5398037CA4}" presName="background2" presStyleLbl="node2" presStyleIdx="4" presStyleCnt="8"/>
      <dgm:spPr/>
    </dgm:pt>
    <dgm:pt modelId="{21811BEE-386F-491F-836F-4B4AB7E25284}" type="pres">
      <dgm:prSet presAssocID="{3664AE15-EC3E-4D46-9C3B-7B5398037CA4}" presName="text2" presStyleLbl="fgAcc2" presStyleIdx="4" presStyleCnt="8" custScaleX="192956" custScaleY="327883" custLinFactNeighborX="4615" custLinFactNeighborY="23634">
        <dgm:presLayoutVars>
          <dgm:chPref val="3"/>
        </dgm:presLayoutVars>
      </dgm:prSet>
      <dgm:spPr/>
      <dgm:t>
        <a:bodyPr/>
        <a:lstStyle/>
        <a:p>
          <a:endParaRPr lang="el-GR"/>
        </a:p>
      </dgm:t>
    </dgm:pt>
    <dgm:pt modelId="{0CE20D8D-B0D1-4C9A-94D1-CC308FD01182}" type="pres">
      <dgm:prSet presAssocID="{3664AE15-EC3E-4D46-9C3B-7B5398037CA4}" presName="hierChild3" presStyleCnt="0"/>
      <dgm:spPr/>
    </dgm:pt>
    <dgm:pt modelId="{94FBAC7C-2393-4470-B084-D72D5052DEDC}" type="pres">
      <dgm:prSet presAssocID="{E974CBC5-C066-484F-997E-463C1E0FACCC}" presName="hierRoot1" presStyleCnt="0"/>
      <dgm:spPr/>
    </dgm:pt>
    <dgm:pt modelId="{FAD2F10D-EA38-46DC-96F2-CC9DC98C8A35}" type="pres">
      <dgm:prSet presAssocID="{E974CBC5-C066-484F-997E-463C1E0FACCC}" presName="composite" presStyleCnt="0"/>
      <dgm:spPr/>
    </dgm:pt>
    <dgm:pt modelId="{8A8BDD0F-2E23-4794-B8A0-DB57B8F72712}" type="pres">
      <dgm:prSet presAssocID="{E974CBC5-C066-484F-997E-463C1E0FACCC}" presName="background" presStyleLbl="node0" presStyleIdx="2" presStyleCnt="3"/>
      <dgm:spPr/>
      <dgm:t>
        <a:bodyPr/>
        <a:lstStyle/>
        <a:p>
          <a:endParaRPr lang="el-GR"/>
        </a:p>
      </dgm:t>
    </dgm:pt>
    <dgm:pt modelId="{5394B19A-C403-4ADB-BD36-F2F158BA59B5}" type="pres">
      <dgm:prSet presAssocID="{E974CBC5-C066-484F-997E-463C1E0FACCC}" presName="text" presStyleLbl="fgAcc0" presStyleIdx="2" presStyleCnt="3" custScaleX="215451" custScaleY="292987" custLinFactNeighborX="-11434" custLinFactNeighborY="9820">
        <dgm:presLayoutVars>
          <dgm:chPref val="3"/>
        </dgm:presLayoutVars>
      </dgm:prSet>
      <dgm:spPr/>
      <dgm:t>
        <a:bodyPr/>
        <a:lstStyle/>
        <a:p>
          <a:endParaRPr lang="el-GR"/>
        </a:p>
      </dgm:t>
    </dgm:pt>
    <dgm:pt modelId="{BEBAB4A3-1AFB-438A-A5F4-3B3DB2691A75}" type="pres">
      <dgm:prSet presAssocID="{E974CBC5-C066-484F-997E-463C1E0FACCC}" presName="hierChild2" presStyleCnt="0"/>
      <dgm:spPr/>
    </dgm:pt>
    <dgm:pt modelId="{CF6EB31D-079B-4EF3-B1F1-44BA1ADF8972}" type="pres">
      <dgm:prSet presAssocID="{AE5BAE77-AC57-4757-9821-9650B82D74EC}" presName="Name10" presStyleLbl="parChTrans1D2" presStyleIdx="5" presStyleCnt="8"/>
      <dgm:spPr/>
      <dgm:t>
        <a:bodyPr/>
        <a:lstStyle/>
        <a:p>
          <a:endParaRPr lang="el-GR"/>
        </a:p>
      </dgm:t>
    </dgm:pt>
    <dgm:pt modelId="{171C9E16-69B2-40CA-A137-CCBD2EBA0B4C}" type="pres">
      <dgm:prSet presAssocID="{0BBC36BF-2979-4EBD-A212-0BDCB67E3040}" presName="hierRoot2" presStyleCnt="0"/>
      <dgm:spPr/>
    </dgm:pt>
    <dgm:pt modelId="{05D05DD0-80BF-4EB6-96DD-572654CE3EA3}" type="pres">
      <dgm:prSet presAssocID="{0BBC36BF-2979-4EBD-A212-0BDCB67E3040}" presName="composite2" presStyleCnt="0"/>
      <dgm:spPr/>
    </dgm:pt>
    <dgm:pt modelId="{1ABED451-10F4-4E87-B467-29E8B2CB2531}" type="pres">
      <dgm:prSet presAssocID="{0BBC36BF-2979-4EBD-A212-0BDCB67E3040}" presName="background2" presStyleLbl="node2" presStyleIdx="5" presStyleCnt="8"/>
      <dgm:spPr/>
    </dgm:pt>
    <dgm:pt modelId="{B57F0D8C-BE5A-45BE-A98C-B43580597CFB}" type="pres">
      <dgm:prSet presAssocID="{0BBC36BF-2979-4EBD-A212-0BDCB67E3040}" presName="text2" presStyleLbl="fgAcc2" presStyleIdx="5" presStyleCnt="8" custScaleX="161773" custScaleY="299646" custLinFactNeighborX="5441" custLinFactNeighborY="34428">
        <dgm:presLayoutVars>
          <dgm:chPref val="3"/>
        </dgm:presLayoutVars>
      </dgm:prSet>
      <dgm:spPr/>
      <dgm:t>
        <a:bodyPr/>
        <a:lstStyle/>
        <a:p>
          <a:endParaRPr lang="el-GR"/>
        </a:p>
      </dgm:t>
    </dgm:pt>
    <dgm:pt modelId="{43F1C864-FEFE-499C-9B11-6F2CF29B2E05}" type="pres">
      <dgm:prSet presAssocID="{0BBC36BF-2979-4EBD-A212-0BDCB67E3040}" presName="hierChild3" presStyleCnt="0"/>
      <dgm:spPr/>
    </dgm:pt>
    <dgm:pt modelId="{4219C4C7-E3A2-45FE-A6E5-57F916693436}" type="pres">
      <dgm:prSet presAssocID="{867B413E-B849-451A-AF19-7AE03C789693}" presName="Name10" presStyleLbl="parChTrans1D2" presStyleIdx="6" presStyleCnt="8"/>
      <dgm:spPr/>
      <dgm:t>
        <a:bodyPr/>
        <a:lstStyle/>
        <a:p>
          <a:endParaRPr lang="el-GR"/>
        </a:p>
      </dgm:t>
    </dgm:pt>
    <dgm:pt modelId="{685D7FB2-82CA-4F8D-96BE-A60606B5DF64}" type="pres">
      <dgm:prSet presAssocID="{DCB3E9B7-A19A-44DE-B48D-662C64E575E3}" presName="hierRoot2" presStyleCnt="0"/>
      <dgm:spPr/>
    </dgm:pt>
    <dgm:pt modelId="{37176F2F-8CEF-4956-86C1-AF80FA72FBAC}" type="pres">
      <dgm:prSet presAssocID="{DCB3E9B7-A19A-44DE-B48D-662C64E575E3}" presName="composite2" presStyleCnt="0"/>
      <dgm:spPr/>
    </dgm:pt>
    <dgm:pt modelId="{3898B319-7C18-46C3-92D7-6BCC79B395F2}" type="pres">
      <dgm:prSet presAssocID="{DCB3E9B7-A19A-44DE-B48D-662C64E575E3}" presName="background2" presStyleLbl="node2" presStyleIdx="6" presStyleCnt="8"/>
      <dgm:spPr/>
    </dgm:pt>
    <dgm:pt modelId="{AFA28411-A5AF-427C-9CB3-3B4FAF9706CF}" type="pres">
      <dgm:prSet presAssocID="{DCB3E9B7-A19A-44DE-B48D-662C64E575E3}" presName="text2" presStyleLbl="fgAcc2" presStyleIdx="6" presStyleCnt="8" custScaleX="166111" custScaleY="301449" custLinFactNeighborX="-2615" custLinFactNeighborY="43484">
        <dgm:presLayoutVars>
          <dgm:chPref val="3"/>
        </dgm:presLayoutVars>
      </dgm:prSet>
      <dgm:spPr/>
      <dgm:t>
        <a:bodyPr/>
        <a:lstStyle/>
        <a:p>
          <a:endParaRPr lang="el-GR"/>
        </a:p>
      </dgm:t>
    </dgm:pt>
    <dgm:pt modelId="{1736E56D-3959-45C6-B8E1-81687F98BB2A}" type="pres">
      <dgm:prSet presAssocID="{DCB3E9B7-A19A-44DE-B48D-662C64E575E3}" presName="hierChild3" presStyleCnt="0"/>
      <dgm:spPr/>
    </dgm:pt>
    <dgm:pt modelId="{EAEDE423-B539-46BE-990C-463F975C7F92}" type="pres">
      <dgm:prSet presAssocID="{07B2B965-8A43-44D3-9342-3BEE0A1D1821}" presName="Name10" presStyleLbl="parChTrans1D2" presStyleIdx="7" presStyleCnt="8"/>
      <dgm:spPr/>
      <dgm:t>
        <a:bodyPr/>
        <a:lstStyle/>
        <a:p>
          <a:endParaRPr lang="el-GR"/>
        </a:p>
      </dgm:t>
    </dgm:pt>
    <dgm:pt modelId="{911118FF-8D98-4732-82FE-517AF5DDAFAC}" type="pres">
      <dgm:prSet presAssocID="{C84954D9-78D7-4B00-8535-4535043FF05C}" presName="hierRoot2" presStyleCnt="0"/>
      <dgm:spPr/>
    </dgm:pt>
    <dgm:pt modelId="{B66313AA-CE8C-4F1D-8B2E-02DAAE48B97C}" type="pres">
      <dgm:prSet presAssocID="{C84954D9-78D7-4B00-8535-4535043FF05C}" presName="composite2" presStyleCnt="0"/>
      <dgm:spPr/>
    </dgm:pt>
    <dgm:pt modelId="{D04A9F0A-7B00-4963-A962-C6280C7AA3D5}" type="pres">
      <dgm:prSet presAssocID="{C84954D9-78D7-4B00-8535-4535043FF05C}" presName="background2" presStyleLbl="node2" presStyleIdx="7" presStyleCnt="8"/>
      <dgm:spPr/>
    </dgm:pt>
    <dgm:pt modelId="{9E97B3F6-FF68-4DCB-8853-1B7B513B8121}" type="pres">
      <dgm:prSet presAssocID="{C84954D9-78D7-4B00-8535-4535043FF05C}" presName="text2" presStyleLbl="fgAcc2" presStyleIdx="7" presStyleCnt="8" custScaleX="184650" custScaleY="313481" custLinFactNeighborX="16306" custLinFactNeighborY="56331">
        <dgm:presLayoutVars>
          <dgm:chPref val="3"/>
        </dgm:presLayoutVars>
      </dgm:prSet>
      <dgm:spPr/>
      <dgm:t>
        <a:bodyPr/>
        <a:lstStyle/>
        <a:p>
          <a:endParaRPr lang="el-GR"/>
        </a:p>
      </dgm:t>
    </dgm:pt>
    <dgm:pt modelId="{054F1F2F-E71B-4364-B604-02593CBCAF8F}" type="pres">
      <dgm:prSet presAssocID="{C84954D9-78D7-4B00-8535-4535043FF05C}" presName="hierChild3" presStyleCnt="0"/>
      <dgm:spPr/>
    </dgm:pt>
  </dgm:ptLst>
  <dgm:cxnLst>
    <dgm:cxn modelId="{B420D5EC-3589-4B7E-AEDC-9677474AE28A}" srcId="{4AF39646-0BB1-47B0-A2C4-838E06A9FA4C}" destId="{E974CBC5-C066-484F-997E-463C1E0FACCC}" srcOrd="2" destOrd="0" parTransId="{4638B59D-EC99-4071-A2BF-1530F6088549}" sibTransId="{2AF25D6D-0C64-42B9-8D32-A3FD9EFCEF50}"/>
    <dgm:cxn modelId="{59A1189D-2EF6-4260-A7F1-67B237EB275F}" type="presOf" srcId="{0FACB8B8-B7A3-4149-9608-89CEBFFCB151}" destId="{1BB83A49-0072-461C-BA38-31794E5F9678}" srcOrd="0" destOrd="0" presId="urn:microsoft.com/office/officeart/2005/8/layout/hierarchy1"/>
    <dgm:cxn modelId="{0BA7B6B0-3AEA-473B-B675-72AAFA10CD78}" srcId="{4AF39646-0BB1-47B0-A2C4-838E06A9FA4C}" destId="{4C72372B-2480-4515-A22B-D81D2326EE4A}" srcOrd="0" destOrd="0" parTransId="{F263D299-062D-496E-BA24-59F68EDFC300}" sibTransId="{86DEA90A-B55B-4FF1-B800-6E8345FE68A1}"/>
    <dgm:cxn modelId="{2BDBEF36-6D63-41E3-BD9C-D4E9740835D9}" srcId="{E974CBC5-C066-484F-997E-463C1E0FACCC}" destId="{DCB3E9B7-A19A-44DE-B48D-662C64E575E3}" srcOrd="1" destOrd="0" parTransId="{867B413E-B849-451A-AF19-7AE03C789693}" sibTransId="{812BE9C4-112F-42A9-B60E-90072018B793}"/>
    <dgm:cxn modelId="{63E17C6D-51C7-4CA2-AC1A-D814DFC368CF}" type="presOf" srcId="{DCB3E9B7-A19A-44DE-B48D-662C64E575E3}" destId="{AFA28411-A5AF-427C-9CB3-3B4FAF9706CF}" srcOrd="0" destOrd="0" presId="urn:microsoft.com/office/officeart/2005/8/layout/hierarchy1"/>
    <dgm:cxn modelId="{5E0B1DA2-8514-46B8-B255-F35EB36EE9FB}" type="presOf" srcId="{E974CBC5-C066-484F-997E-463C1E0FACCC}" destId="{5394B19A-C403-4ADB-BD36-F2F158BA59B5}" srcOrd="0" destOrd="0" presId="urn:microsoft.com/office/officeart/2005/8/layout/hierarchy1"/>
    <dgm:cxn modelId="{D97E3E46-C036-45E2-8E8D-BDC5063633DC}" type="presOf" srcId="{2E1AF2A3-6A77-4E02-802E-5EE5B551F2ED}" destId="{43CA7B70-DCAB-4CF2-A9FE-029B92FDC204}" srcOrd="0" destOrd="0" presId="urn:microsoft.com/office/officeart/2005/8/layout/hierarchy1"/>
    <dgm:cxn modelId="{59BF4088-CDD6-4539-85BF-E1CA0ECA1680}" srcId="{4C72372B-2480-4515-A22B-D81D2326EE4A}" destId="{5733E53E-4E53-4A79-9DB8-1F7B1F9CC4C1}" srcOrd="1" destOrd="0" parTransId="{EB2BD41E-73DF-4240-9B31-0A64184A30DF}" sibTransId="{779937BA-6DB3-4E2E-888D-65D1490AA4D9}"/>
    <dgm:cxn modelId="{6D62DCCA-DF58-421D-BF20-12D091F660C1}" srcId="{4C72372B-2480-4515-A22B-D81D2326EE4A}" destId="{33A5FA2A-115F-4364-A684-E19A503ABF9B}" srcOrd="2" destOrd="0" parTransId="{BA57858D-3309-4FB7-8881-E6CAD8EDC831}" sibTransId="{8734AAFD-E1DF-40CB-A983-35C75CDCC4DA}"/>
    <dgm:cxn modelId="{E8FF8EBE-580F-4786-A9E4-45EBFCC6443F}" srcId="{E974CBC5-C066-484F-997E-463C1E0FACCC}" destId="{0BBC36BF-2979-4EBD-A212-0BDCB67E3040}" srcOrd="0" destOrd="0" parTransId="{AE5BAE77-AC57-4757-9821-9650B82D74EC}" sibTransId="{0E73D2DA-8265-462A-B696-2D63A11B0B60}"/>
    <dgm:cxn modelId="{8D953B75-723C-4B16-B195-1AE92CBD2851}" type="presOf" srcId="{867B413E-B849-451A-AF19-7AE03C789693}" destId="{4219C4C7-E3A2-45FE-A6E5-57F916693436}" srcOrd="0" destOrd="0" presId="urn:microsoft.com/office/officeart/2005/8/layout/hierarchy1"/>
    <dgm:cxn modelId="{EA0E9EE5-210F-455F-940E-1F26F3334B46}" type="presOf" srcId="{0BBC36BF-2979-4EBD-A212-0BDCB67E3040}" destId="{B57F0D8C-BE5A-45BE-A98C-B43580597CFB}" srcOrd="0" destOrd="0" presId="urn:microsoft.com/office/officeart/2005/8/layout/hierarchy1"/>
    <dgm:cxn modelId="{E26F2C0C-FB37-4342-97C2-F85278C825DB}" type="presOf" srcId="{4AF39646-0BB1-47B0-A2C4-838E06A9FA4C}" destId="{AE506DB5-201A-46DC-AFDE-721ED15C7C51}" srcOrd="0" destOrd="0" presId="urn:microsoft.com/office/officeart/2005/8/layout/hierarchy1"/>
    <dgm:cxn modelId="{B4990C63-67C5-47D9-91D5-FC9C3F9F7152}" type="presOf" srcId="{F0AD7C43-CB4E-452B-80B2-D866190AB4CD}" destId="{80061DF8-6797-4267-AEB2-047F9DFB04C0}" srcOrd="0" destOrd="0" presId="urn:microsoft.com/office/officeart/2005/8/layout/hierarchy1"/>
    <dgm:cxn modelId="{021C08BA-D074-45EE-9DAE-95E341802533}" srcId="{E974CBC5-C066-484F-997E-463C1E0FACCC}" destId="{C84954D9-78D7-4B00-8535-4535043FF05C}" srcOrd="2" destOrd="0" parTransId="{07B2B965-8A43-44D3-9342-3BEE0A1D1821}" sibTransId="{38C9B338-34D5-4226-BB5E-98BDCDFACDEE}"/>
    <dgm:cxn modelId="{2A7B6F0D-0D40-40AF-8A65-C2F4CC9FEFC9}" type="presOf" srcId="{AE5BAE77-AC57-4757-9821-9650B82D74EC}" destId="{CF6EB31D-079B-4EF3-B1F1-44BA1ADF8972}" srcOrd="0" destOrd="0" presId="urn:microsoft.com/office/officeart/2005/8/layout/hierarchy1"/>
    <dgm:cxn modelId="{A2DE8058-F2EE-4626-B299-E5383E0CCAAD}" type="presOf" srcId="{33A5FA2A-115F-4364-A684-E19A503ABF9B}" destId="{54773EFC-7BB5-4308-9F81-DCA421E847FB}" srcOrd="0" destOrd="0" presId="urn:microsoft.com/office/officeart/2005/8/layout/hierarchy1"/>
    <dgm:cxn modelId="{D3826D4E-C635-4A7C-8D55-B57F5070A639}" type="presOf" srcId="{4C72372B-2480-4515-A22B-D81D2326EE4A}" destId="{D6C445C6-6D95-4BD7-81DD-65C71584E834}" srcOrd="0" destOrd="0" presId="urn:microsoft.com/office/officeart/2005/8/layout/hierarchy1"/>
    <dgm:cxn modelId="{5AB14515-1F37-454C-94B0-88F68D77D282}" srcId="{4C72372B-2480-4515-A22B-D81D2326EE4A}" destId="{A0E4ED7B-C342-482C-8F04-69F529643707}" srcOrd="0" destOrd="0" parTransId="{F0AD7C43-CB4E-452B-80B2-D866190AB4CD}" sibTransId="{76630116-931F-4100-BD04-41826C53FC22}"/>
    <dgm:cxn modelId="{AD721935-21EE-44E8-8F64-4DA0690C69E7}" type="presOf" srcId="{B0DD5176-20BE-4E70-B1F0-948DC13B8424}" destId="{DC79E7D0-A3A4-4F9F-85E1-42D87A69FA27}" srcOrd="0" destOrd="0" presId="urn:microsoft.com/office/officeart/2005/8/layout/hierarchy1"/>
    <dgm:cxn modelId="{BE4E2020-6863-485A-AC00-9BA76AF74178}" srcId="{4C72372B-2480-4515-A22B-D81D2326EE4A}" destId="{B0DD5176-20BE-4E70-B1F0-948DC13B8424}" srcOrd="3" destOrd="0" parTransId="{99D3FC78-E85A-4F27-8F45-2A2AE2E30036}" sibTransId="{C1B2A97B-6E60-460F-B896-344135B69251}"/>
    <dgm:cxn modelId="{4969B9B5-08B9-4112-A0DF-2AE95E1F9B0B}" type="presOf" srcId="{C84954D9-78D7-4B00-8535-4535043FF05C}" destId="{9E97B3F6-FF68-4DCB-8853-1B7B513B8121}" srcOrd="0" destOrd="0" presId="urn:microsoft.com/office/officeart/2005/8/layout/hierarchy1"/>
    <dgm:cxn modelId="{A17089CB-E236-4E06-9DDD-E8F9AB3382AB}" srcId="{4AF39646-0BB1-47B0-A2C4-838E06A9FA4C}" destId="{2E1AF2A3-6A77-4E02-802E-5EE5B551F2ED}" srcOrd="1" destOrd="0" parTransId="{1DC2C1F1-FB5C-4742-BCC2-0EDE94C16C9B}" sibTransId="{08002AB0-C80C-43AC-BD26-16492CD9DD90}"/>
    <dgm:cxn modelId="{BFF04B77-1F03-45BA-9452-E34D8DA334AB}" type="presOf" srcId="{EB2BD41E-73DF-4240-9B31-0A64184A30DF}" destId="{27FA275B-BDBC-44C9-BAD4-09F7AB91A5D5}" srcOrd="0" destOrd="0" presId="urn:microsoft.com/office/officeart/2005/8/layout/hierarchy1"/>
    <dgm:cxn modelId="{8ED5E87A-1180-4FBD-A6CB-2D20A9FF87A9}" type="presOf" srcId="{5733E53E-4E53-4A79-9DB8-1F7B1F9CC4C1}" destId="{70EF4264-8304-4B64-940A-BB8B67287616}" srcOrd="0" destOrd="0" presId="urn:microsoft.com/office/officeart/2005/8/layout/hierarchy1"/>
    <dgm:cxn modelId="{3E55CBE0-461E-472F-8E8F-F8C21296272E}" srcId="{2E1AF2A3-6A77-4E02-802E-5EE5B551F2ED}" destId="{3664AE15-EC3E-4D46-9C3B-7B5398037CA4}" srcOrd="0" destOrd="0" parTransId="{0FACB8B8-B7A3-4149-9608-89CEBFFCB151}" sibTransId="{00AB51B3-433B-4589-9502-3170BC946C74}"/>
    <dgm:cxn modelId="{CD52D13A-FDC7-4189-BAB6-8A7FFEE0A449}" type="presOf" srcId="{A0E4ED7B-C342-482C-8F04-69F529643707}" destId="{678F4EC2-C81F-4DE0-8F84-0460A3A17F99}" srcOrd="0" destOrd="0" presId="urn:microsoft.com/office/officeart/2005/8/layout/hierarchy1"/>
    <dgm:cxn modelId="{0C60B3CA-DB5B-4265-8A00-7A7964DA316B}" type="presOf" srcId="{BA57858D-3309-4FB7-8881-E6CAD8EDC831}" destId="{C6D7033C-49EB-43CF-A5E2-65BA022E6E3B}" srcOrd="0" destOrd="0" presId="urn:microsoft.com/office/officeart/2005/8/layout/hierarchy1"/>
    <dgm:cxn modelId="{81DCD36B-6624-4F3D-9980-364A250BF7A2}" type="presOf" srcId="{07B2B965-8A43-44D3-9342-3BEE0A1D1821}" destId="{EAEDE423-B539-46BE-990C-463F975C7F92}" srcOrd="0" destOrd="0" presId="urn:microsoft.com/office/officeart/2005/8/layout/hierarchy1"/>
    <dgm:cxn modelId="{8B046214-18FA-4A70-A1DA-5E2259D29157}" type="presOf" srcId="{99D3FC78-E85A-4F27-8F45-2A2AE2E30036}" destId="{D047B411-8362-4F5C-AE0D-D557D0B64AF9}" srcOrd="0" destOrd="0" presId="urn:microsoft.com/office/officeart/2005/8/layout/hierarchy1"/>
    <dgm:cxn modelId="{8668E718-3BB7-45C0-B27F-C6EA9F3021DF}" type="presOf" srcId="{3664AE15-EC3E-4D46-9C3B-7B5398037CA4}" destId="{21811BEE-386F-491F-836F-4B4AB7E25284}" srcOrd="0" destOrd="0" presId="urn:microsoft.com/office/officeart/2005/8/layout/hierarchy1"/>
    <dgm:cxn modelId="{1B955377-CAA3-476F-9F0F-621DFE2B2400}" type="presParOf" srcId="{AE506DB5-201A-46DC-AFDE-721ED15C7C51}" destId="{7CF688B9-5394-4979-A083-6163458FD94A}" srcOrd="0" destOrd="0" presId="urn:microsoft.com/office/officeart/2005/8/layout/hierarchy1"/>
    <dgm:cxn modelId="{6E6C4C88-EC95-4727-9AD0-9B0929A73D35}" type="presParOf" srcId="{7CF688B9-5394-4979-A083-6163458FD94A}" destId="{C0E95693-ECFD-4C17-83F3-BB6BF4DC0828}" srcOrd="0" destOrd="0" presId="urn:microsoft.com/office/officeart/2005/8/layout/hierarchy1"/>
    <dgm:cxn modelId="{ECACE8F4-18D1-4ABB-A7B2-EE3AC82F1C13}" type="presParOf" srcId="{C0E95693-ECFD-4C17-83F3-BB6BF4DC0828}" destId="{0BF8FB7F-10A7-4379-9B38-B9E141063922}" srcOrd="0" destOrd="0" presId="urn:microsoft.com/office/officeart/2005/8/layout/hierarchy1"/>
    <dgm:cxn modelId="{698A1931-05FC-42F4-AEC3-E3EB2B8EE5B3}" type="presParOf" srcId="{C0E95693-ECFD-4C17-83F3-BB6BF4DC0828}" destId="{D6C445C6-6D95-4BD7-81DD-65C71584E834}" srcOrd="1" destOrd="0" presId="urn:microsoft.com/office/officeart/2005/8/layout/hierarchy1"/>
    <dgm:cxn modelId="{07DC3EF1-C726-425C-B818-2E456D9DF4C8}" type="presParOf" srcId="{7CF688B9-5394-4979-A083-6163458FD94A}" destId="{0D2491CF-1F61-4DEA-A30D-11958252E21C}" srcOrd="1" destOrd="0" presId="urn:microsoft.com/office/officeart/2005/8/layout/hierarchy1"/>
    <dgm:cxn modelId="{55C89323-924C-4B74-B15E-C86C876EFAEE}" type="presParOf" srcId="{0D2491CF-1F61-4DEA-A30D-11958252E21C}" destId="{80061DF8-6797-4267-AEB2-047F9DFB04C0}" srcOrd="0" destOrd="0" presId="urn:microsoft.com/office/officeart/2005/8/layout/hierarchy1"/>
    <dgm:cxn modelId="{6603A76C-2BD3-4E39-93E9-8FBF2ED54DED}" type="presParOf" srcId="{0D2491CF-1F61-4DEA-A30D-11958252E21C}" destId="{86560962-04DE-4CFA-B9D3-7D84763859D3}" srcOrd="1" destOrd="0" presId="urn:microsoft.com/office/officeart/2005/8/layout/hierarchy1"/>
    <dgm:cxn modelId="{00F17417-D9DA-4433-92E0-58D6012FC3BC}" type="presParOf" srcId="{86560962-04DE-4CFA-B9D3-7D84763859D3}" destId="{96771A57-3545-4E00-8D35-3CD32B80660F}" srcOrd="0" destOrd="0" presId="urn:microsoft.com/office/officeart/2005/8/layout/hierarchy1"/>
    <dgm:cxn modelId="{292A81F2-B30A-459E-A6F4-5D867924B272}" type="presParOf" srcId="{96771A57-3545-4E00-8D35-3CD32B80660F}" destId="{28EAB84C-EAE6-49EE-8274-576D3607486E}" srcOrd="0" destOrd="0" presId="urn:microsoft.com/office/officeart/2005/8/layout/hierarchy1"/>
    <dgm:cxn modelId="{F43B1EBB-70FE-443A-97B1-566960393B84}" type="presParOf" srcId="{96771A57-3545-4E00-8D35-3CD32B80660F}" destId="{678F4EC2-C81F-4DE0-8F84-0460A3A17F99}" srcOrd="1" destOrd="0" presId="urn:microsoft.com/office/officeart/2005/8/layout/hierarchy1"/>
    <dgm:cxn modelId="{C4F14364-069C-494A-8894-5C5B1A8D4A75}" type="presParOf" srcId="{86560962-04DE-4CFA-B9D3-7D84763859D3}" destId="{ED1C4724-D8F7-4A94-9926-303C457C7B8A}" srcOrd="1" destOrd="0" presId="urn:microsoft.com/office/officeart/2005/8/layout/hierarchy1"/>
    <dgm:cxn modelId="{33687A6B-5298-48C9-88A3-9BA8126C0261}" type="presParOf" srcId="{0D2491CF-1F61-4DEA-A30D-11958252E21C}" destId="{27FA275B-BDBC-44C9-BAD4-09F7AB91A5D5}" srcOrd="2" destOrd="0" presId="urn:microsoft.com/office/officeart/2005/8/layout/hierarchy1"/>
    <dgm:cxn modelId="{13C2A1F1-0567-4FF5-994E-BD69D08AC97B}" type="presParOf" srcId="{0D2491CF-1F61-4DEA-A30D-11958252E21C}" destId="{E58DC1E3-DC8C-4668-A9E0-C9D223E945D4}" srcOrd="3" destOrd="0" presId="urn:microsoft.com/office/officeart/2005/8/layout/hierarchy1"/>
    <dgm:cxn modelId="{ABE6E326-4DDC-44AC-945F-B3321DE64147}" type="presParOf" srcId="{E58DC1E3-DC8C-4668-A9E0-C9D223E945D4}" destId="{C50BB252-E2C8-4CA6-9F8B-2D5F381540C5}" srcOrd="0" destOrd="0" presId="urn:microsoft.com/office/officeart/2005/8/layout/hierarchy1"/>
    <dgm:cxn modelId="{91ED518D-7FEE-437D-8396-8A2C518CA819}" type="presParOf" srcId="{C50BB252-E2C8-4CA6-9F8B-2D5F381540C5}" destId="{5E83162A-655F-4A77-A078-4BD7B858D8BE}" srcOrd="0" destOrd="0" presId="urn:microsoft.com/office/officeart/2005/8/layout/hierarchy1"/>
    <dgm:cxn modelId="{09CE5B60-F8B4-4802-A912-5BF0DF812AC1}" type="presParOf" srcId="{C50BB252-E2C8-4CA6-9F8B-2D5F381540C5}" destId="{70EF4264-8304-4B64-940A-BB8B67287616}" srcOrd="1" destOrd="0" presId="urn:microsoft.com/office/officeart/2005/8/layout/hierarchy1"/>
    <dgm:cxn modelId="{B2FA2AB9-5AE6-453E-8ECB-17C9DF05FE0D}" type="presParOf" srcId="{E58DC1E3-DC8C-4668-A9E0-C9D223E945D4}" destId="{7D453E09-0CEE-4B2A-805C-6B0A54D985C2}" srcOrd="1" destOrd="0" presId="urn:microsoft.com/office/officeart/2005/8/layout/hierarchy1"/>
    <dgm:cxn modelId="{EA03ADDB-1D0E-4F06-8953-F9628D2CCD55}" type="presParOf" srcId="{0D2491CF-1F61-4DEA-A30D-11958252E21C}" destId="{C6D7033C-49EB-43CF-A5E2-65BA022E6E3B}" srcOrd="4" destOrd="0" presId="urn:microsoft.com/office/officeart/2005/8/layout/hierarchy1"/>
    <dgm:cxn modelId="{21318F5C-D97B-4282-909D-0E8C5EA8449F}" type="presParOf" srcId="{0D2491CF-1F61-4DEA-A30D-11958252E21C}" destId="{3432D1CB-19CE-4562-92B5-D1269073C69B}" srcOrd="5" destOrd="0" presId="urn:microsoft.com/office/officeart/2005/8/layout/hierarchy1"/>
    <dgm:cxn modelId="{E627B49F-73DB-4972-B64B-64D113525E40}" type="presParOf" srcId="{3432D1CB-19CE-4562-92B5-D1269073C69B}" destId="{D3A061B1-272E-4601-97F4-CF77B6262A6F}" srcOrd="0" destOrd="0" presId="urn:microsoft.com/office/officeart/2005/8/layout/hierarchy1"/>
    <dgm:cxn modelId="{9A04F347-2284-4562-AA07-6DF2818A5854}" type="presParOf" srcId="{D3A061B1-272E-4601-97F4-CF77B6262A6F}" destId="{37CB8C5E-9237-43AA-B305-8C6DD6359B7D}" srcOrd="0" destOrd="0" presId="urn:microsoft.com/office/officeart/2005/8/layout/hierarchy1"/>
    <dgm:cxn modelId="{20F562C6-09C9-464E-9E0A-5259ABA78DFB}" type="presParOf" srcId="{D3A061B1-272E-4601-97F4-CF77B6262A6F}" destId="{54773EFC-7BB5-4308-9F81-DCA421E847FB}" srcOrd="1" destOrd="0" presId="urn:microsoft.com/office/officeart/2005/8/layout/hierarchy1"/>
    <dgm:cxn modelId="{D61CB1CD-5C9E-4809-B3DD-D405F8C8B34E}" type="presParOf" srcId="{3432D1CB-19CE-4562-92B5-D1269073C69B}" destId="{2E86C446-D768-4EDF-89EE-DB8ECE289B68}" srcOrd="1" destOrd="0" presId="urn:microsoft.com/office/officeart/2005/8/layout/hierarchy1"/>
    <dgm:cxn modelId="{2161E868-32B2-4DE5-B870-9E0AB48F53F9}" type="presParOf" srcId="{0D2491CF-1F61-4DEA-A30D-11958252E21C}" destId="{D047B411-8362-4F5C-AE0D-D557D0B64AF9}" srcOrd="6" destOrd="0" presId="urn:microsoft.com/office/officeart/2005/8/layout/hierarchy1"/>
    <dgm:cxn modelId="{73967709-49ED-4416-894B-B5A0C4355E17}" type="presParOf" srcId="{0D2491CF-1F61-4DEA-A30D-11958252E21C}" destId="{94E3B8B7-FB71-48A5-AF89-D315F4588EDB}" srcOrd="7" destOrd="0" presId="urn:microsoft.com/office/officeart/2005/8/layout/hierarchy1"/>
    <dgm:cxn modelId="{FA44593E-D2C6-4F68-A706-19722F82A416}" type="presParOf" srcId="{94E3B8B7-FB71-48A5-AF89-D315F4588EDB}" destId="{FC26814A-A728-4B02-845B-4B8A7706465D}" srcOrd="0" destOrd="0" presId="urn:microsoft.com/office/officeart/2005/8/layout/hierarchy1"/>
    <dgm:cxn modelId="{4D21248A-5469-4F40-A2E4-CA7A96B90C68}" type="presParOf" srcId="{FC26814A-A728-4B02-845B-4B8A7706465D}" destId="{68FAAD71-6A2C-4D26-90C6-BA865E5B2D49}" srcOrd="0" destOrd="0" presId="urn:microsoft.com/office/officeart/2005/8/layout/hierarchy1"/>
    <dgm:cxn modelId="{ACB241F6-75CF-462C-9B14-998E06B71131}" type="presParOf" srcId="{FC26814A-A728-4B02-845B-4B8A7706465D}" destId="{DC79E7D0-A3A4-4F9F-85E1-42D87A69FA27}" srcOrd="1" destOrd="0" presId="urn:microsoft.com/office/officeart/2005/8/layout/hierarchy1"/>
    <dgm:cxn modelId="{B095A7B9-463E-4FDC-90EA-52BB7697EA4F}" type="presParOf" srcId="{94E3B8B7-FB71-48A5-AF89-D315F4588EDB}" destId="{8B5E7D47-1DD8-40F8-ABEC-E70186F2A315}" srcOrd="1" destOrd="0" presId="urn:microsoft.com/office/officeart/2005/8/layout/hierarchy1"/>
    <dgm:cxn modelId="{4073C885-F26F-4D4B-B700-A7509639E415}" type="presParOf" srcId="{AE506DB5-201A-46DC-AFDE-721ED15C7C51}" destId="{D8C71C97-51D4-4971-B281-4B1F3655F0A3}" srcOrd="1" destOrd="0" presId="urn:microsoft.com/office/officeart/2005/8/layout/hierarchy1"/>
    <dgm:cxn modelId="{05A3923E-BB5C-44DB-9263-BDE1EA7DCDBB}" type="presParOf" srcId="{D8C71C97-51D4-4971-B281-4B1F3655F0A3}" destId="{CC22B80F-71FE-48EE-9A17-2C6D8368C675}" srcOrd="0" destOrd="0" presId="urn:microsoft.com/office/officeart/2005/8/layout/hierarchy1"/>
    <dgm:cxn modelId="{F35E9BA3-66C0-47AE-AC1F-1EB73D1EC0B6}" type="presParOf" srcId="{CC22B80F-71FE-48EE-9A17-2C6D8368C675}" destId="{05677491-7277-468E-B0B2-E7EB515211B4}" srcOrd="0" destOrd="0" presId="urn:microsoft.com/office/officeart/2005/8/layout/hierarchy1"/>
    <dgm:cxn modelId="{2E985193-7253-4637-86F0-2EBAE0870026}" type="presParOf" srcId="{CC22B80F-71FE-48EE-9A17-2C6D8368C675}" destId="{43CA7B70-DCAB-4CF2-A9FE-029B92FDC204}" srcOrd="1" destOrd="0" presId="urn:microsoft.com/office/officeart/2005/8/layout/hierarchy1"/>
    <dgm:cxn modelId="{0D7EF753-00C7-4ABD-B417-446F2ED1DACA}" type="presParOf" srcId="{D8C71C97-51D4-4971-B281-4B1F3655F0A3}" destId="{A52BAC44-063F-429E-834B-F4486C7178BF}" srcOrd="1" destOrd="0" presId="urn:microsoft.com/office/officeart/2005/8/layout/hierarchy1"/>
    <dgm:cxn modelId="{7BF3504F-3CB0-4665-A4B2-5355B9FDF5BD}" type="presParOf" srcId="{A52BAC44-063F-429E-834B-F4486C7178BF}" destId="{1BB83A49-0072-461C-BA38-31794E5F9678}" srcOrd="0" destOrd="0" presId="urn:microsoft.com/office/officeart/2005/8/layout/hierarchy1"/>
    <dgm:cxn modelId="{FA2AB0B0-F73B-43AC-90A6-DC4C87EC5871}" type="presParOf" srcId="{A52BAC44-063F-429E-834B-F4486C7178BF}" destId="{AEE04D8C-493E-4D65-BCCD-3BED5E353C09}" srcOrd="1" destOrd="0" presId="urn:microsoft.com/office/officeart/2005/8/layout/hierarchy1"/>
    <dgm:cxn modelId="{A374E1B8-9192-450B-8A08-8445756C989B}" type="presParOf" srcId="{AEE04D8C-493E-4D65-BCCD-3BED5E353C09}" destId="{3EB50526-82D7-488F-94A3-CFAB399DFF21}" srcOrd="0" destOrd="0" presId="urn:microsoft.com/office/officeart/2005/8/layout/hierarchy1"/>
    <dgm:cxn modelId="{7CE92A6E-BF0D-4B75-980B-0674BFC06DCD}" type="presParOf" srcId="{3EB50526-82D7-488F-94A3-CFAB399DFF21}" destId="{7F43F873-545C-456E-85BA-426FADBD260E}" srcOrd="0" destOrd="0" presId="urn:microsoft.com/office/officeart/2005/8/layout/hierarchy1"/>
    <dgm:cxn modelId="{DE15B0AC-3746-460B-A9A4-A6ABFD200DA2}" type="presParOf" srcId="{3EB50526-82D7-488F-94A3-CFAB399DFF21}" destId="{21811BEE-386F-491F-836F-4B4AB7E25284}" srcOrd="1" destOrd="0" presId="urn:microsoft.com/office/officeart/2005/8/layout/hierarchy1"/>
    <dgm:cxn modelId="{233B26F2-EDB6-4476-8492-9A284DD38453}" type="presParOf" srcId="{AEE04D8C-493E-4D65-BCCD-3BED5E353C09}" destId="{0CE20D8D-B0D1-4C9A-94D1-CC308FD01182}" srcOrd="1" destOrd="0" presId="urn:microsoft.com/office/officeart/2005/8/layout/hierarchy1"/>
    <dgm:cxn modelId="{8C9FF066-114D-4ACC-953C-881BA21EB452}" type="presParOf" srcId="{AE506DB5-201A-46DC-AFDE-721ED15C7C51}" destId="{94FBAC7C-2393-4470-B084-D72D5052DEDC}" srcOrd="2" destOrd="0" presId="urn:microsoft.com/office/officeart/2005/8/layout/hierarchy1"/>
    <dgm:cxn modelId="{CDFEC895-A98D-44FF-9A87-61D6ACA0FC6B}" type="presParOf" srcId="{94FBAC7C-2393-4470-B084-D72D5052DEDC}" destId="{FAD2F10D-EA38-46DC-96F2-CC9DC98C8A35}" srcOrd="0" destOrd="0" presId="urn:microsoft.com/office/officeart/2005/8/layout/hierarchy1"/>
    <dgm:cxn modelId="{CDBFC482-BEB4-468B-ADC2-709B03E28104}" type="presParOf" srcId="{FAD2F10D-EA38-46DC-96F2-CC9DC98C8A35}" destId="{8A8BDD0F-2E23-4794-B8A0-DB57B8F72712}" srcOrd="0" destOrd="0" presId="urn:microsoft.com/office/officeart/2005/8/layout/hierarchy1"/>
    <dgm:cxn modelId="{815BF5D3-D7AB-4885-82A9-64CA36CB7D42}" type="presParOf" srcId="{FAD2F10D-EA38-46DC-96F2-CC9DC98C8A35}" destId="{5394B19A-C403-4ADB-BD36-F2F158BA59B5}" srcOrd="1" destOrd="0" presId="urn:microsoft.com/office/officeart/2005/8/layout/hierarchy1"/>
    <dgm:cxn modelId="{515321F6-867F-4D3D-8B0F-FE90E584145C}" type="presParOf" srcId="{94FBAC7C-2393-4470-B084-D72D5052DEDC}" destId="{BEBAB4A3-1AFB-438A-A5F4-3B3DB2691A75}" srcOrd="1" destOrd="0" presId="urn:microsoft.com/office/officeart/2005/8/layout/hierarchy1"/>
    <dgm:cxn modelId="{D7141F3F-800E-4026-B73B-BAA8873A9788}" type="presParOf" srcId="{BEBAB4A3-1AFB-438A-A5F4-3B3DB2691A75}" destId="{CF6EB31D-079B-4EF3-B1F1-44BA1ADF8972}" srcOrd="0" destOrd="0" presId="urn:microsoft.com/office/officeart/2005/8/layout/hierarchy1"/>
    <dgm:cxn modelId="{70119A57-EEBB-467E-90EB-6D22F7182429}" type="presParOf" srcId="{BEBAB4A3-1AFB-438A-A5F4-3B3DB2691A75}" destId="{171C9E16-69B2-40CA-A137-CCBD2EBA0B4C}" srcOrd="1" destOrd="0" presId="urn:microsoft.com/office/officeart/2005/8/layout/hierarchy1"/>
    <dgm:cxn modelId="{029C2091-7B70-4D54-A3B6-4053745771E7}" type="presParOf" srcId="{171C9E16-69B2-40CA-A137-CCBD2EBA0B4C}" destId="{05D05DD0-80BF-4EB6-96DD-572654CE3EA3}" srcOrd="0" destOrd="0" presId="urn:microsoft.com/office/officeart/2005/8/layout/hierarchy1"/>
    <dgm:cxn modelId="{AC349B4C-912F-4EBB-A0B2-98AEFBD92B42}" type="presParOf" srcId="{05D05DD0-80BF-4EB6-96DD-572654CE3EA3}" destId="{1ABED451-10F4-4E87-B467-29E8B2CB2531}" srcOrd="0" destOrd="0" presId="urn:microsoft.com/office/officeart/2005/8/layout/hierarchy1"/>
    <dgm:cxn modelId="{10A1669C-EAB7-4AD3-9BE7-6D772BC3C3D7}" type="presParOf" srcId="{05D05DD0-80BF-4EB6-96DD-572654CE3EA3}" destId="{B57F0D8C-BE5A-45BE-A98C-B43580597CFB}" srcOrd="1" destOrd="0" presId="urn:microsoft.com/office/officeart/2005/8/layout/hierarchy1"/>
    <dgm:cxn modelId="{952A9F59-B485-4352-9339-7ABFF02620AD}" type="presParOf" srcId="{171C9E16-69B2-40CA-A137-CCBD2EBA0B4C}" destId="{43F1C864-FEFE-499C-9B11-6F2CF29B2E05}" srcOrd="1" destOrd="0" presId="urn:microsoft.com/office/officeart/2005/8/layout/hierarchy1"/>
    <dgm:cxn modelId="{19C00E66-AB05-4A95-BB65-CB974CCADEBF}" type="presParOf" srcId="{BEBAB4A3-1AFB-438A-A5F4-3B3DB2691A75}" destId="{4219C4C7-E3A2-45FE-A6E5-57F916693436}" srcOrd="2" destOrd="0" presId="urn:microsoft.com/office/officeart/2005/8/layout/hierarchy1"/>
    <dgm:cxn modelId="{1B09DAE0-887E-44BA-BA68-1F8A19EDB8A4}" type="presParOf" srcId="{BEBAB4A3-1AFB-438A-A5F4-3B3DB2691A75}" destId="{685D7FB2-82CA-4F8D-96BE-A60606B5DF64}" srcOrd="3" destOrd="0" presId="urn:microsoft.com/office/officeart/2005/8/layout/hierarchy1"/>
    <dgm:cxn modelId="{A8C64301-EDB2-49E4-B568-706B0295A4DB}" type="presParOf" srcId="{685D7FB2-82CA-4F8D-96BE-A60606B5DF64}" destId="{37176F2F-8CEF-4956-86C1-AF80FA72FBAC}" srcOrd="0" destOrd="0" presId="urn:microsoft.com/office/officeart/2005/8/layout/hierarchy1"/>
    <dgm:cxn modelId="{D7253B92-5B73-475D-8BEE-0D5E146D8BFF}" type="presParOf" srcId="{37176F2F-8CEF-4956-86C1-AF80FA72FBAC}" destId="{3898B319-7C18-46C3-92D7-6BCC79B395F2}" srcOrd="0" destOrd="0" presId="urn:microsoft.com/office/officeart/2005/8/layout/hierarchy1"/>
    <dgm:cxn modelId="{7F35EBC4-925D-43DB-8857-8FBF4908B5C2}" type="presParOf" srcId="{37176F2F-8CEF-4956-86C1-AF80FA72FBAC}" destId="{AFA28411-A5AF-427C-9CB3-3B4FAF9706CF}" srcOrd="1" destOrd="0" presId="urn:microsoft.com/office/officeart/2005/8/layout/hierarchy1"/>
    <dgm:cxn modelId="{C3FFFCC1-F34C-4437-87F4-3822018B7AE3}" type="presParOf" srcId="{685D7FB2-82CA-4F8D-96BE-A60606B5DF64}" destId="{1736E56D-3959-45C6-B8E1-81687F98BB2A}" srcOrd="1" destOrd="0" presId="urn:microsoft.com/office/officeart/2005/8/layout/hierarchy1"/>
    <dgm:cxn modelId="{61D4A448-A5E0-413A-B1CD-DBF90E29C7EA}" type="presParOf" srcId="{BEBAB4A3-1AFB-438A-A5F4-3B3DB2691A75}" destId="{EAEDE423-B539-46BE-990C-463F975C7F92}" srcOrd="4" destOrd="0" presId="urn:microsoft.com/office/officeart/2005/8/layout/hierarchy1"/>
    <dgm:cxn modelId="{89ECAED9-9468-432D-BBE8-BA1CC3A93E22}" type="presParOf" srcId="{BEBAB4A3-1AFB-438A-A5F4-3B3DB2691A75}" destId="{911118FF-8D98-4732-82FE-517AF5DDAFAC}" srcOrd="5" destOrd="0" presId="urn:microsoft.com/office/officeart/2005/8/layout/hierarchy1"/>
    <dgm:cxn modelId="{4D23FAFB-D077-428D-AA03-3F54966A6362}" type="presParOf" srcId="{911118FF-8D98-4732-82FE-517AF5DDAFAC}" destId="{B66313AA-CE8C-4F1D-8B2E-02DAAE48B97C}" srcOrd="0" destOrd="0" presId="urn:microsoft.com/office/officeart/2005/8/layout/hierarchy1"/>
    <dgm:cxn modelId="{DFACFB00-1332-4757-9B39-50771843905D}" type="presParOf" srcId="{B66313AA-CE8C-4F1D-8B2E-02DAAE48B97C}" destId="{D04A9F0A-7B00-4963-A962-C6280C7AA3D5}" srcOrd="0" destOrd="0" presId="urn:microsoft.com/office/officeart/2005/8/layout/hierarchy1"/>
    <dgm:cxn modelId="{2B0E0CA1-7200-4323-9D9A-0913313371B2}" type="presParOf" srcId="{B66313AA-CE8C-4F1D-8B2E-02DAAE48B97C}" destId="{9E97B3F6-FF68-4DCB-8853-1B7B513B8121}" srcOrd="1" destOrd="0" presId="urn:microsoft.com/office/officeart/2005/8/layout/hierarchy1"/>
    <dgm:cxn modelId="{E8292C4A-6752-4F14-9E4E-308DD76EA063}" type="presParOf" srcId="{911118FF-8D98-4732-82FE-517AF5DDAFAC}" destId="{054F1F2F-E71B-4364-B604-02593CBCAF8F}" srcOrd="1" destOrd="0" presId="urn:microsoft.com/office/officeart/2005/8/layout/hierarchy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21B24D-0AC1-4B85-8288-4E20A66C5A8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l-GR"/>
        </a:p>
      </dgm:t>
    </dgm:pt>
    <dgm:pt modelId="{A818B17B-3A8B-4225-AC14-C4C1A95E8D3B}">
      <dgm:prSet phldrT="[Κείμενο]"/>
      <dgm:spPr>
        <a:solidFill>
          <a:schemeClr val="lt1">
            <a:hueOff val="0"/>
            <a:satOff val="0"/>
            <a:lumOff val="0"/>
          </a:schemeClr>
        </a:solidFill>
      </dgm:spPr>
      <dgm:t>
        <a:bodyPr/>
        <a:lstStyle/>
        <a:p>
          <a:r>
            <a:rPr lang="el-GR">
              <a:latin typeface="Arial" pitchFamily="34" charset="0"/>
              <a:cs typeface="Arial" pitchFamily="34" charset="0"/>
            </a:rPr>
            <a:t>Αναψυχή, </a:t>
          </a:r>
          <a:r>
            <a:rPr lang="el-GR" baseline="0">
              <a:latin typeface="Arial" pitchFamily="34" charset="0"/>
              <a:cs typeface="Arial" pitchFamily="34" charset="0"/>
            </a:rPr>
            <a:t>Πολιτισμός</a:t>
          </a:r>
          <a:r>
            <a:rPr lang="el-GR">
              <a:latin typeface="Arial" pitchFamily="34" charset="0"/>
              <a:cs typeface="Arial" pitchFamily="34" charset="0"/>
            </a:rPr>
            <a:t> και Θρησκεία</a:t>
          </a:r>
        </a:p>
        <a:p>
          <a:endParaRPr lang="el-GR"/>
        </a:p>
      </dgm:t>
    </dgm:pt>
    <dgm:pt modelId="{4872D5ED-25B3-420E-85A5-3882E3647AE5}" type="parTrans" cxnId="{38D2E90B-A433-4396-8F07-DAE4EC122D74}">
      <dgm:prSet/>
      <dgm:spPr/>
      <dgm:t>
        <a:bodyPr/>
        <a:lstStyle/>
        <a:p>
          <a:endParaRPr lang="el-GR"/>
        </a:p>
      </dgm:t>
    </dgm:pt>
    <dgm:pt modelId="{1D000EEC-FC0C-424D-957E-F942A66EA0AB}" type="sibTrans" cxnId="{38D2E90B-A433-4396-8F07-DAE4EC122D74}">
      <dgm:prSet/>
      <dgm:spPr/>
      <dgm:t>
        <a:bodyPr/>
        <a:lstStyle/>
        <a:p>
          <a:endParaRPr lang="el-GR"/>
        </a:p>
      </dgm:t>
    </dgm:pt>
    <dgm:pt modelId="{630DB104-129F-4A74-8B34-3553F679960D}">
      <dgm:prSet phldrT="[Κείμενο]"/>
      <dgm:spPr>
        <a:solidFill>
          <a:schemeClr val="lt1">
            <a:hueOff val="0"/>
            <a:satOff val="0"/>
            <a:lumOff val="0"/>
          </a:schemeClr>
        </a:solidFill>
      </dgm:spPr>
      <dgm:t>
        <a:bodyPr/>
        <a:lstStyle/>
        <a:p>
          <a:r>
            <a:rPr lang="el-GR">
              <a:latin typeface="Arial" pitchFamily="34" charset="0"/>
              <a:cs typeface="Arial" pitchFamily="34" charset="0"/>
            </a:rPr>
            <a:t>Υποστήριξη Πολιτικών Πολιτισμού</a:t>
          </a:r>
        </a:p>
      </dgm:t>
    </dgm:pt>
    <dgm:pt modelId="{8D6AF5D2-9BFF-49A4-A07E-05D16EB640CE}" type="parTrans" cxnId="{70A7338E-A117-4137-AA12-98B589B31CAA}">
      <dgm:prSet/>
      <dgm:spPr/>
      <dgm:t>
        <a:bodyPr/>
        <a:lstStyle/>
        <a:p>
          <a:endParaRPr lang="el-GR"/>
        </a:p>
      </dgm:t>
    </dgm:pt>
    <dgm:pt modelId="{D570BA93-0BDC-4366-BE31-6DE9A95EF94E}" type="sibTrans" cxnId="{70A7338E-A117-4137-AA12-98B589B31CAA}">
      <dgm:prSet/>
      <dgm:spPr/>
      <dgm:t>
        <a:bodyPr/>
        <a:lstStyle/>
        <a:p>
          <a:endParaRPr lang="el-GR"/>
        </a:p>
      </dgm:t>
    </dgm:pt>
    <dgm:pt modelId="{0E10E880-8520-48D7-90B9-C63077127FE1}">
      <dgm:prSet phldrT="[Κείμενο]"/>
      <dgm:spPr>
        <a:solidFill>
          <a:schemeClr val="lt1">
            <a:hueOff val="0"/>
            <a:satOff val="0"/>
            <a:lumOff val="0"/>
          </a:schemeClr>
        </a:solidFill>
      </dgm:spPr>
      <dgm:t>
        <a:bodyPr/>
        <a:lstStyle/>
        <a:p>
          <a:r>
            <a:rPr lang="el-GR">
              <a:latin typeface="Arial" pitchFamily="34" charset="0"/>
              <a:cs typeface="Arial" pitchFamily="34" charset="0"/>
            </a:rPr>
            <a:t>Πολιτιστική Κληρονομιά και Αρχαιότητες</a:t>
          </a:r>
        </a:p>
      </dgm:t>
    </dgm:pt>
    <dgm:pt modelId="{47D2635A-EF7B-4CD3-A682-3EC0ED9048D8}" type="parTrans" cxnId="{199A8A10-4047-4992-B98C-95849B0BE1B1}">
      <dgm:prSet/>
      <dgm:spPr/>
      <dgm:t>
        <a:bodyPr/>
        <a:lstStyle/>
        <a:p>
          <a:endParaRPr lang="el-GR"/>
        </a:p>
      </dgm:t>
    </dgm:pt>
    <dgm:pt modelId="{9F87010D-717B-46CD-BA96-E40776BABCD6}" type="sibTrans" cxnId="{199A8A10-4047-4992-B98C-95849B0BE1B1}">
      <dgm:prSet/>
      <dgm:spPr/>
      <dgm:t>
        <a:bodyPr/>
        <a:lstStyle/>
        <a:p>
          <a:endParaRPr lang="el-GR"/>
        </a:p>
      </dgm:t>
    </dgm:pt>
    <dgm:pt modelId="{30CA7391-8E0C-4D38-A9F8-9ADD38CFFE28}">
      <dgm:prSet/>
      <dgm:spPr>
        <a:solidFill>
          <a:schemeClr val="lt1">
            <a:hueOff val="0"/>
            <a:satOff val="0"/>
            <a:lumOff val="0"/>
          </a:schemeClr>
        </a:solidFill>
      </dgm:spPr>
      <dgm:t>
        <a:bodyPr/>
        <a:lstStyle/>
        <a:p>
          <a:r>
            <a:rPr lang="el-GR">
              <a:latin typeface="Arial" pitchFamily="34" charset="0"/>
              <a:cs typeface="Arial" pitchFamily="34" charset="0"/>
            </a:rPr>
            <a:t>Σύγχρονος </a:t>
          </a:r>
          <a:r>
            <a:rPr lang="el-GR" baseline="0">
              <a:latin typeface="Arial" pitchFamily="34" charset="0"/>
              <a:cs typeface="Arial" pitchFamily="34" charset="0"/>
            </a:rPr>
            <a:t>Πολιτισμός</a:t>
          </a:r>
        </a:p>
      </dgm:t>
    </dgm:pt>
    <dgm:pt modelId="{EB06B8C2-AD1E-4447-B3AF-6DFD7BE54CC3}" type="parTrans" cxnId="{31EA0832-9E86-481D-BF0E-325A2D80860F}">
      <dgm:prSet/>
      <dgm:spPr/>
      <dgm:t>
        <a:bodyPr/>
        <a:lstStyle/>
        <a:p>
          <a:endParaRPr lang="el-GR"/>
        </a:p>
      </dgm:t>
    </dgm:pt>
    <dgm:pt modelId="{AD50B9F0-5C95-4D81-9829-DF8FB39A38BB}" type="sibTrans" cxnId="{31EA0832-9E86-481D-BF0E-325A2D80860F}">
      <dgm:prSet/>
      <dgm:spPr/>
      <dgm:t>
        <a:bodyPr/>
        <a:lstStyle/>
        <a:p>
          <a:endParaRPr lang="el-GR"/>
        </a:p>
      </dgm:t>
    </dgm:pt>
    <dgm:pt modelId="{57799032-E8F1-4A69-ADA3-5C10FB094CA7}" type="pres">
      <dgm:prSet presAssocID="{CA21B24D-0AC1-4B85-8288-4E20A66C5A8F}" presName="hierChild1" presStyleCnt="0">
        <dgm:presLayoutVars>
          <dgm:chPref val="1"/>
          <dgm:dir/>
          <dgm:animOne val="branch"/>
          <dgm:animLvl val="lvl"/>
          <dgm:resizeHandles/>
        </dgm:presLayoutVars>
      </dgm:prSet>
      <dgm:spPr/>
      <dgm:t>
        <a:bodyPr/>
        <a:lstStyle/>
        <a:p>
          <a:endParaRPr lang="el-GR"/>
        </a:p>
      </dgm:t>
    </dgm:pt>
    <dgm:pt modelId="{6394A60D-89AF-4FBB-BFC3-B0502BC3D19E}" type="pres">
      <dgm:prSet presAssocID="{A818B17B-3A8B-4225-AC14-C4C1A95E8D3B}" presName="hierRoot1" presStyleCnt="0"/>
      <dgm:spPr/>
    </dgm:pt>
    <dgm:pt modelId="{81A3D375-7E94-4DBE-B5D8-8F4D620EB876}" type="pres">
      <dgm:prSet presAssocID="{A818B17B-3A8B-4225-AC14-C4C1A95E8D3B}" presName="composite" presStyleCnt="0"/>
      <dgm:spPr/>
    </dgm:pt>
    <dgm:pt modelId="{77D90B41-644A-4223-A6CE-CBC2E06BB718}" type="pres">
      <dgm:prSet presAssocID="{A818B17B-3A8B-4225-AC14-C4C1A95E8D3B}" presName="background" presStyleLbl="node0" presStyleIdx="0" presStyleCnt="1"/>
      <dgm:spPr/>
    </dgm:pt>
    <dgm:pt modelId="{7928DBDF-93F6-4533-9CA5-D07C659FA9A8}" type="pres">
      <dgm:prSet presAssocID="{A818B17B-3A8B-4225-AC14-C4C1A95E8D3B}" presName="text" presStyleLbl="fgAcc0" presStyleIdx="0" presStyleCnt="1">
        <dgm:presLayoutVars>
          <dgm:chPref val="3"/>
        </dgm:presLayoutVars>
      </dgm:prSet>
      <dgm:spPr/>
      <dgm:t>
        <a:bodyPr/>
        <a:lstStyle/>
        <a:p>
          <a:endParaRPr lang="el-GR"/>
        </a:p>
      </dgm:t>
    </dgm:pt>
    <dgm:pt modelId="{830F3804-E7C4-4D44-A1CC-E8F1D904826A}" type="pres">
      <dgm:prSet presAssocID="{A818B17B-3A8B-4225-AC14-C4C1A95E8D3B}" presName="hierChild2" presStyleCnt="0"/>
      <dgm:spPr/>
    </dgm:pt>
    <dgm:pt modelId="{F64EBC98-6104-4CC0-A64C-4E742A43A9A2}" type="pres">
      <dgm:prSet presAssocID="{8D6AF5D2-9BFF-49A4-A07E-05D16EB640CE}" presName="Name10" presStyleLbl="parChTrans1D2" presStyleIdx="0" presStyleCnt="3"/>
      <dgm:spPr/>
      <dgm:t>
        <a:bodyPr/>
        <a:lstStyle/>
        <a:p>
          <a:endParaRPr lang="el-GR"/>
        </a:p>
      </dgm:t>
    </dgm:pt>
    <dgm:pt modelId="{8A595317-E6DB-45C5-B651-B552E8C95302}" type="pres">
      <dgm:prSet presAssocID="{630DB104-129F-4A74-8B34-3553F679960D}" presName="hierRoot2" presStyleCnt="0"/>
      <dgm:spPr/>
    </dgm:pt>
    <dgm:pt modelId="{8CBEA1E6-FDE8-4FB1-8895-C0B1B27E19B5}" type="pres">
      <dgm:prSet presAssocID="{630DB104-129F-4A74-8B34-3553F679960D}" presName="composite2" presStyleCnt="0"/>
      <dgm:spPr/>
    </dgm:pt>
    <dgm:pt modelId="{550F7091-6357-4097-BB0C-5BAF9D3F3D4B}" type="pres">
      <dgm:prSet presAssocID="{630DB104-129F-4A74-8B34-3553F679960D}" presName="background2" presStyleLbl="node2" presStyleIdx="0" presStyleCnt="3"/>
      <dgm:spPr/>
    </dgm:pt>
    <dgm:pt modelId="{02D711CD-C888-426F-BD13-7B978B3E1AD4}" type="pres">
      <dgm:prSet presAssocID="{630DB104-129F-4A74-8B34-3553F679960D}" presName="text2" presStyleLbl="fgAcc2" presStyleIdx="0" presStyleCnt="3">
        <dgm:presLayoutVars>
          <dgm:chPref val="3"/>
        </dgm:presLayoutVars>
      </dgm:prSet>
      <dgm:spPr/>
      <dgm:t>
        <a:bodyPr/>
        <a:lstStyle/>
        <a:p>
          <a:endParaRPr lang="el-GR"/>
        </a:p>
      </dgm:t>
    </dgm:pt>
    <dgm:pt modelId="{88EE9FC1-1E45-47FB-91B4-D25DFF6013A6}" type="pres">
      <dgm:prSet presAssocID="{630DB104-129F-4A74-8B34-3553F679960D}" presName="hierChild3" presStyleCnt="0"/>
      <dgm:spPr/>
    </dgm:pt>
    <dgm:pt modelId="{65C81E76-2728-4B9F-9CC9-8DA6F56A1C03}" type="pres">
      <dgm:prSet presAssocID="{47D2635A-EF7B-4CD3-A682-3EC0ED9048D8}" presName="Name10" presStyleLbl="parChTrans1D2" presStyleIdx="1" presStyleCnt="3"/>
      <dgm:spPr/>
      <dgm:t>
        <a:bodyPr/>
        <a:lstStyle/>
        <a:p>
          <a:endParaRPr lang="el-GR"/>
        </a:p>
      </dgm:t>
    </dgm:pt>
    <dgm:pt modelId="{25BECFB7-EFE4-4801-8234-2261A39099C7}" type="pres">
      <dgm:prSet presAssocID="{0E10E880-8520-48D7-90B9-C63077127FE1}" presName="hierRoot2" presStyleCnt="0"/>
      <dgm:spPr/>
    </dgm:pt>
    <dgm:pt modelId="{4737AD08-1DF2-4452-9EF5-9B61F17D7736}" type="pres">
      <dgm:prSet presAssocID="{0E10E880-8520-48D7-90B9-C63077127FE1}" presName="composite2" presStyleCnt="0"/>
      <dgm:spPr/>
    </dgm:pt>
    <dgm:pt modelId="{5CD3F551-D98A-4725-A20C-42F7C53B4742}" type="pres">
      <dgm:prSet presAssocID="{0E10E880-8520-48D7-90B9-C63077127FE1}" presName="background2" presStyleLbl="node2" presStyleIdx="1" presStyleCnt="3"/>
      <dgm:spPr/>
    </dgm:pt>
    <dgm:pt modelId="{720C0F20-A1B0-415E-B70F-452BF5ACA17B}" type="pres">
      <dgm:prSet presAssocID="{0E10E880-8520-48D7-90B9-C63077127FE1}" presName="text2" presStyleLbl="fgAcc2" presStyleIdx="1" presStyleCnt="3">
        <dgm:presLayoutVars>
          <dgm:chPref val="3"/>
        </dgm:presLayoutVars>
      </dgm:prSet>
      <dgm:spPr/>
      <dgm:t>
        <a:bodyPr/>
        <a:lstStyle/>
        <a:p>
          <a:endParaRPr lang="el-GR"/>
        </a:p>
      </dgm:t>
    </dgm:pt>
    <dgm:pt modelId="{B4661075-A1D7-4E2A-A38B-CBE2A3734803}" type="pres">
      <dgm:prSet presAssocID="{0E10E880-8520-48D7-90B9-C63077127FE1}" presName="hierChild3" presStyleCnt="0"/>
      <dgm:spPr/>
    </dgm:pt>
    <dgm:pt modelId="{AEF348AA-E9C8-4F27-A5A9-6EA67FFD179A}" type="pres">
      <dgm:prSet presAssocID="{EB06B8C2-AD1E-4447-B3AF-6DFD7BE54CC3}" presName="Name10" presStyleLbl="parChTrans1D2" presStyleIdx="2" presStyleCnt="3"/>
      <dgm:spPr/>
      <dgm:t>
        <a:bodyPr/>
        <a:lstStyle/>
        <a:p>
          <a:endParaRPr lang="el-GR"/>
        </a:p>
      </dgm:t>
    </dgm:pt>
    <dgm:pt modelId="{49E4D333-383B-4428-A096-8D1437EFBE2B}" type="pres">
      <dgm:prSet presAssocID="{30CA7391-8E0C-4D38-A9F8-9ADD38CFFE28}" presName="hierRoot2" presStyleCnt="0"/>
      <dgm:spPr/>
    </dgm:pt>
    <dgm:pt modelId="{F1EEDC96-C556-47E9-88B5-A3DA47BCC4A7}" type="pres">
      <dgm:prSet presAssocID="{30CA7391-8E0C-4D38-A9F8-9ADD38CFFE28}" presName="composite2" presStyleCnt="0"/>
      <dgm:spPr/>
    </dgm:pt>
    <dgm:pt modelId="{6F75C21D-FEBB-4E72-BFD8-5CA5658E910B}" type="pres">
      <dgm:prSet presAssocID="{30CA7391-8E0C-4D38-A9F8-9ADD38CFFE28}" presName="background2" presStyleLbl="node2" presStyleIdx="2" presStyleCnt="3"/>
      <dgm:spPr/>
    </dgm:pt>
    <dgm:pt modelId="{781E4A60-6B71-4284-8497-F45DDE1A2FF4}" type="pres">
      <dgm:prSet presAssocID="{30CA7391-8E0C-4D38-A9F8-9ADD38CFFE28}" presName="text2" presStyleLbl="fgAcc2" presStyleIdx="2" presStyleCnt="3">
        <dgm:presLayoutVars>
          <dgm:chPref val="3"/>
        </dgm:presLayoutVars>
      </dgm:prSet>
      <dgm:spPr/>
      <dgm:t>
        <a:bodyPr/>
        <a:lstStyle/>
        <a:p>
          <a:endParaRPr lang="el-GR"/>
        </a:p>
      </dgm:t>
    </dgm:pt>
    <dgm:pt modelId="{1A995D3E-C187-468F-BD55-EB184F18DB73}" type="pres">
      <dgm:prSet presAssocID="{30CA7391-8E0C-4D38-A9F8-9ADD38CFFE28}" presName="hierChild3" presStyleCnt="0"/>
      <dgm:spPr/>
    </dgm:pt>
  </dgm:ptLst>
  <dgm:cxnLst>
    <dgm:cxn modelId="{31EA0832-9E86-481D-BF0E-325A2D80860F}" srcId="{A818B17B-3A8B-4225-AC14-C4C1A95E8D3B}" destId="{30CA7391-8E0C-4D38-A9F8-9ADD38CFFE28}" srcOrd="2" destOrd="0" parTransId="{EB06B8C2-AD1E-4447-B3AF-6DFD7BE54CC3}" sibTransId="{AD50B9F0-5C95-4D81-9829-DF8FB39A38BB}"/>
    <dgm:cxn modelId="{1E63207E-B322-4F9A-877E-C27A230FF4FD}" type="presOf" srcId="{8D6AF5D2-9BFF-49A4-A07E-05D16EB640CE}" destId="{F64EBC98-6104-4CC0-A64C-4E742A43A9A2}" srcOrd="0" destOrd="0" presId="urn:microsoft.com/office/officeart/2005/8/layout/hierarchy1"/>
    <dgm:cxn modelId="{38D2E90B-A433-4396-8F07-DAE4EC122D74}" srcId="{CA21B24D-0AC1-4B85-8288-4E20A66C5A8F}" destId="{A818B17B-3A8B-4225-AC14-C4C1A95E8D3B}" srcOrd="0" destOrd="0" parTransId="{4872D5ED-25B3-420E-85A5-3882E3647AE5}" sibTransId="{1D000EEC-FC0C-424D-957E-F942A66EA0AB}"/>
    <dgm:cxn modelId="{67C1BF1A-B229-4DC5-B307-7D68B016DB64}" type="presOf" srcId="{CA21B24D-0AC1-4B85-8288-4E20A66C5A8F}" destId="{57799032-E8F1-4A69-ADA3-5C10FB094CA7}" srcOrd="0" destOrd="0" presId="urn:microsoft.com/office/officeart/2005/8/layout/hierarchy1"/>
    <dgm:cxn modelId="{199A8A10-4047-4992-B98C-95849B0BE1B1}" srcId="{A818B17B-3A8B-4225-AC14-C4C1A95E8D3B}" destId="{0E10E880-8520-48D7-90B9-C63077127FE1}" srcOrd="1" destOrd="0" parTransId="{47D2635A-EF7B-4CD3-A682-3EC0ED9048D8}" sibTransId="{9F87010D-717B-46CD-BA96-E40776BABCD6}"/>
    <dgm:cxn modelId="{C64EC78D-52AB-48B8-BFC3-A7D4B2B953AD}" type="presOf" srcId="{47D2635A-EF7B-4CD3-A682-3EC0ED9048D8}" destId="{65C81E76-2728-4B9F-9CC9-8DA6F56A1C03}" srcOrd="0" destOrd="0" presId="urn:microsoft.com/office/officeart/2005/8/layout/hierarchy1"/>
    <dgm:cxn modelId="{5FA9EEDA-E612-4B06-8FC1-760CF789A4F9}" type="presOf" srcId="{30CA7391-8E0C-4D38-A9F8-9ADD38CFFE28}" destId="{781E4A60-6B71-4284-8497-F45DDE1A2FF4}" srcOrd="0" destOrd="0" presId="urn:microsoft.com/office/officeart/2005/8/layout/hierarchy1"/>
    <dgm:cxn modelId="{5A57DF7B-61C5-4F51-92F6-DDD1795F8350}" type="presOf" srcId="{EB06B8C2-AD1E-4447-B3AF-6DFD7BE54CC3}" destId="{AEF348AA-E9C8-4F27-A5A9-6EA67FFD179A}" srcOrd="0" destOrd="0" presId="urn:microsoft.com/office/officeart/2005/8/layout/hierarchy1"/>
    <dgm:cxn modelId="{C0E72F7B-14E7-42ED-BFD3-768B0B44FBBF}" type="presOf" srcId="{630DB104-129F-4A74-8B34-3553F679960D}" destId="{02D711CD-C888-426F-BD13-7B978B3E1AD4}" srcOrd="0" destOrd="0" presId="urn:microsoft.com/office/officeart/2005/8/layout/hierarchy1"/>
    <dgm:cxn modelId="{70A7338E-A117-4137-AA12-98B589B31CAA}" srcId="{A818B17B-3A8B-4225-AC14-C4C1A95E8D3B}" destId="{630DB104-129F-4A74-8B34-3553F679960D}" srcOrd="0" destOrd="0" parTransId="{8D6AF5D2-9BFF-49A4-A07E-05D16EB640CE}" sibTransId="{D570BA93-0BDC-4366-BE31-6DE9A95EF94E}"/>
    <dgm:cxn modelId="{9C135247-9F5A-4013-B207-205D94689AA0}" type="presOf" srcId="{0E10E880-8520-48D7-90B9-C63077127FE1}" destId="{720C0F20-A1B0-415E-B70F-452BF5ACA17B}" srcOrd="0" destOrd="0" presId="urn:microsoft.com/office/officeart/2005/8/layout/hierarchy1"/>
    <dgm:cxn modelId="{861D674B-3F37-49BA-87C7-8651F5F384D1}" type="presOf" srcId="{A818B17B-3A8B-4225-AC14-C4C1A95E8D3B}" destId="{7928DBDF-93F6-4533-9CA5-D07C659FA9A8}" srcOrd="0" destOrd="0" presId="urn:microsoft.com/office/officeart/2005/8/layout/hierarchy1"/>
    <dgm:cxn modelId="{DC3448FC-80BA-416B-A3DE-390A066CB9F7}" type="presParOf" srcId="{57799032-E8F1-4A69-ADA3-5C10FB094CA7}" destId="{6394A60D-89AF-4FBB-BFC3-B0502BC3D19E}" srcOrd="0" destOrd="0" presId="urn:microsoft.com/office/officeart/2005/8/layout/hierarchy1"/>
    <dgm:cxn modelId="{C27CEAA5-789D-4C13-889C-9F8ACFD6E6DB}" type="presParOf" srcId="{6394A60D-89AF-4FBB-BFC3-B0502BC3D19E}" destId="{81A3D375-7E94-4DBE-B5D8-8F4D620EB876}" srcOrd="0" destOrd="0" presId="urn:microsoft.com/office/officeart/2005/8/layout/hierarchy1"/>
    <dgm:cxn modelId="{0C411960-1385-46EF-B0EF-2E29B4DB98B9}" type="presParOf" srcId="{81A3D375-7E94-4DBE-B5D8-8F4D620EB876}" destId="{77D90B41-644A-4223-A6CE-CBC2E06BB718}" srcOrd="0" destOrd="0" presId="urn:microsoft.com/office/officeart/2005/8/layout/hierarchy1"/>
    <dgm:cxn modelId="{31DB7E1C-BAEF-492A-AFDF-DA84BBDF617E}" type="presParOf" srcId="{81A3D375-7E94-4DBE-B5D8-8F4D620EB876}" destId="{7928DBDF-93F6-4533-9CA5-D07C659FA9A8}" srcOrd="1" destOrd="0" presId="urn:microsoft.com/office/officeart/2005/8/layout/hierarchy1"/>
    <dgm:cxn modelId="{A6438046-A016-4365-9A7D-E94587C9675B}" type="presParOf" srcId="{6394A60D-89AF-4FBB-BFC3-B0502BC3D19E}" destId="{830F3804-E7C4-4D44-A1CC-E8F1D904826A}" srcOrd="1" destOrd="0" presId="urn:microsoft.com/office/officeart/2005/8/layout/hierarchy1"/>
    <dgm:cxn modelId="{559E06C2-3C53-4C8C-8BE6-012355688621}" type="presParOf" srcId="{830F3804-E7C4-4D44-A1CC-E8F1D904826A}" destId="{F64EBC98-6104-4CC0-A64C-4E742A43A9A2}" srcOrd="0" destOrd="0" presId="urn:microsoft.com/office/officeart/2005/8/layout/hierarchy1"/>
    <dgm:cxn modelId="{DACF5020-68D3-430C-B32F-59CA5EE71FFD}" type="presParOf" srcId="{830F3804-E7C4-4D44-A1CC-E8F1D904826A}" destId="{8A595317-E6DB-45C5-B651-B552E8C95302}" srcOrd="1" destOrd="0" presId="urn:microsoft.com/office/officeart/2005/8/layout/hierarchy1"/>
    <dgm:cxn modelId="{19452525-1338-435B-811A-B38D8A31E598}" type="presParOf" srcId="{8A595317-E6DB-45C5-B651-B552E8C95302}" destId="{8CBEA1E6-FDE8-4FB1-8895-C0B1B27E19B5}" srcOrd="0" destOrd="0" presId="urn:microsoft.com/office/officeart/2005/8/layout/hierarchy1"/>
    <dgm:cxn modelId="{920C3B88-0BC3-4280-85EE-112F1FAC4EFE}" type="presParOf" srcId="{8CBEA1E6-FDE8-4FB1-8895-C0B1B27E19B5}" destId="{550F7091-6357-4097-BB0C-5BAF9D3F3D4B}" srcOrd="0" destOrd="0" presId="urn:microsoft.com/office/officeart/2005/8/layout/hierarchy1"/>
    <dgm:cxn modelId="{E4A71FFF-4686-4A8E-B866-40FC60A34C9E}" type="presParOf" srcId="{8CBEA1E6-FDE8-4FB1-8895-C0B1B27E19B5}" destId="{02D711CD-C888-426F-BD13-7B978B3E1AD4}" srcOrd="1" destOrd="0" presId="urn:microsoft.com/office/officeart/2005/8/layout/hierarchy1"/>
    <dgm:cxn modelId="{3EC9E7EB-C165-4D54-9C6D-D03427E697D9}" type="presParOf" srcId="{8A595317-E6DB-45C5-B651-B552E8C95302}" destId="{88EE9FC1-1E45-47FB-91B4-D25DFF6013A6}" srcOrd="1" destOrd="0" presId="urn:microsoft.com/office/officeart/2005/8/layout/hierarchy1"/>
    <dgm:cxn modelId="{2B7AC0E8-494D-4BFB-905C-B97A82B99142}" type="presParOf" srcId="{830F3804-E7C4-4D44-A1CC-E8F1D904826A}" destId="{65C81E76-2728-4B9F-9CC9-8DA6F56A1C03}" srcOrd="2" destOrd="0" presId="urn:microsoft.com/office/officeart/2005/8/layout/hierarchy1"/>
    <dgm:cxn modelId="{B5A28F06-3DBF-4691-A585-5240717DEC68}" type="presParOf" srcId="{830F3804-E7C4-4D44-A1CC-E8F1D904826A}" destId="{25BECFB7-EFE4-4801-8234-2261A39099C7}" srcOrd="3" destOrd="0" presId="urn:microsoft.com/office/officeart/2005/8/layout/hierarchy1"/>
    <dgm:cxn modelId="{15DCB208-803E-4AD8-8BFB-D53D0245F2F9}" type="presParOf" srcId="{25BECFB7-EFE4-4801-8234-2261A39099C7}" destId="{4737AD08-1DF2-4452-9EF5-9B61F17D7736}" srcOrd="0" destOrd="0" presId="urn:microsoft.com/office/officeart/2005/8/layout/hierarchy1"/>
    <dgm:cxn modelId="{177A2D17-F1C9-4A5E-A57C-D9D488A6E103}" type="presParOf" srcId="{4737AD08-1DF2-4452-9EF5-9B61F17D7736}" destId="{5CD3F551-D98A-4725-A20C-42F7C53B4742}" srcOrd="0" destOrd="0" presId="urn:microsoft.com/office/officeart/2005/8/layout/hierarchy1"/>
    <dgm:cxn modelId="{A05E7172-999E-4AE0-B596-DBDE8096DA3A}" type="presParOf" srcId="{4737AD08-1DF2-4452-9EF5-9B61F17D7736}" destId="{720C0F20-A1B0-415E-B70F-452BF5ACA17B}" srcOrd="1" destOrd="0" presId="urn:microsoft.com/office/officeart/2005/8/layout/hierarchy1"/>
    <dgm:cxn modelId="{AADE2009-5182-4CC0-BB15-0220A995C907}" type="presParOf" srcId="{25BECFB7-EFE4-4801-8234-2261A39099C7}" destId="{B4661075-A1D7-4E2A-A38B-CBE2A3734803}" srcOrd="1" destOrd="0" presId="urn:microsoft.com/office/officeart/2005/8/layout/hierarchy1"/>
    <dgm:cxn modelId="{C7CC0C24-2869-473C-8EC8-61A3605EAE93}" type="presParOf" srcId="{830F3804-E7C4-4D44-A1CC-E8F1D904826A}" destId="{AEF348AA-E9C8-4F27-A5A9-6EA67FFD179A}" srcOrd="4" destOrd="0" presId="urn:microsoft.com/office/officeart/2005/8/layout/hierarchy1"/>
    <dgm:cxn modelId="{FF6FAD4A-7115-401D-9CD0-EC2075D1E10F}" type="presParOf" srcId="{830F3804-E7C4-4D44-A1CC-E8F1D904826A}" destId="{49E4D333-383B-4428-A096-8D1437EFBE2B}" srcOrd="5" destOrd="0" presId="urn:microsoft.com/office/officeart/2005/8/layout/hierarchy1"/>
    <dgm:cxn modelId="{C4F9ABF9-44AB-46AC-95EC-64B914733623}" type="presParOf" srcId="{49E4D333-383B-4428-A096-8D1437EFBE2B}" destId="{F1EEDC96-C556-47E9-88B5-A3DA47BCC4A7}" srcOrd="0" destOrd="0" presId="urn:microsoft.com/office/officeart/2005/8/layout/hierarchy1"/>
    <dgm:cxn modelId="{4FCE443E-DFAA-466D-9EEA-9F7587DC608E}" type="presParOf" srcId="{F1EEDC96-C556-47E9-88B5-A3DA47BCC4A7}" destId="{6F75C21D-FEBB-4E72-BFD8-5CA5658E910B}" srcOrd="0" destOrd="0" presId="urn:microsoft.com/office/officeart/2005/8/layout/hierarchy1"/>
    <dgm:cxn modelId="{935E2A77-B450-491E-83BC-5EECCB32CA0A}" type="presParOf" srcId="{F1EEDC96-C556-47E9-88B5-A3DA47BCC4A7}" destId="{781E4A60-6B71-4284-8497-F45DDE1A2FF4}" srcOrd="1" destOrd="0" presId="urn:microsoft.com/office/officeart/2005/8/layout/hierarchy1"/>
    <dgm:cxn modelId="{FBCA689C-F2E2-4EA0-ACBC-4C6912A70157}" type="presParOf" srcId="{49E4D333-383B-4428-A096-8D1437EFBE2B}" destId="{1A995D3E-C187-468F-BD55-EB184F18DB73}" srcOrd="1" destOrd="0" presId="urn:microsoft.com/office/officeart/2005/8/layout/hierarchy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2EF003-E385-462E-ACCB-3F931FA5E67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l-GR"/>
        </a:p>
      </dgm:t>
    </dgm:pt>
    <dgm:pt modelId="{37EA8F5A-4B68-42E8-814E-A2D27B1AA3F9}">
      <dgm:prSet phldrT="[Κείμενο]" custT="1"/>
      <dgm:spPr>
        <a:solidFill>
          <a:schemeClr val="lt1">
            <a:hueOff val="0"/>
            <a:satOff val="0"/>
            <a:lumOff val="0"/>
          </a:schemeClr>
        </a:solidFill>
      </dgm:spPr>
      <dgm:t>
        <a:bodyPr/>
        <a:lstStyle/>
        <a:p>
          <a:r>
            <a:rPr lang="el-GR" sz="700" dirty="0">
              <a:latin typeface="Arial Narrow" pitchFamily="34" charset="0"/>
            </a:rPr>
            <a:t>Οικονομικά θέματα</a:t>
          </a:r>
        </a:p>
      </dgm:t>
    </dgm:pt>
    <dgm:pt modelId="{5F3FB05E-552B-4953-BA1A-097E3E14309D}" type="parTrans" cxnId="{A2600685-3177-4C77-B968-DEE5DA95EFA4}">
      <dgm:prSet/>
      <dgm:spPr/>
      <dgm:t>
        <a:bodyPr/>
        <a:lstStyle/>
        <a:p>
          <a:endParaRPr lang="el-GR">
            <a:latin typeface="+mj-lt"/>
          </a:endParaRPr>
        </a:p>
      </dgm:t>
    </dgm:pt>
    <dgm:pt modelId="{CA772144-BB37-4618-8091-AA6101753A81}" type="sibTrans" cxnId="{A2600685-3177-4C77-B968-DEE5DA95EFA4}">
      <dgm:prSet/>
      <dgm:spPr/>
      <dgm:t>
        <a:bodyPr/>
        <a:lstStyle/>
        <a:p>
          <a:endParaRPr lang="el-GR">
            <a:latin typeface="+mj-lt"/>
          </a:endParaRPr>
        </a:p>
      </dgm:t>
    </dgm:pt>
    <dgm:pt modelId="{D8DBA2D6-0EB4-46F9-8C6A-08B9FFE90814}">
      <dgm:prSet phldrT="[Κείμενο]"/>
      <dgm:spPr>
        <a:solidFill>
          <a:schemeClr val="lt1">
            <a:hueOff val="0"/>
            <a:satOff val="0"/>
            <a:lumOff val="0"/>
          </a:schemeClr>
        </a:solidFill>
      </dgm:spPr>
      <dgm:t>
        <a:bodyPr/>
        <a:lstStyle/>
        <a:p>
          <a:r>
            <a:rPr lang="el-GR" dirty="0">
              <a:latin typeface="Arial Narrow" pitchFamily="34" charset="0"/>
            </a:rPr>
            <a:t>Υποστήριξη πολιτικών Υποδομών και Μεταφορών</a:t>
          </a:r>
        </a:p>
      </dgm:t>
    </dgm:pt>
    <dgm:pt modelId="{FF6D3D0F-2F76-4663-9490-C577B7CAF3CA}" type="parTrans" cxnId="{E24E3894-C392-4855-B915-C0CABD09FEC9}">
      <dgm:prSet/>
      <dgm:spPr/>
      <dgm:t>
        <a:bodyPr/>
        <a:lstStyle/>
        <a:p>
          <a:endParaRPr lang="el-GR">
            <a:latin typeface="+mj-lt"/>
          </a:endParaRPr>
        </a:p>
      </dgm:t>
    </dgm:pt>
    <dgm:pt modelId="{C6818257-5C20-4377-A90B-E21247E80B90}" type="sibTrans" cxnId="{E24E3894-C392-4855-B915-C0CABD09FEC9}">
      <dgm:prSet/>
      <dgm:spPr/>
      <dgm:t>
        <a:bodyPr/>
        <a:lstStyle/>
        <a:p>
          <a:endParaRPr lang="el-GR">
            <a:latin typeface="+mj-lt"/>
          </a:endParaRPr>
        </a:p>
      </dgm:t>
    </dgm:pt>
    <dgm:pt modelId="{E4208DE9-7B3C-4242-9C05-54F33454CF91}">
      <dgm:prSet custT="1"/>
      <dgm:spPr>
        <a:solidFill>
          <a:schemeClr val="lt1">
            <a:hueOff val="0"/>
            <a:satOff val="0"/>
            <a:lumOff val="0"/>
          </a:schemeClr>
        </a:solidFill>
      </dgm:spPr>
      <dgm:t>
        <a:bodyPr/>
        <a:lstStyle/>
        <a:p>
          <a:r>
            <a:rPr lang="el-GR" sz="700">
              <a:latin typeface="Arial Narrow" pitchFamily="34" charset="0"/>
            </a:rPr>
            <a:t>                     Στέγαση και υποδομές κοινωνικής ωφέλειας</a:t>
          </a:r>
        </a:p>
      </dgm:t>
    </dgm:pt>
    <dgm:pt modelId="{04511440-6671-4ED4-BE8E-3C025AB06D72}" type="parTrans" cxnId="{52D147EB-77D6-4EC9-ABCB-96E37880AB7F}">
      <dgm:prSet/>
      <dgm:spPr/>
      <dgm:t>
        <a:bodyPr/>
        <a:lstStyle/>
        <a:p>
          <a:endParaRPr lang="el-GR"/>
        </a:p>
      </dgm:t>
    </dgm:pt>
    <dgm:pt modelId="{72837667-B001-47A4-8A9E-2BCE25FFE59B}" type="sibTrans" cxnId="{52D147EB-77D6-4EC9-ABCB-96E37880AB7F}">
      <dgm:prSet/>
      <dgm:spPr/>
      <dgm:t>
        <a:bodyPr/>
        <a:lstStyle/>
        <a:p>
          <a:endParaRPr lang="el-GR"/>
        </a:p>
      </dgm:t>
    </dgm:pt>
    <dgm:pt modelId="{6DC81305-9374-4943-B0C2-609A27BF00BB}">
      <dgm:prSet custT="1"/>
      <dgm:spPr>
        <a:solidFill>
          <a:schemeClr val="lt1">
            <a:hueOff val="0"/>
            <a:satOff val="0"/>
            <a:lumOff val="0"/>
          </a:schemeClr>
        </a:solidFill>
      </dgm:spPr>
      <dgm:t>
        <a:bodyPr/>
        <a:lstStyle/>
        <a:p>
          <a:r>
            <a:rPr lang="el-GR" sz="700">
              <a:latin typeface="Arial Narrow" pitchFamily="34" charset="0"/>
            </a:rPr>
            <a:t>                   Δημόσια τάξη και ασφάλεια</a:t>
          </a:r>
        </a:p>
      </dgm:t>
    </dgm:pt>
    <dgm:pt modelId="{F78EE91B-F3C7-4EA7-ADA0-3E8C7A0D3B1D}" type="parTrans" cxnId="{8F05D746-C65A-499D-AA7A-4B065A6D3E75}">
      <dgm:prSet/>
      <dgm:spPr/>
      <dgm:t>
        <a:bodyPr/>
        <a:lstStyle/>
        <a:p>
          <a:endParaRPr lang="el-GR"/>
        </a:p>
      </dgm:t>
    </dgm:pt>
    <dgm:pt modelId="{95A3CB57-DF3B-4D4F-B0DF-153537C5875F}" type="sibTrans" cxnId="{8F05D746-C65A-499D-AA7A-4B065A6D3E75}">
      <dgm:prSet/>
      <dgm:spPr/>
      <dgm:t>
        <a:bodyPr/>
        <a:lstStyle/>
        <a:p>
          <a:endParaRPr lang="el-GR"/>
        </a:p>
      </dgm:t>
    </dgm:pt>
    <dgm:pt modelId="{48442905-354D-4006-9E67-540514714DD5}">
      <dgm:prSet/>
      <dgm:spPr>
        <a:solidFill>
          <a:schemeClr val="lt1">
            <a:hueOff val="0"/>
            <a:satOff val="0"/>
            <a:lumOff val="0"/>
          </a:schemeClr>
        </a:solidFill>
      </dgm:spPr>
      <dgm:t>
        <a:bodyPr/>
        <a:lstStyle/>
        <a:p>
          <a:r>
            <a:rPr lang="el-GR">
              <a:latin typeface="Arial Narrow" pitchFamily="34" charset="0"/>
            </a:rPr>
            <a:t>Διαχείριση μεταναστευτι-κών ροών</a:t>
          </a:r>
        </a:p>
      </dgm:t>
    </dgm:pt>
    <dgm:pt modelId="{2EC2CB89-147B-4ABF-B16D-8320CBFA37FE}" type="parTrans" cxnId="{3C2454DB-A525-44D5-8224-1EECF433B0B0}">
      <dgm:prSet/>
      <dgm:spPr/>
      <dgm:t>
        <a:bodyPr/>
        <a:lstStyle/>
        <a:p>
          <a:endParaRPr lang="el-GR"/>
        </a:p>
      </dgm:t>
    </dgm:pt>
    <dgm:pt modelId="{CD294679-C647-4DD5-A77C-56ED6A6C459B}" type="sibTrans" cxnId="{3C2454DB-A525-44D5-8224-1EECF433B0B0}">
      <dgm:prSet/>
      <dgm:spPr/>
      <dgm:t>
        <a:bodyPr/>
        <a:lstStyle/>
        <a:p>
          <a:endParaRPr lang="el-GR"/>
        </a:p>
      </dgm:t>
    </dgm:pt>
    <dgm:pt modelId="{E8B65EF1-0D76-4357-BCE0-954C31FA8928}">
      <dgm:prSet/>
      <dgm:spPr>
        <a:solidFill>
          <a:schemeClr val="lt1">
            <a:hueOff val="0"/>
            <a:satOff val="0"/>
            <a:lumOff val="0"/>
          </a:schemeClr>
        </a:solidFill>
      </dgm:spPr>
      <dgm:t>
        <a:bodyPr/>
        <a:lstStyle/>
        <a:p>
          <a:r>
            <a:rPr lang="el-GR">
              <a:latin typeface="Arial Narrow" pitchFamily="34" charset="0"/>
            </a:rPr>
            <a:t>Σχεδιασμός ανάπτυξη και εποπτεια υποδομών</a:t>
          </a:r>
        </a:p>
      </dgm:t>
    </dgm:pt>
    <dgm:pt modelId="{CFAF0558-F134-4030-AB26-E132889B9FA8}" type="parTrans" cxnId="{B472FB15-ACDD-4CE3-8074-AE6FC41A9122}">
      <dgm:prSet/>
      <dgm:spPr/>
      <dgm:t>
        <a:bodyPr/>
        <a:lstStyle/>
        <a:p>
          <a:endParaRPr lang="el-GR"/>
        </a:p>
      </dgm:t>
    </dgm:pt>
    <dgm:pt modelId="{5A026E87-878E-4208-AAF7-2722D57E7331}" type="sibTrans" cxnId="{B472FB15-ACDD-4CE3-8074-AE6FC41A9122}">
      <dgm:prSet/>
      <dgm:spPr/>
      <dgm:t>
        <a:bodyPr/>
        <a:lstStyle/>
        <a:p>
          <a:endParaRPr lang="el-GR"/>
        </a:p>
      </dgm:t>
    </dgm:pt>
    <dgm:pt modelId="{067832AE-6260-43D0-81AC-57E9A2869D37}">
      <dgm:prSet phldrT="[Κείμενο]"/>
      <dgm:spPr>
        <a:solidFill>
          <a:schemeClr val="lt1">
            <a:hueOff val="0"/>
            <a:satOff val="0"/>
            <a:lumOff val="0"/>
          </a:schemeClr>
        </a:solidFill>
      </dgm:spPr>
      <dgm:t>
        <a:bodyPr/>
        <a:lstStyle/>
        <a:p>
          <a:r>
            <a:rPr lang="el-GR" dirty="0">
              <a:latin typeface="Arial Narrow" pitchFamily="34" charset="0"/>
            </a:rPr>
            <a:t>Υποστήριξη διοικητικών και οικονομικών υποθέσεων υποδομών και Μεταφορών</a:t>
          </a:r>
        </a:p>
      </dgm:t>
    </dgm:pt>
    <dgm:pt modelId="{AE80AE56-4472-48FE-BE64-224B32FF043C}" type="parTrans" cxnId="{959283C5-BE7D-487E-833A-9BE490AE2EC4}">
      <dgm:prSet/>
      <dgm:spPr/>
      <dgm:t>
        <a:bodyPr/>
        <a:lstStyle/>
        <a:p>
          <a:endParaRPr lang="el-GR"/>
        </a:p>
      </dgm:t>
    </dgm:pt>
    <dgm:pt modelId="{22A73C6C-1E21-48AF-9512-208A0385F4B5}" type="sibTrans" cxnId="{959283C5-BE7D-487E-833A-9BE490AE2EC4}">
      <dgm:prSet/>
      <dgm:spPr/>
      <dgm:t>
        <a:bodyPr/>
        <a:lstStyle/>
        <a:p>
          <a:endParaRPr lang="el-GR"/>
        </a:p>
      </dgm:t>
    </dgm:pt>
    <dgm:pt modelId="{44C0ED20-9EF0-4A2E-BD39-2708FF22C9F3}">
      <dgm:prSet phldrT="[Κείμενο]"/>
      <dgm:spPr>
        <a:solidFill>
          <a:schemeClr val="lt1">
            <a:hueOff val="0"/>
            <a:satOff val="0"/>
            <a:lumOff val="0"/>
          </a:schemeClr>
        </a:solidFill>
      </dgm:spPr>
      <dgm:t>
        <a:bodyPr/>
        <a:lstStyle/>
        <a:p>
          <a:r>
            <a:rPr lang="el-GR" dirty="0">
              <a:latin typeface="Arial Narrow" pitchFamily="34" charset="0"/>
            </a:rPr>
            <a:t>Υποστήριξη αυτοτελών μονάδων Υπ. Υποδομών και Μεταφορών</a:t>
          </a:r>
        </a:p>
      </dgm:t>
    </dgm:pt>
    <dgm:pt modelId="{29A6F050-95FD-4D72-BF4F-43C761E053D2}" type="parTrans" cxnId="{1C1E85E4-FB75-4F23-AE32-5414D5654865}">
      <dgm:prSet/>
      <dgm:spPr/>
      <dgm:t>
        <a:bodyPr/>
        <a:lstStyle/>
        <a:p>
          <a:endParaRPr lang="el-GR"/>
        </a:p>
      </dgm:t>
    </dgm:pt>
    <dgm:pt modelId="{4E4A00CD-958F-4C1E-A184-F7EEEA6E7BC3}" type="sibTrans" cxnId="{1C1E85E4-FB75-4F23-AE32-5414D5654865}">
      <dgm:prSet/>
      <dgm:spPr/>
      <dgm:t>
        <a:bodyPr/>
        <a:lstStyle/>
        <a:p>
          <a:endParaRPr lang="el-GR"/>
        </a:p>
      </dgm:t>
    </dgm:pt>
    <dgm:pt modelId="{3E014F3C-AFCB-4A20-B9FD-4222728F9317}">
      <dgm:prSet phldrT="[Κείμενο]"/>
      <dgm:spPr>
        <a:solidFill>
          <a:schemeClr val="lt1">
            <a:hueOff val="0"/>
            <a:satOff val="0"/>
            <a:lumOff val="0"/>
          </a:schemeClr>
        </a:solidFill>
      </dgm:spPr>
      <dgm:t>
        <a:bodyPr/>
        <a:lstStyle/>
        <a:p>
          <a:r>
            <a:rPr lang="el-GR">
              <a:latin typeface="Arial Narrow" pitchFamily="34" charset="0"/>
            </a:rPr>
            <a:t>Μεταφορές-Εποπτεία και έλεγχος σιδηροδρομι-κής αγοράς</a:t>
          </a:r>
          <a:endParaRPr lang="el-GR" dirty="0">
            <a:latin typeface="Arial Narrow" pitchFamily="34" charset="0"/>
          </a:endParaRPr>
        </a:p>
      </dgm:t>
    </dgm:pt>
    <dgm:pt modelId="{CEF8CAFF-D3F9-4EF7-BE06-57F59E738B04}" type="parTrans" cxnId="{927E3D5C-DB21-48C5-82EC-015B6E19A32D}">
      <dgm:prSet/>
      <dgm:spPr/>
      <dgm:t>
        <a:bodyPr/>
        <a:lstStyle/>
        <a:p>
          <a:endParaRPr lang="el-GR"/>
        </a:p>
      </dgm:t>
    </dgm:pt>
    <dgm:pt modelId="{DE73ACE5-C3B6-4359-9712-7ECA424FAF9E}" type="sibTrans" cxnId="{927E3D5C-DB21-48C5-82EC-015B6E19A32D}">
      <dgm:prSet/>
      <dgm:spPr/>
      <dgm:t>
        <a:bodyPr/>
        <a:lstStyle/>
        <a:p>
          <a:endParaRPr lang="el-GR"/>
        </a:p>
      </dgm:t>
    </dgm:pt>
    <dgm:pt modelId="{C21DA356-8569-4A1F-8F29-DD79DF6D9CA9}">
      <dgm:prSet phldrT="[Κείμενο]"/>
      <dgm:spPr>
        <a:solidFill>
          <a:schemeClr val="lt1">
            <a:hueOff val="0"/>
            <a:satOff val="0"/>
            <a:lumOff val="0"/>
          </a:schemeClr>
        </a:solidFill>
      </dgm:spPr>
      <dgm:t>
        <a:bodyPr/>
        <a:lstStyle/>
        <a:p>
          <a:r>
            <a:rPr lang="el-GR" dirty="0">
              <a:latin typeface="Arial Narrow" pitchFamily="34" charset="0"/>
            </a:rPr>
            <a:t>Σχεδιασμός</a:t>
          </a:r>
        </a:p>
        <a:p>
          <a:r>
            <a:rPr lang="el-GR" dirty="0">
              <a:latin typeface="Arial Narrow" pitchFamily="34" charset="0"/>
            </a:rPr>
            <a:t>ανάπτυξη και εποπτεία μεταφορών συγκοινωνιών</a:t>
          </a:r>
        </a:p>
      </dgm:t>
    </dgm:pt>
    <dgm:pt modelId="{123C6DC1-AF19-4C50-A53F-24F55DE1D70A}" type="parTrans" cxnId="{FFA44537-34C0-4464-ADF2-CE72D8C525E7}">
      <dgm:prSet/>
      <dgm:spPr/>
      <dgm:t>
        <a:bodyPr/>
        <a:lstStyle/>
        <a:p>
          <a:endParaRPr lang="el-GR"/>
        </a:p>
      </dgm:t>
    </dgm:pt>
    <dgm:pt modelId="{4B4B8422-927D-4683-96BB-54C9DE0F41CA}" type="sibTrans" cxnId="{FFA44537-34C0-4464-ADF2-CE72D8C525E7}">
      <dgm:prSet/>
      <dgm:spPr/>
      <dgm:t>
        <a:bodyPr/>
        <a:lstStyle/>
        <a:p>
          <a:endParaRPr lang="el-GR"/>
        </a:p>
      </dgm:t>
    </dgm:pt>
    <dgm:pt modelId="{884E0D15-CD93-48DB-9D95-27C7B1EDB61C}">
      <dgm:prSet phldrT="[Κείμενο]"/>
      <dgm:spPr>
        <a:solidFill>
          <a:schemeClr val="lt1">
            <a:hueOff val="0"/>
            <a:satOff val="0"/>
            <a:lumOff val="0"/>
          </a:schemeClr>
        </a:solidFill>
      </dgm:spPr>
      <dgm:t>
        <a:bodyPr/>
        <a:lstStyle/>
        <a:p>
          <a:r>
            <a:rPr lang="el-GR" dirty="0">
              <a:latin typeface="Arial Narrow" pitchFamily="34" charset="0"/>
            </a:rPr>
            <a:t>Οργάνωση, ανάπτυξη και έλεγχος του συστήματος αερομεταφορών</a:t>
          </a:r>
        </a:p>
      </dgm:t>
    </dgm:pt>
    <dgm:pt modelId="{C153AB16-4726-42C6-B9D5-07D3441DCF72}" type="parTrans" cxnId="{7FA55B39-A37E-4EF7-9CB7-EC39A9134D83}">
      <dgm:prSet/>
      <dgm:spPr/>
      <dgm:t>
        <a:bodyPr/>
        <a:lstStyle/>
        <a:p>
          <a:endParaRPr lang="el-GR"/>
        </a:p>
      </dgm:t>
    </dgm:pt>
    <dgm:pt modelId="{7F996814-8312-4EE2-AA04-FD8C140B943B}" type="sibTrans" cxnId="{7FA55B39-A37E-4EF7-9CB7-EC39A9134D83}">
      <dgm:prSet/>
      <dgm:spPr/>
      <dgm:t>
        <a:bodyPr/>
        <a:lstStyle/>
        <a:p>
          <a:endParaRPr lang="el-GR"/>
        </a:p>
      </dgm:t>
    </dgm:pt>
    <dgm:pt modelId="{9B24131A-76B8-459F-A3A9-EF329FC5E73C}">
      <dgm:prSet phldrT="[Κείμενο]"/>
      <dgm:spPr>
        <a:solidFill>
          <a:schemeClr val="lt1">
            <a:hueOff val="0"/>
            <a:satOff val="0"/>
            <a:lumOff val="0"/>
          </a:schemeClr>
        </a:solidFill>
      </dgm:spPr>
      <dgm:t>
        <a:bodyPr/>
        <a:lstStyle/>
        <a:p>
          <a:r>
            <a:rPr lang="el-GR" dirty="0">
              <a:latin typeface="Arial Narrow" pitchFamily="34" charset="0"/>
            </a:rPr>
            <a:t>Μεταφορές- Διαχείριση οδικών τελών</a:t>
          </a:r>
        </a:p>
      </dgm:t>
    </dgm:pt>
    <dgm:pt modelId="{39ECBB37-67E8-4B68-913A-FBB03FD46AF1}" type="parTrans" cxnId="{146D4801-3CB9-497C-A653-3A159510286C}">
      <dgm:prSet/>
      <dgm:spPr/>
      <dgm:t>
        <a:bodyPr/>
        <a:lstStyle/>
        <a:p>
          <a:endParaRPr lang="el-GR"/>
        </a:p>
      </dgm:t>
    </dgm:pt>
    <dgm:pt modelId="{E8427A6A-A4C9-452E-8E0F-A0BB4E3C4133}" type="sibTrans" cxnId="{146D4801-3CB9-497C-A653-3A159510286C}">
      <dgm:prSet/>
      <dgm:spPr/>
      <dgm:t>
        <a:bodyPr/>
        <a:lstStyle/>
        <a:p>
          <a:endParaRPr lang="el-GR"/>
        </a:p>
      </dgm:t>
    </dgm:pt>
    <dgm:pt modelId="{3DBC4361-10F5-4186-8E60-A69FA1E21DAD}">
      <dgm:prSet phldrT="[Κείμενο]"/>
      <dgm:spPr>
        <a:solidFill>
          <a:schemeClr val="lt1">
            <a:hueOff val="0"/>
            <a:satOff val="0"/>
            <a:lumOff val="0"/>
          </a:schemeClr>
        </a:solidFill>
      </dgm:spPr>
      <dgm:t>
        <a:bodyPr/>
        <a:lstStyle/>
        <a:p>
          <a:r>
            <a:rPr lang="el-GR">
              <a:latin typeface="Arial Narrow" pitchFamily="34" charset="0"/>
            </a:rPr>
            <a:t>Μεταφορές-Διερεύνηση ατυχημάτων και ασφάλεια πτήσεων</a:t>
          </a:r>
          <a:endParaRPr lang="el-GR" dirty="0">
            <a:latin typeface="Arial Narrow" pitchFamily="34" charset="0"/>
          </a:endParaRPr>
        </a:p>
      </dgm:t>
    </dgm:pt>
    <dgm:pt modelId="{A195AD02-B6BF-49CB-95EB-8EBD014D7824}" type="parTrans" cxnId="{2F6BA8FE-150B-46B0-AEFD-51B873522F2E}">
      <dgm:prSet/>
      <dgm:spPr/>
      <dgm:t>
        <a:bodyPr/>
        <a:lstStyle/>
        <a:p>
          <a:endParaRPr lang="el-GR"/>
        </a:p>
      </dgm:t>
    </dgm:pt>
    <dgm:pt modelId="{0DC307C0-F5BC-4014-AB71-A6089648AD0D}" type="sibTrans" cxnId="{2F6BA8FE-150B-46B0-AEFD-51B873522F2E}">
      <dgm:prSet/>
      <dgm:spPr/>
      <dgm:t>
        <a:bodyPr/>
        <a:lstStyle/>
        <a:p>
          <a:endParaRPr lang="el-GR"/>
        </a:p>
      </dgm:t>
    </dgm:pt>
    <dgm:pt modelId="{C0FB8C73-2520-48CF-A61C-03DBDC565F2D}">
      <dgm:prSet phldrT="[Κείμενο]"/>
      <dgm:spPr>
        <a:solidFill>
          <a:schemeClr val="lt1">
            <a:hueOff val="0"/>
            <a:satOff val="0"/>
            <a:lumOff val="0"/>
          </a:schemeClr>
        </a:solidFill>
      </dgm:spPr>
      <dgm:t>
        <a:bodyPr/>
        <a:lstStyle/>
        <a:p>
          <a:r>
            <a:rPr lang="el-GR">
              <a:latin typeface="Arial Narrow" pitchFamily="34" charset="0"/>
            </a:rPr>
            <a:t>Μεταφορές- Διερεύνηση σιδηροδρο-μικών  ατυχημά-ων και συμβάντων</a:t>
          </a:r>
          <a:endParaRPr lang="el-GR" dirty="0">
            <a:latin typeface="Arial Narrow" pitchFamily="34" charset="0"/>
          </a:endParaRPr>
        </a:p>
      </dgm:t>
    </dgm:pt>
    <dgm:pt modelId="{7E991BB5-94BE-4568-8571-95DD4AAE8B6A}" type="parTrans" cxnId="{773DFA53-C5F4-4B9C-962D-D14F9FCDB64C}">
      <dgm:prSet/>
      <dgm:spPr/>
      <dgm:t>
        <a:bodyPr/>
        <a:lstStyle/>
        <a:p>
          <a:endParaRPr lang="el-GR"/>
        </a:p>
      </dgm:t>
    </dgm:pt>
    <dgm:pt modelId="{595ACE71-9605-4EC0-B325-A0378D0EF0BD}" type="sibTrans" cxnId="{773DFA53-C5F4-4B9C-962D-D14F9FCDB64C}">
      <dgm:prSet/>
      <dgm:spPr/>
      <dgm:t>
        <a:bodyPr/>
        <a:lstStyle/>
        <a:p>
          <a:endParaRPr lang="el-GR"/>
        </a:p>
      </dgm:t>
    </dgm:pt>
    <dgm:pt modelId="{78B03DD8-C181-41FA-BD23-F83EA82D25BA}" type="pres">
      <dgm:prSet presAssocID="{CD2EF003-E385-462E-ACCB-3F931FA5E67B}" presName="hierChild1" presStyleCnt="0">
        <dgm:presLayoutVars>
          <dgm:chPref val="1"/>
          <dgm:dir/>
          <dgm:animOne val="branch"/>
          <dgm:animLvl val="lvl"/>
          <dgm:resizeHandles/>
        </dgm:presLayoutVars>
      </dgm:prSet>
      <dgm:spPr/>
      <dgm:t>
        <a:bodyPr/>
        <a:lstStyle/>
        <a:p>
          <a:endParaRPr lang="el-GR"/>
        </a:p>
      </dgm:t>
    </dgm:pt>
    <dgm:pt modelId="{DE78D6D9-6C55-4F36-81DE-CF872158931B}" type="pres">
      <dgm:prSet presAssocID="{6DC81305-9374-4943-B0C2-609A27BF00BB}" presName="hierRoot1" presStyleCnt="0"/>
      <dgm:spPr/>
    </dgm:pt>
    <dgm:pt modelId="{9B4A7B13-5C2F-4E85-8244-0F261508C25A}" type="pres">
      <dgm:prSet presAssocID="{6DC81305-9374-4943-B0C2-609A27BF00BB}" presName="composite" presStyleCnt="0"/>
      <dgm:spPr/>
    </dgm:pt>
    <dgm:pt modelId="{6B325A35-2BF4-49AC-8C14-5EDCB9CF9F23}" type="pres">
      <dgm:prSet presAssocID="{6DC81305-9374-4943-B0C2-609A27BF00BB}" presName="background" presStyleLbl="node0" presStyleIdx="0" presStyleCnt="3"/>
      <dgm:spPr/>
    </dgm:pt>
    <dgm:pt modelId="{00B8BDCE-36AE-4E92-A930-1507A0B7B7EE}" type="pres">
      <dgm:prSet presAssocID="{6DC81305-9374-4943-B0C2-609A27BF00BB}" presName="text" presStyleLbl="fgAcc0" presStyleIdx="0" presStyleCnt="3" custScaleX="248396" custScaleY="480355" custLinFactY="-100000" custLinFactNeighborX="17355" custLinFactNeighborY="-127797">
        <dgm:presLayoutVars>
          <dgm:chPref val="3"/>
        </dgm:presLayoutVars>
      </dgm:prSet>
      <dgm:spPr/>
      <dgm:t>
        <a:bodyPr/>
        <a:lstStyle/>
        <a:p>
          <a:endParaRPr lang="el-GR"/>
        </a:p>
      </dgm:t>
    </dgm:pt>
    <dgm:pt modelId="{52C4CF41-6E31-49C8-A5BE-054ECFCB49C9}" type="pres">
      <dgm:prSet presAssocID="{6DC81305-9374-4943-B0C2-609A27BF00BB}" presName="hierChild2" presStyleCnt="0"/>
      <dgm:spPr/>
    </dgm:pt>
    <dgm:pt modelId="{E7089DD6-460E-4D6A-A91F-1CAD033D5BD8}" type="pres">
      <dgm:prSet presAssocID="{2EC2CB89-147B-4ABF-B16D-8320CBFA37FE}" presName="Name10" presStyleLbl="parChTrans1D2" presStyleIdx="0" presStyleCnt="11"/>
      <dgm:spPr/>
      <dgm:t>
        <a:bodyPr/>
        <a:lstStyle/>
        <a:p>
          <a:endParaRPr lang="el-GR"/>
        </a:p>
      </dgm:t>
    </dgm:pt>
    <dgm:pt modelId="{9EC18ECC-FA9C-4A9B-AD2A-D94FBA533634}" type="pres">
      <dgm:prSet presAssocID="{48442905-354D-4006-9E67-540514714DD5}" presName="hierRoot2" presStyleCnt="0"/>
      <dgm:spPr/>
    </dgm:pt>
    <dgm:pt modelId="{1B783684-9845-4927-958F-5E4FD55C219E}" type="pres">
      <dgm:prSet presAssocID="{48442905-354D-4006-9E67-540514714DD5}" presName="composite2" presStyleCnt="0"/>
      <dgm:spPr/>
    </dgm:pt>
    <dgm:pt modelId="{20819861-C480-48BA-AA67-A2D85C49911B}" type="pres">
      <dgm:prSet presAssocID="{48442905-354D-4006-9E67-540514714DD5}" presName="background2" presStyleLbl="node2" presStyleIdx="0" presStyleCnt="11"/>
      <dgm:spPr/>
    </dgm:pt>
    <dgm:pt modelId="{865AF630-6186-4796-8F56-2B360299B0BA}" type="pres">
      <dgm:prSet presAssocID="{48442905-354D-4006-9E67-540514714DD5}" presName="text2" presStyleLbl="fgAcc2" presStyleIdx="0" presStyleCnt="11" custScaleX="228549" custScaleY="463600" custLinFactY="-2439" custLinFactNeighborX="747" custLinFactNeighborY="-100000">
        <dgm:presLayoutVars>
          <dgm:chPref val="3"/>
        </dgm:presLayoutVars>
      </dgm:prSet>
      <dgm:spPr/>
      <dgm:t>
        <a:bodyPr/>
        <a:lstStyle/>
        <a:p>
          <a:endParaRPr lang="el-GR"/>
        </a:p>
      </dgm:t>
    </dgm:pt>
    <dgm:pt modelId="{0886FD3B-FEF4-4607-A715-FAE2237B076A}" type="pres">
      <dgm:prSet presAssocID="{48442905-354D-4006-9E67-540514714DD5}" presName="hierChild3" presStyleCnt="0"/>
      <dgm:spPr/>
    </dgm:pt>
    <dgm:pt modelId="{80C11286-63E5-4BEE-97E2-F1E791019110}" type="pres">
      <dgm:prSet presAssocID="{37EA8F5A-4B68-42E8-814E-A2D27B1AA3F9}" presName="hierRoot1" presStyleCnt="0"/>
      <dgm:spPr/>
    </dgm:pt>
    <dgm:pt modelId="{584AE276-6DA3-41D0-959C-A53F51F793C1}" type="pres">
      <dgm:prSet presAssocID="{37EA8F5A-4B68-42E8-814E-A2D27B1AA3F9}" presName="composite" presStyleCnt="0"/>
      <dgm:spPr/>
    </dgm:pt>
    <dgm:pt modelId="{66A19447-BD46-457E-9AE8-609AD4C33F42}" type="pres">
      <dgm:prSet presAssocID="{37EA8F5A-4B68-42E8-814E-A2D27B1AA3F9}" presName="background" presStyleLbl="node0" presStyleIdx="1" presStyleCnt="3"/>
      <dgm:spPr/>
    </dgm:pt>
    <dgm:pt modelId="{9E88AB32-EBBE-4977-B8BF-DBD510B42E17}" type="pres">
      <dgm:prSet presAssocID="{37EA8F5A-4B68-42E8-814E-A2D27B1AA3F9}" presName="text" presStyleLbl="fgAcc0" presStyleIdx="1" presStyleCnt="3" custScaleX="398542" custScaleY="346268" custLinFactY="-100000" custLinFactNeighborX="-4150" custLinFactNeighborY="-105784">
        <dgm:presLayoutVars>
          <dgm:chPref val="3"/>
        </dgm:presLayoutVars>
      </dgm:prSet>
      <dgm:spPr/>
      <dgm:t>
        <a:bodyPr/>
        <a:lstStyle/>
        <a:p>
          <a:endParaRPr lang="el-GR"/>
        </a:p>
      </dgm:t>
    </dgm:pt>
    <dgm:pt modelId="{A5178973-A4E7-4071-A2AF-39CE0E896ABA}" type="pres">
      <dgm:prSet presAssocID="{37EA8F5A-4B68-42E8-814E-A2D27B1AA3F9}" presName="hierChild2" presStyleCnt="0"/>
      <dgm:spPr/>
    </dgm:pt>
    <dgm:pt modelId="{16B0D25E-EE43-47CD-838E-EB2C8CB550EE}" type="pres">
      <dgm:prSet presAssocID="{FF6D3D0F-2F76-4663-9490-C577B7CAF3CA}" presName="Name10" presStyleLbl="parChTrans1D2" presStyleIdx="1" presStyleCnt="11"/>
      <dgm:spPr/>
      <dgm:t>
        <a:bodyPr/>
        <a:lstStyle/>
        <a:p>
          <a:endParaRPr lang="el-GR"/>
        </a:p>
      </dgm:t>
    </dgm:pt>
    <dgm:pt modelId="{449BFFD6-CB64-4BCD-A015-1D16F545998F}" type="pres">
      <dgm:prSet presAssocID="{D8DBA2D6-0EB4-46F9-8C6A-08B9FFE90814}" presName="hierRoot2" presStyleCnt="0"/>
      <dgm:spPr/>
    </dgm:pt>
    <dgm:pt modelId="{BB82A861-594E-4051-AC33-5409924ACCE1}" type="pres">
      <dgm:prSet presAssocID="{D8DBA2D6-0EB4-46F9-8C6A-08B9FFE90814}" presName="composite2" presStyleCnt="0"/>
      <dgm:spPr/>
    </dgm:pt>
    <dgm:pt modelId="{EC8CADB5-E641-4D5A-AECB-F113BB49FB1F}" type="pres">
      <dgm:prSet presAssocID="{D8DBA2D6-0EB4-46F9-8C6A-08B9FFE90814}" presName="background2" presStyleLbl="node2" presStyleIdx="1" presStyleCnt="11"/>
      <dgm:spPr/>
    </dgm:pt>
    <dgm:pt modelId="{447877C5-2A09-4198-8778-EE05EDC8F678}" type="pres">
      <dgm:prSet presAssocID="{D8DBA2D6-0EB4-46F9-8C6A-08B9FFE90814}" presName="text2" presStyleLbl="fgAcc2" presStyleIdx="1" presStyleCnt="11" custScaleX="223375" custScaleY="495000">
        <dgm:presLayoutVars>
          <dgm:chPref val="3"/>
        </dgm:presLayoutVars>
      </dgm:prSet>
      <dgm:spPr/>
      <dgm:t>
        <a:bodyPr/>
        <a:lstStyle/>
        <a:p>
          <a:endParaRPr lang="el-GR"/>
        </a:p>
      </dgm:t>
    </dgm:pt>
    <dgm:pt modelId="{394E5066-1D3A-4550-ACC1-496C93F63ED6}" type="pres">
      <dgm:prSet presAssocID="{D8DBA2D6-0EB4-46F9-8C6A-08B9FFE90814}" presName="hierChild3" presStyleCnt="0"/>
      <dgm:spPr/>
    </dgm:pt>
    <dgm:pt modelId="{37963187-45AA-4378-8AAC-96EB8378660D}" type="pres">
      <dgm:prSet presAssocID="{AE80AE56-4472-48FE-BE64-224B32FF043C}" presName="Name10" presStyleLbl="parChTrans1D2" presStyleIdx="2" presStyleCnt="11"/>
      <dgm:spPr/>
      <dgm:t>
        <a:bodyPr/>
        <a:lstStyle/>
        <a:p>
          <a:endParaRPr lang="el-GR"/>
        </a:p>
      </dgm:t>
    </dgm:pt>
    <dgm:pt modelId="{967C2917-F572-4C55-8BDB-DDC97963FC9E}" type="pres">
      <dgm:prSet presAssocID="{067832AE-6260-43D0-81AC-57E9A2869D37}" presName="hierRoot2" presStyleCnt="0"/>
      <dgm:spPr/>
    </dgm:pt>
    <dgm:pt modelId="{ADACCEEE-1157-4224-9498-D4B885A2DC2D}" type="pres">
      <dgm:prSet presAssocID="{067832AE-6260-43D0-81AC-57E9A2869D37}" presName="composite2" presStyleCnt="0"/>
      <dgm:spPr/>
    </dgm:pt>
    <dgm:pt modelId="{8D341CCC-44FE-46A3-99FC-6B280F770E9B}" type="pres">
      <dgm:prSet presAssocID="{067832AE-6260-43D0-81AC-57E9A2869D37}" presName="background2" presStyleLbl="node2" presStyleIdx="2" presStyleCnt="11"/>
      <dgm:spPr/>
    </dgm:pt>
    <dgm:pt modelId="{435DC648-23B9-427A-A517-70CBF74CF919}" type="pres">
      <dgm:prSet presAssocID="{067832AE-6260-43D0-81AC-57E9A2869D37}" presName="text2" presStyleLbl="fgAcc2" presStyleIdx="2" presStyleCnt="11" custScaleX="215508" custScaleY="625646">
        <dgm:presLayoutVars>
          <dgm:chPref val="3"/>
        </dgm:presLayoutVars>
      </dgm:prSet>
      <dgm:spPr/>
      <dgm:t>
        <a:bodyPr/>
        <a:lstStyle/>
        <a:p>
          <a:endParaRPr lang="el-GR"/>
        </a:p>
      </dgm:t>
    </dgm:pt>
    <dgm:pt modelId="{C8D0B0C1-31FB-4643-B251-1FE259D24DC0}" type="pres">
      <dgm:prSet presAssocID="{067832AE-6260-43D0-81AC-57E9A2869D37}" presName="hierChild3" presStyleCnt="0"/>
      <dgm:spPr/>
    </dgm:pt>
    <dgm:pt modelId="{CF645066-7AE1-4A82-800E-ECE85054D024}" type="pres">
      <dgm:prSet presAssocID="{29A6F050-95FD-4D72-BF4F-43C761E053D2}" presName="Name10" presStyleLbl="parChTrans1D2" presStyleIdx="3" presStyleCnt="11"/>
      <dgm:spPr/>
      <dgm:t>
        <a:bodyPr/>
        <a:lstStyle/>
        <a:p>
          <a:endParaRPr lang="el-GR"/>
        </a:p>
      </dgm:t>
    </dgm:pt>
    <dgm:pt modelId="{697B5736-70A3-4221-9672-73ECA3C59122}" type="pres">
      <dgm:prSet presAssocID="{44C0ED20-9EF0-4A2E-BD39-2708FF22C9F3}" presName="hierRoot2" presStyleCnt="0"/>
      <dgm:spPr/>
    </dgm:pt>
    <dgm:pt modelId="{FF63E604-DA3B-4F92-B76D-DCAE3B1C5112}" type="pres">
      <dgm:prSet presAssocID="{44C0ED20-9EF0-4A2E-BD39-2708FF22C9F3}" presName="composite2" presStyleCnt="0"/>
      <dgm:spPr/>
    </dgm:pt>
    <dgm:pt modelId="{640C50C5-DEA5-4E9E-AA7A-994284B9EC80}" type="pres">
      <dgm:prSet presAssocID="{44C0ED20-9EF0-4A2E-BD39-2708FF22C9F3}" presName="background2" presStyleLbl="node2" presStyleIdx="3" presStyleCnt="11"/>
      <dgm:spPr/>
    </dgm:pt>
    <dgm:pt modelId="{15B3768D-6E8D-432D-A484-118F658A8150}" type="pres">
      <dgm:prSet presAssocID="{44C0ED20-9EF0-4A2E-BD39-2708FF22C9F3}" presName="text2" presStyleLbl="fgAcc2" presStyleIdx="3" presStyleCnt="11" custScaleX="218916" custScaleY="489388">
        <dgm:presLayoutVars>
          <dgm:chPref val="3"/>
        </dgm:presLayoutVars>
      </dgm:prSet>
      <dgm:spPr/>
      <dgm:t>
        <a:bodyPr/>
        <a:lstStyle/>
        <a:p>
          <a:endParaRPr lang="el-GR"/>
        </a:p>
      </dgm:t>
    </dgm:pt>
    <dgm:pt modelId="{C424A1B8-19AF-48D5-8298-13C06CAC6F25}" type="pres">
      <dgm:prSet presAssocID="{44C0ED20-9EF0-4A2E-BD39-2708FF22C9F3}" presName="hierChild3" presStyleCnt="0"/>
      <dgm:spPr/>
    </dgm:pt>
    <dgm:pt modelId="{2EA89C77-7820-44B3-9ECF-9221899202E6}" type="pres">
      <dgm:prSet presAssocID="{123C6DC1-AF19-4C50-A53F-24F55DE1D70A}" presName="Name10" presStyleLbl="parChTrans1D2" presStyleIdx="4" presStyleCnt="11"/>
      <dgm:spPr/>
      <dgm:t>
        <a:bodyPr/>
        <a:lstStyle/>
        <a:p>
          <a:endParaRPr lang="el-GR"/>
        </a:p>
      </dgm:t>
    </dgm:pt>
    <dgm:pt modelId="{0A977766-8AB4-4293-8074-8CC065F68E10}" type="pres">
      <dgm:prSet presAssocID="{C21DA356-8569-4A1F-8F29-DD79DF6D9CA9}" presName="hierRoot2" presStyleCnt="0"/>
      <dgm:spPr/>
    </dgm:pt>
    <dgm:pt modelId="{9ACD4139-6A03-4FD2-8029-8BAFE1889569}" type="pres">
      <dgm:prSet presAssocID="{C21DA356-8569-4A1F-8F29-DD79DF6D9CA9}" presName="composite2" presStyleCnt="0"/>
      <dgm:spPr/>
    </dgm:pt>
    <dgm:pt modelId="{B2CA3362-2483-4007-99B6-B51CB7006484}" type="pres">
      <dgm:prSet presAssocID="{C21DA356-8569-4A1F-8F29-DD79DF6D9CA9}" presName="background2" presStyleLbl="node2" presStyleIdx="4" presStyleCnt="11"/>
      <dgm:spPr/>
    </dgm:pt>
    <dgm:pt modelId="{AACEB5FB-38F0-4787-A259-6B00C5D08A06}" type="pres">
      <dgm:prSet presAssocID="{C21DA356-8569-4A1F-8F29-DD79DF6D9CA9}" presName="text2" presStyleLbl="fgAcc2" presStyleIdx="4" presStyleCnt="11" custScaleX="240795" custScaleY="501183">
        <dgm:presLayoutVars>
          <dgm:chPref val="3"/>
        </dgm:presLayoutVars>
      </dgm:prSet>
      <dgm:spPr/>
      <dgm:t>
        <a:bodyPr/>
        <a:lstStyle/>
        <a:p>
          <a:endParaRPr lang="el-GR"/>
        </a:p>
      </dgm:t>
    </dgm:pt>
    <dgm:pt modelId="{120DB74E-22F2-4327-8971-B0B8C45AB525}" type="pres">
      <dgm:prSet presAssocID="{C21DA356-8569-4A1F-8F29-DD79DF6D9CA9}" presName="hierChild3" presStyleCnt="0"/>
      <dgm:spPr/>
    </dgm:pt>
    <dgm:pt modelId="{6F686F99-FF87-483E-B7BB-C6EE2BE718CA}" type="pres">
      <dgm:prSet presAssocID="{C153AB16-4726-42C6-B9D5-07D3441DCF72}" presName="Name10" presStyleLbl="parChTrans1D2" presStyleIdx="5" presStyleCnt="11"/>
      <dgm:spPr/>
      <dgm:t>
        <a:bodyPr/>
        <a:lstStyle/>
        <a:p>
          <a:endParaRPr lang="el-GR"/>
        </a:p>
      </dgm:t>
    </dgm:pt>
    <dgm:pt modelId="{A8DF3331-ED0A-4FF5-A803-278526ECF334}" type="pres">
      <dgm:prSet presAssocID="{884E0D15-CD93-48DB-9D95-27C7B1EDB61C}" presName="hierRoot2" presStyleCnt="0"/>
      <dgm:spPr/>
    </dgm:pt>
    <dgm:pt modelId="{7F8CA9B2-0681-405A-A35A-02A0CD100CFA}" type="pres">
      <dgm:prSet presAssocID="{884E0D15-CD93-48DB-9D95-27C7B1EDB61C}" presName="composite2" presStyleCnt="0"/>
      <dgm:spPr/>
    </dgm:pt>
    <dgm:pt modelId="{2C3EB379-4062-4819-ABE5-B61EEE3B01A2}" type="pres">
      <dgm:prSet presAssocID="{884E0D15-CD93-48DB-9D95-27C7B1EDB61C}" presName="background2" presStyleLbl="node2" presStyleIdx="5" presStyleCnt="11"/>
      <dgm:spPr/>
    </dgm:pt>
    <dgm:pt modelId="{1C7BFCAD-779A-4229-9CCF-4A999FB2CD5B}" type="pres">
      <dgm:prSet presAssocID="{884E0D15-CD93-48DB-9D95-27C7B1EDB61C}" presName="text2" presStyleLbl="fgAcc2" presStyleIdx="5" presStyleCnt="11" custScaleX="293686" custScaleY="457570">
        <dgm:presLayoutVars>
          <dgm:chPref val="3"/>
        </dgm:presLayoutVars>
      </dgm:prSet>
      <dgm:spPr/>
      <dgm:t>
        <a:bodyPr/>
        <a:lstStyle/>
        <a:p>
          <a:endParaRPr lang="el-GR"/>
        </a:p>
      </dgm:t>
    </dgm:pt>
    <dgm:pt modelId="{122B2690-A1F6-4774-93B9-AC79D036475D}" type="pres">
      <dgm:prSet presAssocID="{884E0D15-CD93-48DB-9D95-27C7B1EDB61C}" presName="hierChild3" presStyleCnt="0"/>
      <dgm:spPr/>
    </dgm:pt>
    <dgm:pt modelId="{2578588E-1ACD-4A89-9283-163F4580802D}" type="pres">
      <dgm:prSet presAssocID="{39ECBB37-67E8-4B68-913A-FBB03FD46AF1}" presName="Name10" presStyleLbl="parChTrans1D2" presStyleIdx="6" presStyleCnt="11"/>
      <dgm:spPr/>
      <dgm:t>
        <a:bodyPr/>
        <a:lstStyle/>
        <a:p>
          <a:endParaRPr lang="el-GR"/>
        </a:p>
      </dgm:t>
    </dgm:pt>
    <dgm:pt modelId="{D5A2A60A-CB41-43B4-BA7A-BFF3BF4C11BB}" type="pres">
      <dgm:prSet presAssocID="{9B24131A-76B8-459F-A3A9-EF329FC5E73C}" presName="hierRoot2" presStyleCnt="0"/>
      <dgm:spPr/>
    </dgm:pt>
    <dgm:pt modelId="{A138E93F-8231-4693-B143-39B7381CDE1E}" type="pres">
      <dgm:prSet presAssocID="{9B24131A-76B8-459F-A3A9-EF329FC5E73C}" presName="composite2" presStyleCnt="0"/>
      <dgm:spPr/>
    </dgm:pt>
    <dgm:pt modelId="{E2FE5905-B530-4ED5-968F-72A1832570C4}" type="pres">
      <dgm:prSet presAssocID="{9B24131A-76B8-459F-A3A9-EF329FC5E73C}" presName="background2" presStyleLbl="node2" presStyleIdx="6" presStyleCnt="11"/>
      <dgm:spPr/>
    </dgm:pt>
    <dgm:pt modelId="{DC69D888-353B-4A5E-82E5-3BCAC4AF8610}" type="pres">
      <dgm:prSet presAssocID="{9B24131A-76B8-459F-A3A9-EF329FC5E73C}" presName="text2" presStyleLbl="fgAcc2" presStyleIdx="6" presStyleCnt="11" custScaleX="220701" custScaleY="392581">
        <dgm:presLayoutVars>
          <dgm:chPref val="3"/>
        </dgm:presLayoutVars>
      </dgm:prSet>
      <dgm:spPr/>
      <dgm:t>
        <a:bodyPr/>
        <a:lstStyle/>
        <a:p>
          <a:endParaRPr lang="el-GR"/>
        </a:p>
      </dgm:t>
    </dgm:pt>
    <dgm:pt modelId="{1A76E5EE-D58D-49C7-A1F0-B53C5D34C358}" type="pres">
      <dgm:prSet presAssocID="{9B24131A-76B8-459F-A3A9-EF329FC5E73C}" presName="hierChild3" presStyleCnt="0"/>
      <dgm:spPr/>
    </dgm:pt>
    <dgm:pt modelId="{0150A4C8-77D7-40C5-84BD-761970E64E5B}" type="pres">
      <dgm:prSet presAssocID="{A195AD02-B6BF-49CB-95EB-8EBD014D7824}" presName="Name10" presStyleLbl="parChTrans1D2" presStyleIdx="7" presStyleCnt="11"/>
      <dgm:spPr/>
      <dgm:t>
        <a:bodyPr/>
        <a:lstStyle/>
        <a:p>
          <a:endParaRPr lang="el-GR"/>
        </a:p>
      </dgm:t>
    </dgm:pt>
    <dgm:pt modelId="{01B20ED9-3836-4290-91C8-AF838A65A252}" type="pres">
      <dgm:prSet presAssocID="{3DBC4361-10F5-4186-8E60-A69FA1E21DAD}" presName="hierRoot2" presStyleCnt="0"/>
      <dgm:spPr/>
    </dgm:pt>
    <dgm:pt modelId="{28F661E0-A88E-4C8B-903E-3C8907178000}" type="pres">
      <dgm:prSet presAssocID="{3DBC4361-10F5-4186-8E60-A69FA1E21DAD}" presName="composite2" presStyleCnt="0"/>
      <dgm:spPr/>
    </dgm:pt>
    <dgm:pt modelId="{C7153D7D-6526-413D-B450-9F7F11FD3E92}" type="pres">
      <dgm:prSet presAssocID="{3DBC4361-10F5-4186-8E60-A69FA1E21DAD}" presName="background2" presStyleLbl="node2" presStyleIdx="7" presStyleCnt="11"/>
      <dgm:spPr/>
    </dgm:pt>
    <dgm:pt modelId="{A0F0D83B-869C-4A0F-ACAF-68662AF24976}" type="pres">
      <dgm:prSet presAssocID="{3DBC4361-10F5-4186-8E60-A69FA1E21DAD}" presName="text2" presStyleLbl="fgAcc2" presStyleIdx="7" presStyleCnt="11" custScaleX="210667" custScaleY="593154">
        <dgm:presLayoutVars>
          <dgm:chPref val="3"/>
        </dgm:presLayoutVars>
      </dgm:prSet>
      <dgm:spPr/>
      <dgm:t>
        <a:bodyPr/>
        <a:lstStyle/>
        <a:p>
          <a:endParaRPr lang="el-GR"/>
        </a:p>
      </dgm:t>
    </dgm:pt>
    <dgm:pt modelId="{6DBB5281-8211-4F7F-B613-F0835549527D}" type="pres">
      <dgm:prSet presAssocID="{3DBC4361-10F5-4186-8E60-A69FA1E21DAD}" presName="hierChild3" presStyleCnt="0"/>
      <dgm:spPr/>
    </dgm:pt>
    <dgm:pt modelId="{6FF1B3F2-D513-48BB-B85F-98728969F723}" type="pres">
      <dgm:prSet presAssocID="{7E991BB5-94BE-4568-8571-95DD4AAE8B6A}" presName="Name10" presStyleLbl="parChTrans1D2" presStyleIdx="8" presStyleCnt="11"/>
      <dgm:spPr/>
      <dgm:t>
        <a:bodyPr/>
        <a:lstStyle/>
        <a:p>
          <a:endParaRPr lang="el-GR"/>
        </a:p>
      </dgm:t>
    </dgm:pt>
    <dgm:pt modelId="{D932C96C-2BD4-4552-8AF4-F3E74B8AAC74}" type="pres">
      <dgm:prSet presAssocID="{C0FB8C73-2520-48CF-A61C-03DBDC565F2D}" presName="hierRoot2" presStyleCnt="0"/>
      <dgm:spPr/>
    </dgm:pt>
    <dgm:pt modelId="{0C4A8529-ED7A-4CA3-BE86-804C965BAC6D}" type="pres">
      <dgm:prSet presAssocID="{C0FB8C73-2520-48CF-A61C-03DBDC565F2D}" presName="composite2" presStyleCnt="0"/>
      <dgm:spPr/>
    </dgm:pt>
    <dgm:pt modelId="{BBD56521-AF5C-4911-AA6A-4939ABADA756}" type="pres">
      <dgm:prSet presAssocID="{C0FB8C73-2520-48CF-A61C-03DBDC565F2D}" presName="background2" presStyleLbl="node2" presStyleIdx="8" presStyleCnt="11"/>
      <dgm:spPr/>
    </dgm:pt>
    <dgm:pt modelId="{305BDE55-8910-4474-BA53-2C59CE9242C4}" type="pres">
      <dgm:prSet presAssocID="{C0FB8C73-2520-48CF-A61C-03DBDC565F2D}" presName="text2" presStyleLbl="fgAcc2" presStyleIdx="8" presStyleCnt="11" custScaleX="242153" custScaleY="619686">
        <dgm:presLayoutVars>
          <dgm:chPref val="3"/>
        </dgm:presLayoutVars>
      </dgm:prSet>
      <dgm:spPr/>
      <dgm:t>
        <a:bodyPr/>
        <a:lstStyle/>
        <a:p>
          <a:endParaRPr lang="el-GR"/>
        </a:p>
      </dgm:t>
    </dgm:pt>
    <dgm:pt modelId="{C70BF20F-B5BF-4C5D-968D-EB5B55AA74B0}" type="pres">
      <dgm:prSet presAssocID="{C0FB8C73-2520-48CF-A61C-03DBDC565F2D}" presName="hierChild3" presStyleCnt="0"/>
      <dgm:spPr/>
    </dgm:pt>
    <dgm:pt modelId="{1799744F-098A-44E1-BD2B-724F2F8D1669}" type="pres">
      <dgm:prSet presAssocID="{CEF8CAFF-D3F9-4EF7-BE06-57F59E738B04}" presName="Name10" presStyleLbl="parChTrans1D2" presStyleIdx="9" presStyleCnt="11"/>
      <dgm:spPr/>
      <dgm:t>
        <a:bodyPr/>
        <a:lstStyle/>
        <a:p>
          <a:endParaRPr lang="el-GR"/>
        </a:p>
      </dgm:t>
    </dgm:pt>
    <dgm:pt modelId="{8A3EA08A-B70E-412F-BB42-7C1B501190F3}" type="pres">
      <dgm:prSet presAssocID="{3E014F3C-AFCB-4A20-B9FD-4222728F9317}" presName="hierRoot2" presStyleCnt="0"/>
      <dgm:spPr/>
    </dgm:pt>
    <dgm:pt modelId="{FA2E2657-4CB0-4B82-AF09-3FFB41C486DB}" type="pres">
      <dgm:prSet presAssocID="{3E014F3C-AFCB-4A20-B9FD-4222728F9317}" presName="composite2" presStyleCnt="0"/>
      <dgm:spPr/>
    </dgm:pt>
    <dgm:pt modelId="{E2AF04D7-CAA0-4E97-B2E5-D23281D1C5DA}" type="pres">
      <dgm:prSet presAssocID="{3E014F3C-AFCB-4A20-B9FD-4222728F9317}" presName="background2" presStyleLbl="node2" presStyleIdx="9" presStyleCnt="11"/>
      <dgm:spPr/>
    </dgm:pt>
    <dgm:pt modelId="{FED34733-D365-421A-BD91-1A8677F51AEB}" type="pres">
      <dgm:prSet presAssocID="{3E014F3C-AFCB-4A20-B9FD-4222728F9317}" presName="text2" presStyleLbl="fgAcc2" presStyleIdx="9" presStyleCnt="11" custScaleX="248170" custScaleY="519971">
        <dgm:presLayoutVars>
          <dgm:chPref val="3"/>
        </dgm:presLayoutVars>
      </dgm:prSet>
      <dgm:spPr/>
      <dgm:t>
        <a:bodyPr/>
        <a:lstStyle/>
        <a:p>
          <a:endParaRPr lang="el-GR"/>
        </a:p>
      </dgm:t>
    </dgm:pt>
    <dgm:pt modelId="{4D0FA220-8901-4400-B26D-6CEDB91A5F85}" type="pres">
      <dgm:prSet presAssocID="{3E014F3C-AFCB-4A20-B9FD-4222728F9317}" presName="hierChild3" presStyleCnt="0"/>
      <dgm:spPr/>
    </dgm:pt>
    <dgm:pt modelId="{4A793E31-41B7-4C73-8C2A-072CE24EC093}" type="pres">
      <dgm:prSet presAssocID="{E4208DE9-7B3C-4242-9C05-54F33454CF91}" presName="hierRoot1" presStyleCnt="0"/>
      <dgm:spPr/>
    </dgm:pt>
    <dgm:pt modelId="{B1F8426F-A7D4-437B-8247-CEDED918C07E}" type="pres">
      <dgm:prSet presAssocID="{E4208DE9-7B3C-4242-9C05-54F33454CF91}" presName="composite" presStyleCnt="0"/>
      <dgm:spPr/>
    </dgm:pt>
    <dgm:pt modelId="{B49DC2A1-91CA-4B7D-954C-436BF3BA4882}" type="pres">
      <dgm:prSet presAssocID="{E4208DE9-7B3C-4242-9C05-54F33454CF91}" presName="background" presStyleLbl="node0" presStyleIdx="2" presStyleCnt="3"/>
      <dgm:spPr/>
    </dgm:pt>
    <dgm:pt modelId="{B889ADFD-A634-4172-91B3-3A5760A907C8}" type="pres">
      <dgm:prSet presAssocID="{E4208DE9-7B3C-4242-9C05-54F33454CF91}" presName="text" presStyleLbl="fgAcc0" presStyleIdx="2" presStyleCnt="3" custScaleX="271198" custScaleY="545509" custLinFactY="-100000" custLinFactNeighborX="-14354" custLinFactNeighborY="-167277">
        <dgm:presLayoutVars>
          <dgm:chPref val="3"/>
        </dgm:presLayoutVars>
      </dgm:prSet>
      <dgm:spPr/>
      <dgm:t>
        <a:bodyPr/>
        <a:lstStyle/>
        <a:p>
          <a:endParaRPr lang="el-GR"/>
        </a:p>
      </dgm:t>
    </dgm:pt>
    <dgm:pt modelId="{B866C460-3FF9-47D4-AA5E-B18EA68FFB7A}" type="pres">
      <dgm:prSet presAssocID="{E4208DE9-7B3C-4242-9C05-54F33454CF91}" presName="hierChild2" presStyleCnt="0"/>
      <dgm:spPr/>
    </dgm:pt>
    <dgm:pt modelId="{B2A5CE65-16DE-42A0-A937-2554715003D4}" type="pres">
      <dgm:prSet presAssocID="{CFAF0558-F134-4030-AB26-E132889B9FA8}" presName="Name10" presStyleLbl="parChTrans1D2" presStyleIdx="10" presStyleCnt="11"/>
      <dgm:spPr/>
      <dgm:t>
        <a:bodyPr/>
        <a:lstStyle/>
        <a:p>
          <a:endParaRPr lang="el-GR"/>
        </a:p>
      </dgm:t>
    </dgm:pt>
    <dgm:pt modelId="{0A6E96F7-DE34-4521-8068-CF3125FC1E82}" type="pres">
      <dgm:prSet presAssocID="{E8B65EF1-0D76-4357-BCE0-954C31FA8928}" presName="hierRoot2" presStyleCnt="0"/>
      <dgm:spPr/>
    </dgm:pt>
    <dgm:pt modelId="{8417B450-D99F-427D-8788-CED66808AE34}" type="pres">
      <dgm:prSet presAssocID="{E8B65EF1-0D76-4357-BCE0-954C31FA8928}" presName="composite2" presStyleCnt="0"/>
      <dgm:spPr/>
    </dgm:pt>
    <dgm:pt modelId="{728D273E-A3AE-4F4D-AD9C-EE1A1E50C55B}" type="pres">
      <dgm:prSet presAssocID="{E8B65EF1-0D76-4357-BCE0-954C31FA8928}" presName="background2" presStyleLbl="node2" presStyleIdx="10" presStyleCnt="11"/>
      <dgm:spPr/>
    </dgm:pt>
    <dgm:pt modelId="{8ACB09E7-F622-4FC1-85B1-A380975EEDB1}" type="pres">
      <dgm:prSet presAssocID="{E8B65EF1-0D76-4357-BCE0-954C31FA8928}" presName="text2" presStyleLbl="fgAcc2" presStyleIdx="10" presStyleCnt="11" custScaleX="204938" custScaleY="443599" custLinFactY="-71423" custLinFactNeighborX="5063" custLinFactNeighborY="-100000">
        <dgm:presLayoutVars>
          <dgm:chPref val="3"/>
        </dgm:presLayoutVars>
      </dgm:prSet>
      <dgm:spPr/>
      <dgm:t>
        <a:bodyPr/>
        <a:lstStyle/>
        <a:p>
          <a:endParaRPr lang="el-GR"/>
        </a:p>
      </dgm:t>
    </dgm:pt>
    <dgm:pt modelId="{74C0F3D9-0708-435D-A19D-C808BB166C41}" type="pres">
      <dgm:prSet presAssocID="{E8B65EF1-0D76-4357-BCE0-954C31FA8928}" presName="hierChild3" presStyleCnt="0"/>
      <dgm:spPr/>
    </dgm:pt>
  </dgm:ptLst>
  <dgm:cxnLst>
    <dgm:cxn modelId="{773DFA53-C5F4-4B9C-962D-D14F9FCDB64C}" srcId="{37EA8F5A-4B68-42E8-814E-A2D27B1AA3F9}" destId="{C0FB8C73-2520-48CF-A61C-03DBDC565F2D}" srcOrd="7" destOrd="0" parTransId="{7E991BB5-94BE-4568-8571-95DD4AAE8B6A}" sibTransId="{595ACE71-9605-4EC0-B325-A0378D0EF0BD}"/>
    <dgm:cxn modelId="{C8820E0F-A037-48E0-A625-04FF76FA29AA}" type="presOf" srcId="{C153AB16-4726-42C6-B9D5-07D3441DCF72}" destId="{6F686F99-FF87-483E-B7BB-C6EE2BE718CA}" srcOrd="0" destOrd="0" presId="urn:microsoft.com/office/officeart/2005/8/layout/hierarchy1"/>
    <dgm:cxn modelId="{B472FB15-ACDD-4CE3-8074-AE6FC41A9122}" srcId="{E4208DE9-7B3C-4242-9C05-54F33454CF91}" destId="{E8B65EF1-0D76-4357-BCE0-954C31FA8928}" srcOrd="0" destOrd="0" parTransId="{CFAF0558-F134-4030-AB26-E132889B9FA8}" sibTransId="{5A026E87-878E-4208-AAF7-2722D57E7331}"/>
    <dgm:cxn modelId="{04A173F7-6EDB-4082-8567-6CE7D5BF3A6B}" type="presOf" srcId="{7E991BB5-94BE-4568-8571-95DD4AAE8B6A}" destId="{6FF1B3F2-D513-48BB-B85F-98728969F723}" srcOrd="0" destOrd="0" presId="urn:microsoft.com/office/officeart/2005/8/layout/hierarchy1"/>
    <dgm:cxn modelId="{7FA55B39-A37E-4EF7-9CB7-EC39A9134D83}" srcId="{37EA8F5A-4B68-42E8-814E-A2D27B1AA3F9}" destId="{884E0D15-CD93-48DB-9D95-27C7B1EDB61C}" srcOrd="4" destOrd="0" parTransId="{C153AB16-4726-42C6-B9D5-07D3441DCF72}" sibTransId="{7F996814-8312-4EE2-AA04-FD8C140B943B}"/>
    <dgm:cxn modelId="{8F05D746-C65A-499D-AA7A-4B065A6D3E75}" srcId="{CD2EF003-E385-462E-ACCB-3F931FA5E67B}" destId="{6DC81305-9374-4943-B0C2-609A27BF00BB}" srcOrd="0" destOrd="0" parTransId="{F78EE91B-F3C7-4EA7-ADA0-3E8C7A0D3B1D}" sibTransId="{95A3CB57-DF3B-4D4F-B0DF-153537C5875F}"/>
    <dgm:cxn modelId="{B63C50C2-3E09-4AE8-A85D-0261D7639D0E}" type="presOf" srcId="{3DBC4361-10F5-4186-8E60-A69FA1E21DAD}" destId="{A0F0D83B-869C-4A0F-ACAF-68662AF24976}" srcOrd="0" destOrd="0" presId="urn:microsoft.com/office/officeart/2005/8/layout/hierarchy1"/>
    <dgm:cxn modelId="{F0836920-E30D-47E9-BB33-6320F1B209B9}" type="presOf" srcId="{3E014F3C-AFCB-4A20-B9FD-4222728F9317}" destId="{FED34733-D365-421A-BD91-1A8677F51AEB}" srcOrd="0" destOrd="0" presId="urn:microsoft.com/office/officeart/2005/8/layout/hierarchy1"/>
    <dgm:cxn modelId="{B4B44607-8CDE-47E3-B716-D958E184BFC2}" type="presOf" srcId="{C0FB8C73-2520-48CF-A61C-03DBDC565F2D}" destId="{305BDE55-8910-4474-BA53-2C59CE9242C4}" srcOrd="0" destOrd="0" presId="urn:microsoft.com/office/officeart/2005/8/layout/hierarchy1"/>
    <dgm:cxn modelId="{47908F75-1603-42C0-AD6E-B846C5F094E5}" type="presOf" srcId="{FF6D3D0F-2F76-4663-9490-C577B7CAF3CA}" destId="{16B0D25E-EE43-47CD-838E-EB2C8CB550EE}" srcOrd="0" destOrd="0" presId="urn:microsoft.com/office/officeart/2005/8/layout/hierarchy1"/>
    <dgm:cxn modelId="{9D8C7191-CE8E-4227-99DF-BC47AFCE0273}" type="presOf" srcId="{AE80AE56-4472-48FE-BE64-224B32FF043C}" destId="{37963187-45AA-4378-8AAC-96EB8378660D}" srcOrd="0" destOrd="0" presId="urn:microsoft.com/office/officeart/2005/8/layout/hierarchy1"/>
    <dgm:cxn modelId="{1D76B96E-840E-41A1-B5B0-23AF42A1CF2C}" type="presOf" srcId="{E8B65EF1-0D76-4357-BCE0-954C31FA8928}" destId="{8ACB09E7-F622-4FC1-85B1-A380975EEDB1}" srcOrd="0" destOrd="0" presId="urn:microsoft.com/office/officeart/2005/8/layout/hierarchy1"/>
    <dgm:cxn modelId="{18A05044-3811-4BB5-B102-AB9FD7A2F86B}" type="presOf" srcId="{44C0ED20-9EF0-4A2E-BD39-2708FF22C9F3}" destId="{15B3768D-6E8D-432D-A484-118F658A8150}" srcOrd="0" destOrd="0" presId="urn:microsoft.com/office/officeart/2005/8/layout/hierarchy1"/>
    <dgm:cxn modelId="{A2600685-3177-4C77-B968-DEE5DA95EFA4}" srcId="{CD2EF003-E385-462E-ACCB-3F931FA5E67B}" destId="{37EA8F5A-4B68-42E8-814E-A2D27B1AA3F9}" srcOrd="1" destOrd="0" parTransId="{5F3FB05E-552B-4953-BA1A-097E3E14309D}" sibTransId="{CA772144-BB37-4618-8091-AA6101753A81}"/>
    <dgm:cxn modelId="{D82D6A5C-23AB-43FC-86CF-2821C3D6CFEC}" type="presOf" srcId="{6DC81305-9374-4943-B0C2-609A27BF00BB}" destId="{00B8BDCE-36AE-4E92-A930-1507A0B7B7EE}" srcOrd="0" destOrd="0" presId="urn:microsoft.com/office/officeart/2005/8/layout/hierarchy1"/>
    <dgm:cxn modelId="{E4B38FA2-8221-4C35-81FE-90AE74F2CA18}" type="presOf" srcId="{9B24131A-76B8-459F-A3A9-EF329FC5E73C}" destId="{DC69D888-353B-4A5E-82E5-3BCAC4AF8610}" srcOrd="0" destOrd="0" presId="urn:microsoft.com/office/officeart/2005/8/layout/hierarchy1"/>
    <dgm:cxn modelId="{5E333A8D-D1C4-438C-B8CF-75D96DD39106}" type="presOf" srcId="{29A6F050-95FD-4D72-BF4F-43C761E053D2}" destId="{CF645066-7AE1-4A82-800E-ECE85054D024}" srcOrd="0" destOrd="0" presId="urn:microsoft.com/office/officeart/2005/8/layout/hierarchy1"/>
    <dgm:cxn modelId="{1C1E85E4-FB75-4F23-AE32-5414D5654865}" srcId="{37EA8F5A-4B68-42E8-814E-A2D27B1AA3F9}" destId="{44C0ED20-9EF0-4A2E-BD39-2708FF22C9F3}" srcOrd="2" destOrd="0" parTransId="{29A6F050-95FD-4D72-BF4F-43C761E053D2}" sibTransId="{4E4A00CD-958F-4C1E-A184-F7EEEA6E7BC3}"/>
    <dgm:cxn modelId="{959283C5-BE7D-487E-833A-9BE490AE2EC4}" srcId="{37EA8F5A-4B68-42E8-814E-A2D27B1AA3F9}" destId="{067832AE-6260-43D0-81AC-57E9A2869D37}" srcOrd="1" destOrd="0" parTransId="{AE80AE56-4472-48FE-BE64-224B32FF043C}" sibTransId="{22A73C6C-1E21-48AF-9512-208A0385F4B5}"/>
    <dgm:cxn modelId="{15D7A478-9C32-4193-B9E3-83E7238395FB}" type="presOf" srcId="{2EC2CB89-147B-4ABF-B16D-8320CBFA37FE}" destId="{E7089DD6-460E-4D6A-A91F-1CAD033D5BD8}" srcOrd="0" destOrd="0" presId="urn:microsoft.com/office/officeart/2005/8/layout/hierarchy1"/>
    <dgm:cxn modelId="{B80D9E92-2079-46D1-9464-9F0A1877F547}" type="presOf" srcId="{C21DA356-8569-4A1F-8F29-DD79DF6D9CA9}" destId="{AACEB5FB-38F0-4787-A259-6B00C5D08A06}" srcOrd="0" destOrd="0" presId="urn:microsoft.com/office/officeart/2005/8/layout/hierarchy1"/>
    <dgm:cxn modelId="{E5E40AF1-F4FD-4B48-A54E-3975F9657C8F}" type="presOf" srcId="{E4208DE9-7B3C-4242-9C05-54F33454CF91}" destId="{B889ADFD-A634-4172-91B3-3A5760A907C8}" srcOrd="0" destOrd="0" presId="urn:microsoft.com/office/officeart/2005/8/layout/hierarchy1"/>
    <dgm:cxn modelId="{45CCFFEE-5B64-4739-8284-D10CC64D9896}" type="presOf" srcId="{CFAF0558-F134-4030-AB26-E132889B9FA8}" destId="{B2A5CE65-16DE-42A0-A937-2554715003D4}" srcOrd="0" destOrd="0" presId="urn:microsoft.com/office/officeart/2005/8/layout/hierarchy1"/>
    <dgm:cxn modelId="{91659CF1-F006-4701-A6CB-CAEA7A100586}" type="presOf" srcId="{067832AE-6260-43D0-81AC-57E9A2869D37}" destId="{435DC648-23B9-427A-A517-70CBF74CF919}" srcOrd="0" destOrd="0" presId="urn:microsoft.com/office/officeart/2005/8/layout/hierarchy1"/>
    <dgm:cxn modelId="{F7128B32-B6FF-46DC-A91F-69035C4EF2AF}" type="presOf" srcId="{37EA8F5A-4B68-42E8-814E-A2D27B1AA3F9}" destId="{9E88AB32-EBBE-4977-B8BF-DBD510B42E17}" srcOrd="0" destOrd="0" presId="urn:microsoft.com/office/officeart/2005/8/layout/hierarchy1"/>
    <dgm:cxn modelId="{52D147EB-77D6-4EC9-ABCB-96E37880AB7F}" srcId="{CD2EF003-E385-462E-ACCB-3F931FA5E67B}" destId="{E4208DE9-7B3C-4242-9C05-54F33454CF91}" srcOrd="2" destOrd="0" parTransId="{04511440-6671-4ED4-BE8E-3C025AB06D72}" sibTransId="{72837667-B001-47A4-8A9E-2BCE25FFE59B}"/>
    <dgm:cxn modelId="{9E3D3BF6-58AB-4BFA-9BC6-571CF7578472}" type="presOf" srcId="{CD2EF003-E385-462E-ACCB-3F931FA5E67B}" destId="{78B03DD8-C181-41FA-BD23-F83EA82D25BA}" srcOrd="0" destOrd="0" presId="urn:microsoft.com/office/officeart/2005/8/layout/hierarchy1"/>
    <dgm:cxn modelId="{E24E3894-C392-4855-B915-C0CABD09FEC9}" srcId="{37EA8F5A-4B68-42E8-814E-A2D27B1AA3F9}" destId="{D8DBA2D6-0EB4-46F9-8C6A-08B9FFE90814}" srcOrd="0" destOrd="0" parTransId="{FF6D3D0F-2F76-4663-9490-C577B7CAF3CA}" sibTransId="{C6818257-5C20-4377-A90B-E21247E80B90}"/>
    <dgm:cxn modelId="{B54EE6A1-0131-4111-AB47-0A6DA1ACD70C}" type="presOf" srcId="{884E0D15-CD93-48DB-9D95-27C7B1EDB61C}" destId="{1C7BFCAD-779A-4229-9CCF-4A999FB2CD5B}" srcOrd="0" destOrd="0" presId="urn:microsoft.com/office/officeart/2005/8/layout/hierarchy1"/>
    <dgm:cxn modelId="{FFA44537-34C0-4464-ADF2-CE72D8C525E7}" srcId="{37EA8F5A-4B68-42E8-814E-A2D27B1AA3F9}" destId="{C21DA356-8569-4A1F-8F29-DD79DF6D9CA9}" srcOrd="3" destOrd="0" parTransId="{123C6DC1-AF19-4C50-A53F-24F55DE1D70A}" sibTransId="{4B4B8422-927D-4683-96BB-54C9DE0F41CA}"/>
    <dgm:cxn modelId="{146D4801-3CB9-497C-A653-3A159510286C}" srcId="{37EA8F5A-4B68-42E8-814E-A2D27B1AA3F9}" destId="{9B24131A-76B8-459F-A3A9-EF329FC5E73C}" srcOrd="5" destOrd="0" parTransId="{39ECBB37-67E8-4B68-913A-FBB03FD46AF1}" sibTransId="{E8427A6A-A4C9-452E-8E0F-A0BB4E3C4133}"/>
    <dgm:cxn modelId="{AF291B0D-C858-4DDC-A2F1-1B505B4BC095}" type="presOf" srcId="{D8DBA2D6-0EB4-46F9-8C6A-08B9FFE90814}" destId="{447877C5-2A09-4198-8778-EE05EDC8F678}" srcOrd="0" destOrd="0" presId="urn:microsoft.com/office/officeart/2005/8/layout/hierarchy1"/>
    <dgm:cxn modelId="{927E3D5C-DB21-48C5-82EC-015B6E19A32D}" srcId="{37EA8F5A-4B68-42E8-814E-A2D27B1AA3F9}" destId="{3E014F3C-AFCB-4A20-B9FD-4222728F9317}" srcOrd="8" destOrd="0" parTransId="{CEF8CAFF-D3F9-4EF7-BE06-57F59E738B04}" sibTransId="{DE73ACE5-C3B6-4359-9712-7ECA424FAF9E}"/>
    <dgm:cxn modelId="{43726E30-F192-4DE2-B2D1-B3D06A217A0D}" type="presOf" srcId="{A195AD02-B6BF-49CB-95EB-8EBD014D7824}" destId="{0150A4C8-77D7-40C5-84BD-761970E64E5B}" srcOrd="0" destOrd="0" presId="urn:microsoft.com/office/officeart/2005/8/layout/hierarchy1"/>
    <dgm:cxn modelId="{5A8D3088-8FCF-4196-A203-182193240D10}" type="presOf" srcId="{CEF8CAFF-D3F9-4EF7-BE06-57F59E738B04}" destId="{1799744F-098A-44E1-BD2B-724F2F8D1669}" srcOrd="0" destOrd="0" presId="urn:microsoft.com/office/officeart/2005/8/layout/hierarchy1"/>
    <dgm:cxn modelId="{68B8E382-0B2B-4CAA-9329-6A33E74E856F}" type="presOf" srcId="{48442905-354D-4006-9E67-540514714DD5}" destId="{865AF630-6186-4796-8F56-2B360299B0BA}" srcOrd="0" destOrd="0" presId="urn:microsoft.com/office/officeart/2005/8/layout/hierarchy1"/>
    <dgm:cxn modelId="{3C2454DB-A525-44D5-8224-1EECF433B0B0}" srcId="{6DC81305-9374-4943-B0C2-609A27BF00BB}" destId="{48442905-354D-4006-9E67-540514714DD5}" srcOrd="0" destOrd="0" parTransId="{2EC2CB89-147B-4ABF-B16D-8320CBFA37FE}" sibTransId="{CD294679-C647-4DD5-A77C-56ED6A6C459B}"/>
    <dgm:cxn modelId="{4BA54776-0FAE-478F-86D4-0F541DA214A6}" type="presOf" srcId="{39ECBB37-67E8-4B68-913A-FBB03FD46AF1}" destId="{2578588E-1ACD-4A89-9283-163F4580802D}" srcOrd="0" destOrd="0" presId="urn:microsoft.com/office/officeart/2005/8/layout/hierarchy1"/>
    <dgm:cxn modelId="{2F6BA8FE-150B-46B0-AEFD-51B873522F2E}" srcId="{37EA8F5A-4B68-42E8-814E-A2D27B1AA3F9}" destId="{3DBC4361-10F5-4186-8E60-A69FA1E21DAD}" srcOrd="6" destOrd="0" parTransId="{A195AD02-B6BF-49CB-95EB-8EBD014D7824}" sibTransId="{0DC307C0-F5BC-4014-AB71-A6089648AD0D}"/>
    <dgm:cxn modelId="{0D84BA8A-9F23-4D2B-BE06-65C3205E2682}" type="presOf" srcId="{123C6DC1-AF19-4C50-A53F-24F55DE1D70A}" destId="{2EA89C77-7820-44B3-9ECF-9221899202E6}" srcOrd="0" destOrd="0" presId="urn:microsoft.com/office/officeart/2005/8/layout/hierarchy1"/>
    <dgm:cxn modelId="{5463F8E5-9EEB-4038-8A7A-CB186A3B1F1D}" type="presParOf" srcId="{78B03DD8-C181-41FA-BD23-F83EA82D25BA}" destId="{DE78D6D9-6C55-4F36-81DE-CF872158931B}" srcOrd="0" destOrd="0" presId="urn:microsoft.com/office/officeart/2005/8/layout/hierarchy1"/>
    <dgm:cxn modelId="{239C5B3E-CE72-43BF-9DE7-9BF3430889E2}" type="presParOf" srcId="{DE78D6D9-6C55-4F36-81DE-CF872158931B}" destId="{9B4A7B13-5C2F-4E85-8244-0F261508C25A}" srcOrd="0" destOrd="0" presId="urn:microsoft.com/office/officeart/2005/8/layout/hierarchy1"/>
    <dgm:cxn modelId="{1907328E-73E4-40A9-B500-7119276B7299}" type="presParOf" srcId="{9B4A7B13-5C2F-4E85-8244-0F261508C25A}" destId="{6B325A35-2BF4-49AC-8C14-5EDCB9CF9F23}" srcOrd="0" destOrd="0" presId="urn:microsoft.com/office/officeart/2005/8/layout/hierarchy1"/>
    <dgm:cxn modelId="{4308C60A-86AF-4F51-A976-7828EAAB8060}" type="presParOf" srcId="{9B4A7B13-5C2F-4E85-8244-0F261508C25A}" destId="{00B8BDCE-36AE-4E92-A930-1507A0B7B7EE}" srcOrd="1" destOrd="0" presId="urn:microsoft.com/office/officeart/2005/8/layout/hierarchy1"/>
    <dgm:cxn modelId="{D7D8DA58-AE51-405C-A8E1-ED28AFC8E2FA}" type="presParOf" srcId="{DE78D6D9-6C55-4F36-81DE-CF872158931B}" destId="{52C4CF41-6E31-49C8-A5BE-054ECFCB49C9}" srcOrd="1" destOrd="0" presId="urn:microsoft.com/office/officeart/2005/8/layout/hierarchy1"/>
    <dgm:cxn modelId="{A5CAADF3-3AFD-4768-AEBD-BCD3BFD5D42F}" type="presParOf" srcId="{52C4CF41-6E31-49C8-A5BE-054ECFCB49C9}" destId="{E7089DD6-460E-4D6A-A91F-1CAD033D5BD8}" srcOrd="0" destOrd="0" presId="urn:microsoft.com/office/officeart/2005/8/layout/hierarchy1"/>
    <dgm:cxn modelId="{3025D900-F488-4B15-9F5D-19A2452EE545}" type="presParOf" srcId="{52C4CF41-6E31-49C8-A5BE-054ECFCB49C9}" destId="{9EC18ECC-FA9C-4A9B-AD2A-D94FBA533634}" srcOrd="1" destOrd="0" presId="urn:microsoft.com/office/officeart/2005/8/layout/hierarchy1"/>
    <dgm:cxn modelId="{805BEEA4-1D47-4F35-AC86-3CCF04A0CE1B}" type="presParOf" srcId="{9EC18ECC-FA9C-4A9B-AD2A-D94FBA533634}" destId="{1B783684-9845-4927-958F-5E4FD55C219E}" srcOrd="0" destOrd="0" presId="urn:microsoft.com/office/officeart/2005/8/layout/hierarchy1"/>
    <dgm:cxn modelId="{BA7CF8AF-7EE7-4242-B118-3B3CD8C2F2B6}" type="presParOf" srcId="{1B783684-9845-4927-958F-5E4FD55C219E}" destId="{20819861-C480-48BA-AA67-A2D85C49911B}" srcOrd="0" destOrd="0" presId="urn:microsoft.com/office/officeart/2005/8/layout/hierarchy1"/>
    <dgm:cxn modelId="{5744C5D7-2AD1-484D-8848-F4F509770CA9}" type="presParOf" srcId="{1B783684-9845-4927-958F-5E4FD55C219E}" destId="{865AF630-6186-4796-8F56-2B360299B0BA}" srcOrd="1" destOrd="0" presId="urn:microsoft.com/office/officeart/2005/8/layout/hierarchy1"/>
    <dgm:cxn modelId="{98DBFF88-051F-46A1-9A4F-1F0062E9CF12}" type="presParOf" srcId="{9EC18ECC-FA9C-4A9B-AD2A-D94FBA533634}" destId="{0886FD3B-FEF4-4607-A715-FAE2237B076A}" srcOrd="1" destOrd="0" presId="urn:microsoft.com/office/officeart/2005/8/layout/hierarchy1"/>
    <dgm:cxn modelId="{943AD922-2198-4B1F-9B02-EC40E8F2C824}" type="presParOf" srcId="{78B03DD8-C181-41FA-BD23-F83EA82D25BA}" destId="{80C11286-63E5-4BEE-97E2-F1E791019110}" srcOrd="1" destOrd="0" presId="urn:microsoft.com/office/officeart/2005/8/layout/hierarchy1"/>
    <dgm:cxn modelId="{F1B33A8D-CFE9-4E4C-8591-BD901D9654AA}" type="presParOf" srcId="{80C11286-63E5-4BEE-97E2-F1E791019110}" destId="{584AE276-6DA3-41D0-959C-A53F51F793C1}" srcOrd="0" destOrd="0" presId="urn:microsoft.com/office/officeart/2005/8/layout/hierarchy1"/>
    <dgm:cxn modelId="{40FB91C1-EABD-4A70-B65D-00121246BAE8}" type="presParOf" srcId="{584AE276-6DA3-41D0-959C-A53F51F793C1}" destId="{66A19447-BD46-457E-9AE8-609AD4C33F42}" srcOrd="0" destOrd="0" presId="urn:microsoft.com/office/officeart/2005/8/layout/hierarchy1"/>
    <dgm:cxn modelId="{EE155B10-493E-4872-8B20-3420A23FEBD5}" type="presParOf" srcId="{584AE276-6DA3-41D0-959C-A53F51F793C1}" destId="{9E88AB32-EBBE-4977-B8BF-DBD510B42E17}" srcOrd="1" destOrd="0" presId="urn:microsoft.com/office/officeart/2005/8/layout/hierarchy1"/>
    <dgm:cxn modelId="{C6F1D4F9-87C2-4930-ABB3-A1D87A79A852}" type="presParOf" srcId="{80C11286-63E5-4BEE-97E2-F1E791019110}" destId="{A5178973-A4E7-4071-A2AF-39CE0E896ABA}" srcOrd="1" destOrd="0" presId="urn:microsoft.com/office/officeart/2005/8/layout/hierarchy1"/>
    <dgm:cxn modelId="{96F09AB8-BCBE-46DB-B8A8-04D616EFA6E6}" type="presParOf" srcId="{A5178973-A4E7-4071-A2AF-39CE0E896ABA}" destId="{16B0D25E-EE43-47CD-838E-EB2C8CB550EE}" srcOrd="0" destOrd="0" presId="urn:microsoft.com/office/officeart/2005/8/layout/hierarchy1"/>
    <dgm:cxn modelId="{9E117BEF-F97A-40C0-9F42-CE874F8417A2}" type="presParOf" srcId="{A5178973-A4E7-4071-A2AF-39CE0E896ABA}" destId="{449BFFD6-CB64-4BCD-A015-1D16F545998F}" srcOrd="1" destOrd="0" presId="urn:microsoft.com/office/officeart/2005/8/layout/hierarchy1"/>
    <dgm:cxn modelId="{E6BFFCF2-6A56-4306-85F8-E0819D6047FE}" type="presParOf" srcId="{449BFFD6-CB64-4BCD-A015-1D16F545998F}" destId="{BB82A861-594E-4051-AC33-5409924ACCE1}" srcOrd="0" destOrd="0" presId="urn:microsoft.com/office/officeart/2005/8/layout/hierarchy1"/>
    <dgm:cxn modelId="{995A3F49-53DC-43ED-BFF0-FE3359A477CE}" type="presParOf" srcId="{BB82A861-594E-4051-AC33-5409924ACCE1}" destId="{EC8CADB5-E641-4D5A-AECB-F113BB49FB1F}" srcOrd="0" destOrd="0" presId="urn:microsoft.com/office/officeart/2005/8/layout/hierarchy1"/>
    <dgm:cxn modelId="{3FAC563A-1088-400B-9BF9-57AEDC9ACCE0}" type="presParOf" srcId="{BB82A861-594E-4051-AC33-5409924ACCE1}" destId="{447877C5-2A09-4198-8778-EE05EDC8F678}" srcOrd="1" destOrd="0" presId="urn:microsoft.com/office/officeart/2005/8/layout/hierarchy1"/>
    <dgm:cxn modelId="{8EDA5FBD-37B9-465E-8D82-86DAFF4F9C9A}" type="presParOf" srcId="{449BFFD6-CB64-4BCD-A015-1D16F545998F}" destId="{394E5066-1D3A-4550-ACC1-496C93F63ED6}" srcOrd="1" destOrd="0" presId="urn:microsoft.com/office/officeart/2005/8/layout/hierarchy1"/>
    <dgm:cxn modelId="{922D5DF0-1FDD-4187-98A8-DB61B13060A7}" type="presParOf" srcId="{A5178973-A4E7-4071-A2AF-39CE0E896ABA}" destId="{37963187-45AA-4378-8AAC-96EB8378660D}" srcOrd="2" destOrd="0" presId="urn:microsoft.com/office/officeart/2005/8/layout/hierarchy1"/>
    <dgm:cxn modelId="{CB3FB740-AE87-41F3-B5EF-25C0443BAA45}" type="presParOf" srcId="{A5178973-A4E7-4071-A2AF-39CE0E896ABA}" destId="{967C2917-F572-4C55-8BDB-DDC97963FC9E}" srcOrd="3" destOrd="0" presId="urn:microsoft.com/office/officeart/2005/8/layout/hierarchy1"/>
    <dgm:cxn modelId="{3DE75BDC-40E4-45A9-BBE4-93B47F890B8A}" type="presParOf" srcId="{967C2917-F572-4C55-8BDB-DDC97963FC9E}" destId="{ADACCEEE-1157-4224-9498-D4B885A2DC2D}" srcOrd="0" destOrd="0" presId="urn:microsoft.com/office/officeart/2005/8/layout/hierarchy1"/>
    <dgm:cxn modelId="{BBB67CA1-0968-437D-83CE-B5AADAB72F4A}" type="presParOf" srcId="{ADACCEEE-1157-4224-9498-D4B885A2DC2D}" destId="{8D341CCC-44FE-46A3-99FC-6B280F770E9B}" srcOrd="0" destOrd="0" presId="urn:microsoft.com/office/officeart/2005/8/layout/hierarchy1"/>
    <dgm:cxn modelId="{B4A47520-9D0B-48F1-98EC-703F6C396F0E}" type="presParOf" srcId="{ADACCEEE-1157-4224-9498-D4B885A2DC2D}" destId="{435DC648-23B9-427A-A517-70CBF74CF919}" srcOrd="1" destOrd="0" presId="urn:microsoft.com/office/officeart/2005/8/layout/hierarchy1"/>
    <dgm:cxn modelId="{69163C67-743D-49CF-BCEA-A3A6653ECEC2}" type="presParOf" srcId="{967C2917-F572-4C55-8BDB-DDC97963FC9E}" destId="{C8D0B0C1-31FB-4643-B251-1FE259D24DC0}" srcOrd="1" destOrd="0" presId="urn:microsoft.com/office/officeart/2005/8/layout/hierarchy1"/>
    <dgm:cxn modelId="{D76B5F95-C33E-4B02-B197-33521F5FDAB0}" type="presParOf" srcId="{A5178973-A4E7-4071-A2AF-39CE0E896ABA}" destId="{CF645066-7AE1-4A82-800E-ECE85054D024}" srcOrd="4" destOrd="0" presId="urn:microsoft.com/office/officeart/2005/8/layout/hierarchy1"/>
    <dgm:cxn modelId="{816A4226-0D9D-4958-9E99-1072B77F7409}" type="presParOf" srcId="{A5178973-A4E7-4071-A2AF-39CE0E896ABA}" destId="{697B5736-70A3-4221-9672-73ECA3C59122}" srcOrd="5" destOrd="0" presId="urn:microsoft.com/office/officeart/2005/8/layout/hierarchy1"/>
    <dgm:cxn modelId="{7738B337-07B2-47CD-AE1A-6B232D512634}" type="presParOf" srcId="{697B5736-70A3-4221-9672-73ECA3C59122}" destId="{FF63E604-DA3B-4F92-B76D-DCAE3B1C5112}" srcOrd="0" destOrd="0" presId="urn:microsoft.com/office/officeart/2005/8/layout/hierarchy1"/>
    <dgm:cxn modelId="{59D64043-B749-4A6F-86F3-4CE5574F7513}" type="presParOf" srcId="{FF63E604-DA3B-4F92-B76D-DCAE3B1C5112}" destId="{640C50C5-DEA5-4E9E-AA7A-994284B9EC80}" srcOrd="0" destOrd="0" presId="urn:microsoft.com/office/officeart/2005/8/layout/hierarchy1"/>
    <dgm:cxn modelId="{6857188D-18F5-4A1D-8AA6-08B97D19EF38}" type="presParOf" srcId="{FF63E604-DA3B-4F92-B76D-DCAE3B1C5112}" destId="{15B3768D-6E8D-432D-A484-118F658A8150}" srcOrd="1" destOrd="0" presId="urn:microsoft.com/office/officeart/2005/8/layout/hierarchy1"/>
    <dgm:cxn modelId="{4ECDBF99-41F2-4358-A8C4-E57C2133E17B}" type="presParOf" srcId="{697B5736-70A3-4221-9672-73ECA3C59122}" destId="{C424A1B8-19AF-48D5-8298-13C06CAC6F25}" srcOrd="1" destOrd="0" presId="urn:microsoft.com/office/officeart/2005/8/layout/hierarchy1"/>
    <dgm:cxn modelId="{E5539ABB-C967-4B78-B0CF-B017C0A402EC}" type="presParOf" srcId="{A5178973-A4E7-4071-A2AF-39CE0E896ABA}" destId="{2EA89C77-7820-44B3-9ECF-9221899202E6}" srcOrd="6" destOrd="0" presId="urn:microsoft.com/office/officeart/2005/8/layout/hierarchy1"/>
    <dgm:cxn modelId="{BC62F61D-8388-4459-893C-28EF40A3CB5B}" type="presParOf" srcId="{A5178973-A4E7-4071-A2AF-39CE0E896ABA}" destId="{0A977766-8AB4-4293-8074-8CC065F68E10}" srcOrd="7" destOrd="0" presId="urn:microsoft.com/office/officeart/2005/8/layout/hierarchy1"/>
    <dgm:cxn modelId="{02F9238B-842A-4DBE-83C2-206693FBB75C}" type="presParOf" srcId="{0A977766-8AB4-4293-8074-8CC065F68E10}" destId="{9ACD4139-6A03-4FD2-8029-8BAFE1889569}" srcOrd="0" destOrd="0" presId="urn:microsoft.com/office/officeart/2005/8/layout/hierarchy1"/>
    <dgm:cxn modelId="{9F7BEBED-B2DB-42CA-B9F1-BFE6D43D5223}" type="presParOf" srcId="{9ACD4139-6A03-4FD2-8029-8BAFE1889569}" destId="{B2CA3362-2483-4007-99B6-B51CB7006484}" srcOrd="0" destOrd="0" presId="urn:microsoft.com/office/officeart/2005/8/layout/hierarchy1"/>
    <dgm:cxn modelId="{47B8DD06-6933-4BE6-8954-83EF3C166B14}" type="presParOf" srcId="{9ACD4139-6A03-4FD2-8029-8BAFE1889569}" destId="{AACEB5FB-38F0-4787-A259-6B00C5D08A06}" srcOrd="1" destOrd="0" presId="urn:microsoft.com/office/officeart/2005/8/layout/hierarchy1"/>
    <dgm:cxn modelId="{CC61C866-D3ED-4919-A96D-BA132EE64F5E}" type="presParOf" srcId="{0A977766-8AB4-4293-8074-8CC065F68E10}" destId="{120DB74E-22F2-4327-8971-B0B8C45AB525}" srcOrd="1" destOrd="0" presId="urn:microsoft.com/office/officeart/2005/8/layout/hierarchy1"/>
    <dgm:cxn modelId="{25CCA95A-94D0-47C1-BEF1-6C639D3C4BAB}" type="presParOf" srcId="{A5178973-A4E7-4071-A2AF-39CE0E896ABA}" destId="{6F686F99-FF87-483E-B7BB-C6EE2BE718CA}" srcOrd="8" destOrd="0" presId="urn:microsoft.com/office/officeart/2005/8/layout/hierarchy1"/>
    <dgm:cxn modelId="{629DDC03-9D14-4DD3-BD7A-93FD26B787A2}" type="presParOf" srcId="{A5178973-A4E7-4071-A2AF-39CE0E896ABA}" destId="{A8DF3331-ED0A-4FF5-A803-278526ECF334}" srcOrd="9" destOrd="0" presId="urn:microsoft.com/office/officeart/2005/8/layout/hierarchy1"/>
    <dgm:cxn modelId="{9CBCFEDE-F1DB-4251-9470-6D0BA6E9E3E3}" type="presParOf" srcId="{A8DF3331-ED0A-4FF5-A803-278526ECF334}" destId="{7F8CA9B2-0681-405A-A35A-02A0CD100CFA}" srcOrd="0" destOrd="0" presId="urn:microsoft.com/office/officeart/2005/8/layout/hierarchy1"/>
    <dgm:cxn modelId="{56F5680F-37C6-49E6-AF33-F673CEF4899F}" type="presParOf" srcId="{7F8CA9B2-0681-405A-A35A-02A0CD100CFA}" destId="{2C3EB379-4062-4819-ABE5-B61EEE3B01A2}" srcOrd="0" destOrd="0" presId="urn:microsoft.com/office/officeart/2005/8/layout/hierarchy1"/>
    <dgm:cxn modelId="{4E72A1A2-C03C-41AA-81F1-650C0F5A53E4}" type="presParOf" srcId="{7F8CA9B2-0681-405A-A35A-02A0CD100CFA}" destId="{1C7BFCAD-779A-4229-9CCF-4A999FB2CD5B}" srcOrd="1" destOrd="0" presId="urn:microsoft.com/office/officeart/2005/8/layout/hierarchy1"/>
    <dgm:cxn modelId="{10478283-7168-4265-BEB7-023D54A29FDA}" type="presParOf" srcId="{A8DF3331-ED0A-4FF5-A803-278526ECF334}" destId="{122B2690-A1F6-4774-93B9-AC79D036475D}" srcOrd="1" destOrd="0" presId="urn:microsoft.com/office/officeart/2005/8/layout/hierarchy1"/>
    <dgm:cxn modelId="{611C38C6-FA00-472B-BAFB-BA70E8EDC798}" type="presParOf" srcId="{A5178973-A4E7-4071-A2AF-39CE0E896ABA}" destId="{2578588E-1ACD-4A89-9283-163F4580802D}" srcOrd="10" destOrd="0" presId="urn:microsoft.com/office/officeart/2005/8/layout/hierarchy1"/>
    <dgm:cxn modelId="{EEF389FB-2166-4651-BD80-4695775AB9CE}" type="presParOf" srcId="{A5178973-A4E7-4071-A2AF-39CE0E896ABA}" destId="{D5A2A60A-CB41-43B4-BA7A-BFF3BF4C11BB}" srcOrd="11" destOrd="0" presId="urn:microsoft.com/office/officeart/2005/8/layout/hierarchy1"/>
    <dgm:cxn modelId="{C576091B-19E0-4553-946C-80EE5C02464F}" type="presParOf" srcId="{D5A2A60A-CB41-43B4-BA7A-BFF3BF4C11BB}" destId="{A138E93F-8231-4693-B143-39B7381CDE1E}" srcOrd="0" destOrd="0" presId="urn:microsoft.com/office/officeart/2005/8/layout/hierarchy1"/>
    <dgm:cxn modelId="{FC89BD3A-B3C2-45FC-8F5B-3DE80534290D}" type="presParOf" srcId="{A138E93F-8231-4693-B143-39B7381CDE1E}" destId="{E2FE5905-B530-4ED5-968F-72A1832570C4}" srcOrd="0" destOrd="0" presId="urn:microsoft.com/office/officeart/2005/8/layout/hierarchy1"/>
    <dgm:cxn modelId="{5F8EBB40-7685-4886-B141-381879C58F01}" type="presParOf" srcId="{A138E93F-8231-4693-B143-39B7381CDE1E}" destId="{DC69D888-353B-4A5E-82E5-3BCAC4AF8610}" srcOrd="1" destOrd="0" presId="urn:microsoft.com/office/officeart/2005/8/layout/hierarchy1"/>
    <dgm:cxn modelId="{F448FB05-7667-40CE-9661-1C11F2F03537}" type="presParOf" srcId="{D5A2A60A-CB41-43B4-BA7A-BFF3BF4C11BB}" destId="{1A76E5EE-D58D-49C7-A1F0-B53C5D34C358}" srcOrd="1" destOrd="0" presId="urn:microsoft.com/office/officeart/2005/8/layout/hierarchy1"/>
    <dgm:cxn modelId="{922DA0B4-7375-48B0-9311-2473C8A20B6E}" type="presParOf" srcId="{A5178973-A4E7-4071-A2AF-39CE0E896ABA}" destId="{0150A4C8-77D7-40C5-84BD-761970E64E5B}" srcOrd="12" destOrd="0" presId="urn:microsoft.com/office/officeart/2005/8/layout/hierarchy1"/>
    <dgm:cxn modelId="{27F579B2-BA02-4B60-A846-C2A2B509470A}" type="presParOf" srcId="{A5178973-A4E7-4071-A2AF-39CE0E896ABA}" destId="{01B20ED9-3836-4290-91C8-AF838A65A252}" srcOrd="13" destOrd="0" presId="urn:microsoft.com/office/officeart/2005/8/layout/hierarchy1"/>
    <dgm:cxn modelId="{7D4FE45B-7D5F-499A-964D-0218B1BD8986}" type="presParOf" srcId="{01B20ED9-3836-4290-91C8-AF838A65A252}" destId="{28F661E0-A88E-4C8B-903E-3C8907178000}" srcOrd="0" destOrd="0" presId="urn:microsoft.com/office/officeart/2005/8/layout/hierarchy1"/>
    <dgm:cxn modelId="{1E9F67C7-3930-4BAD-8842-AB5EB2AB0BA4}" type="presParOf" srcId="{28F661E0-A88E-4C8B-903E-3C8907178000}" destId="{C7153D7D-6526-413D-B450-9F7F11FD3E92}" srcOrd="0" destOrd="0" presId="urn:microsoft.com/office/officeart/2005/8/layout/hierarchy1"/>
    <dgm:cxn modelId="{84BD4321-8612-4195-A5E3-BD76C22350C5}" type="presParOf" srcId="{28F661E0-A88E-4C8B-903E-3C8907178000}" destId="{A0F0D83B-869C-4A0F-ACAF-68662AF24976}" srcOrd="1" destOrd="0" presId="urn:microsoft.com/office/officeart/2005/8/layout/hierarchy1"/>
    <dgm:cxn modelId="{FB975CC3-E21A-4D21-80CD-FC29DB29E1DD}" type="presParOf" srcId="{01B20ED9-3836-4290-91C8-AF838A65A252}" destId="{6DBB5281-8211-4F7F-B613-F0835549527D}" srcOrd="1" destOrd="0" presId="urn:microsoft.com/office/officeart/2005/8/layout/hierarchy1"/>
    <dgm:cxn modelId="{97D36F14-1019-459B-9D36-54E1623487D4}" type="presParOf" srcId="{A5178973-A4E7-4071-A2AF-39CE0E896ABA}" destId="{6FF1B3F2-D513-48BB-B85F-98728969F723}" srcOrd="14" destOrd="0" presId="urn:microsoft.com/office/officeart/2005/8/layout/hierarchy1"/>
    <dgm:cxn modelId="{F5C36925-96E7-4E2B-BDA2-3900EB7B1B78}" type="presParOf" srcId="{A5178973-A4E7-4071-A2AF-39CE0E896ABA}" destId="{D932C96C-2BD4-4552-8AF4-F3E74B8AAC74}" srcOrd="15" destOrd="0" presId="urn:microsoft.com/office/officeart/2005/8/layout/hierarchy1"/>
    <dgm:cxn modelId="{8AED6EAE-6BFB-4EE4-9EB7-00BDC746A299}" type="presParOf" srcId="{D932C96C-2BD4-4552-8AF4-F3E74B8AAC74}" destId="{0C4A8529-ED7A-4CA3-BE86-804C965BAC6D}" srcOrd="0" destOrd="0" presId="urn:microsoft.com/office/officeart/2005/8/layout/hierarchy1"/>
    <dgm:cxn modelId="{A69A64C7-E1AF-4821-8660-95F34F8813C4}" type="presParOf" srcId="{0C4A8529-ED7A-4CA3-BE86-804C965BAC6D}" destId="{BBD56521-AF5C-4911-AA6A-4939ABADA756}" srcOrd="0" destOrd="0" presId="urn:microsoft.com/office/officeart/2005/8/layout/hierarchy1"/>
    <dgm:cxn modelId="{6A0338F0-D733-4044-BB8B-EC65258FB973}" type="presParOf" srcId="{0C4A8529-ED7A-4CA3-BE86-804C965BAC6D}" destId="{305BDE55-8910-4474-BA53-2C59CE9242C4}" srcOrd="1" destOrd="0" presId="urn:microsoft.com/office/officeart/2005/8/layout/hierarchy1"/>
    <dgm:cxn modelId="{60B670AC-0943-4D6B-BD0A-1BC1EC9A95A6}" type="presParOf" srcId="{D932C96C-2BD4-4552-8AF4-F3E74B8AAC74}" destId="{C70BF20F-B5BF-4C5D-968D-EB5B55AA74B0}" srcOrd="1" destOrd="0" presId="urn:microsoft.com/office/officeart/2005/8/layout/hierarchy1"/>
    <dgm:cxn modelId="{FC61DD13-ABFC-4B97-9DAF-571057D3C503}" type="presParOf" srcId="{A5178973-A4E7-4071-A2AF-39CE0E896ABA}" destId="{1799744F-098A-44E1-BD2B-724F2F8D1669}" srcOrd="16" destOrd="0" presId="urn:microsoft.com/office/officeart/2005/8/layout/hierarchy1"/>
    <dgm:cxn modelId="{EAE02584-6160-4829-BF14-4C343D8A16BD}" type="presParOf" srcId="{A5178973-A4E7-4071-A2AF-39CE0E896ABA}" destId="{8A3EA08A-B70E-412F-BB42-7C1B501190F3}" srcOrd="17" destOrd="0" presId="urn:microsoft.com/office/officeart/2005/8/layout/hierarchy1"/>
    <dgm:cxn modelId="{D7D593DC-27B0-432B-9EDC-51ACDDE3C93C}" type="presParOf" srcId="{8A3EA08A-B70E-412F-BB42-7C1B501190F3}" destId="{FA2E2657-4CB0-4B82-AF09-3FFB41C486DB}" srcOrd="0" destOrd="0" presId="urn:microsoft.com/office/officeart/2005/8/layout/hierarchy1"/>
    <dgm:cxn modelId="{7546A532-427E-49CE-8090-3BA4CAF77032}" type="presParOf" srcId="{FA2E2657-4CB0-4B82-AF09-3FFB41C486DB}" destId="{E2AF04D7-CAA0-4E97-B2E5-D23281D1C5DA}" srcOrd="0" destOrd="0" presId="urn:microsoft.com/office/officeart/2005/8/layout/hierarchy1"/>
    <dgm:cxn modelId="{9C74F628-D142-4F3D-B3A4-D97DFCB14E60}" type="presParOf" srcId="{FA2E2657-4CB0-4B82-AF09-3FFB41C486DB}" destId="{FED34733-D365-421A-BD91-1A8677F51AEB}" srcOrd="1" destOrd="0" presId="urn:microsoft.com/office/officeart/2005/8/layout/hierarchy1"/>
    <dgm:cxn modelId="{374E4DE1-A4E6-4ACF-8E23-C4B9FA17DF90}" type="presParOf" srcId="{8A3EA08A-B70E-412F-BB42-7C1B501190F3}" destId="{4D0FA220-8901-4400-B26D-6CEDB91A5F85}" srcOrd="1" destOrd="0" presId="urn:microsoft.com/office/officeart/2005/8/layout/hierarchy1"/>
    <dgm:cxn modelId="{545F841E-5978-4DB4-991A-B5970974D0D9}" type="presParOf" srcId="{78B03DD8-C181-41FA-BD23-F83EA82D25BA}" destId="{4A793E31-41B7-4C73-8C2A-072CE24EC093}" srcOrd="2" destOrd="0" presId="urn:microsoft.com/office/officeart/2005/8/layout/hierarchy1"/>
    <dgm:cxn modelId="{1EB3B79B-891B-44CF-B7FA-0802597D54F3}" type="presParOf" srcId="{4A793E31-41B7-4C73-8C2A-072CE24EC093}" destId="{B1F8426F-A7D4-437B-8247-CEDED918C07E}" srcOrd="0" destOrd="0" presId="urn:microsoft.com/office/officeart/2005/8/layout/hierarchy1"/>
    <dgm:cxn modelId="{F2B4CD7C-7BD5-490B-893D-3D814C8AB836}" type="presParOf" srcId="{B1F8426F-A7D4-437B-8247-CEDED918C07E}" destId="{B49DC2A1-91CA-4B7D-954C-436BF3BA4882}" srcOrd="0" destOrd="0" presId="urn:microsoft.com/office/officeart/2005/8/layout/hierarchy1"/>
    <dgm:cxn modelId="{D1C360DF-6749-47A9-9A23-824F0D4F25C0}" type="presParOf" srcId="{B1F8426F-A7D4-437B-8247-CEDED918C07E}" destId="{B889ADFD-A634-4172-91B3-3A5760A907C8}" srcOrd="1" destOrd="0" presId="urn:microsoft.com/office/officeart/2005/8/layout/hierarchy1"/>
    <dgm:cxn modelId="{A5B28F79-96FA-4329-991D-88DCB54B09F6}" type="presParOf" srcId="{4A793E31-41B7-4C73-8C2A-072CE24EC093}" destId="{B866C460-3FF9-47D4-AA5E-B18EA68FFB7A}" srcOrd="1" destOrd="0" presId="urn:microsoft.com/office/officeart/2005/8/layout/hierarchy1"/>
    <dgm:cxn modelId="{9A2DE5F3-3936-474E-8624-9193CA93273A}" type="presParOf" srcId="{B866C460-3FF9-47D4-AA5E-B18EA68FFB7A}" destId="{B2A5CE65-16DE-42A0-A937-2554715003D4}" srcOrd="0" destOrd="0" presId="urn:microsoft.com/office/officeart/2005/8/layout/hierarchy1"/>
    <dgm:cxn modelId="{8424A150-7229-45D2-9547-77AAAE245F2E}" type="presParOf" srcId="{B866C460-3FF9-47D4-AA5E-B18EA68FFB7A}" destId="{0A6E96F7-DE34-4521-8068-CF3125FC1E82}" srcOrd="1" destOrd="0" presId="urn:microsoft.com/office/officeart/2005/8/layout/hierarchy1"/>
    <dgm:cxn modelId="{42521636-2B05-4E8D-9E9B-0126132529F0}" type="presParOf" srcId="{0A6E96F7-DE34-4521-8068-CF3125FC1E82}" destId="{8417B450-D99F-427D-8788-CED66808AE34}" srcOrd="0" destOrd="0" presId="urn:microsoft.com/office/officeart/2005/8/layout/hierarchy1"/>
    <dgm:cxn modelId="{E3EC49FC-ADA7-448B-AAB3-B615D4EE3C8E}" type="presParOf" srcId="{8417B450-D99F-427D-8788-CED66808AE34}" destId="{728D273E-A3AE-4F4D-AD9C-EE1A1E50C55B}" srcOrd="0" destOrd="0" presId="urn:microsoft.com/office/officeart/2005/8/layout/hierarchy1"/>
    <dgm:cxn modelId="{A8D9AE85-DBF5-44B5-BBAA-7B52DB2EC350}" type="presParOf" srcId="{8417B450-D99F-427D-8788-CED66808AE34}" destId="{8ACB09E7-F622-4FC1-85B1-A380975EEDB1}" srcOrd="1" destOrd="0" presId="urn:microsoft.com/office/officeart/2005/8/layout/hierarchy1"/>
    <dgm:cxn modelId="{4182EA2E-7077-4582-9E85-D9365CBE533E}" type="presParOf" srcId="{0A6E96F7-DE34-4521-8068-CF3125FC1E82}" destId="{74C0F3D9-0708-435D-A19D-C808BB166C41}" srcOrd="1" destOrd="0" presId="urn:microsoft.com/office/officeart/2005/8/layout/hierarchy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EDE423-B539-46BE-990C-463F975C7F92}">
      <dsp:nvSpPr>
        <dsp:cNvPr id="0" name=""/>
        <dsp:cNvSpPr/>
      </dsp:nvSpPr>
      <dsp:spPr>
        <a:xfrm>
          <a:off x="4415569" y="1240521"/>
          <a:ext cx="686913" cy="202904"/>
        </a:xfrm>
        <a:custGeom>
          <a:avLst/>
          <a:gdLst/>
          <a:ahLst/>
          <a:cxnLst/>
          <a:rect l="0" t="0" r="0" b="0"/>
          <a:pathLst>
            <a:path>
              <a:moveTo>
                <a:pt x="0" y="0"/>
              </a:moveTo>
              <a:lnTo>
                <a:pt x="0" y="170838"/>
              </a:lnTo>
              <a:lnTo>
                <a:pt x="686913" y="170838"/>
              </a:lnTo>
              <a:lnTo>
                <a:pt x="686913" y="2029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19C4C7-E3A2-45FE-A6E5-57F916693436}">
      <dsp:nvSpPr>
        <dsp:cNvPr id="0" name=""/>
        <dsp:cNvSpPr/>
      </dsp:nvSpPr>
      <dsp:spPr>
        <a:xfrm>
          <a:off x="4360782" y="1240521"/>
          <a:ext cx="91440" cy="174666"/>
        </a:xfrm>
        <a:custGeom>
          <a:avLst/>
          <a:gdLst/>
          <a:ahLst/>
          <a:cxnLst/>
          <a:rect l="0" t="0" r="0" b="0"/>
          <a:pathLst>
            <a:path>
              <a:moveTo>
                <a:pt x="54787" y="0"/>
              </a:moveTo>
              <a:lnTo>
                <a:pt x="54787" y="142599"/>
              </a:lnTo>
              <a:lnTo>
                <a:pt x="45720" y="142599"/>
              </a:lnTo>
              <a:lnTo>
                <a:pt x="45720" y="1746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6EB31D-079B-4EF3-B1F1-44BA1ADF8972}">
      <dsp:nvSpPr>
        <dsp:cNvPr id="0" name=""/>
        <dsp:cNvSpPr/>
      </dsp:nvSpPr>
      <dsp:spPr>
        <a:xfrm>
          <a:off x="3789983" y="1240521"/>
          <a:ext cx="625586" cy="154761"/>
        </a:xfrm>
        <a:custGeom>
          <a:avLst/>
          <a:gdLst/>
          <a:ahLst/>
          <a:cxnLst/>
          <a:rect l="0" t="0" r="0" b="0"/>
          <a:pathLst>
            <a:path>
              <a:moveTo>
                <a:pt x="625586" y="0"/>
              </a:moveTo>
              <a:lnTo>
                <a:pt x="625586" y="122694"/>
              </a:lnTo>
              <a:lnTo>
                <a:pt x="0" y="122694"/>
              </a:lnTo>
              <a:lnTo>
                <a:pt x="0" y="1547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B83A49-0072-461C-BA38-31794E5F9678}">
      <dsp:nvSpPr>
        <dsp:cNvPr id="0" name=""/>
        <dsp:cNvSpPr/>
      </dsp:nvSpPr>
      <dsp:spPr>
        <a:xfrm>
          <a:off x="3039411" y="1225064"/>
          <a:ext cx="91440" cy="129046"/>
        </a:xfrm>
        <a:custGeom>
          <a:avLst/>
          <a:gdLst/>
          <a:ahLst/>
          <a:cxnLst/>
          <a:rect l="0" t="0" r="0" b="0"/>
          <a:pathLst>
            <a:path>
              <a:moveTo>
                <a:pt x="45720" y="0"/>
              </a:moveTo>
              <a:lnTo>
                <a:pt x="45720" y="96979"/>
              </a:lnTo>
              <a:lnTo>
                <a:pt x="56845" y="96979"/>
              </a:lnTo>
              <a:lnTo>
                <a:pt x="56845" y="1290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47B411-8362-4F5C-AE0D-D557D0B64AF9}">
      <dsp:nvSpPr>
        <dsp:cNvPr id="0" name=""/>
        <dsp:cNvSpPr/>
      </dsp:nvSpPr>
      <dsp:spPr>
        <a:xfrm>
          <a:off x="1324324" y="1229357"/>
          <a:ext cx="1006904" cy="113000"/>
        </a:xfrm>
        <a:custGeom>
          <a:avLst/>
          <a:gdLst/>
          <a:ahLst/>
          <a:cxnLst/>
          <a:rect l="0" t="0" r="0" b="0"/>
          <a:pathLst>
            <a:path>
              <a:moveTo>
                <a:pt x="0" y="0"/>
              </a:moveTo>
              <a:lnTo>
                <a:pt x="0" y="80933"/>
              </a:lnTo>
              <a:lnTo>
                <a:pt x="1006904" y="80933"/>
              </a:lnTo>
              <a:lnTo>
                <a:pt x="1006904" y="113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D7033C-49EB-43CF-A5E2-65BA022E6E3B}">
      <dsp:nvSpPr>
        <dsp:cNvPr id="0" name=""/>
        <dsp:cNvSpPr/>
      </dsp:nvSpPr>
      <dsp:spPr>
        <a:xfrm>
          <a:off x="1324324" y="1229357"/>
          <a:ext cx="269099" cy="113000"/>
        </a:xfrm>
        <a:custGeom>
          <a:avLst/>
          <a:gdLst/>
          <a:ahLst/>
          <a:cxnLst/>
          <a:rect l="0" t="0" r="0" b="0"/>
          <a:pathLst>
            <a:path>
              <a:moveTo>
                <a:pt x="0" y="0"/>
              </a:moveTo>
              <a:lnTo>
                <a:pt x="0" y="80933"/>
              </a:lnTo>
              <a:lnTo>
                <a:pt x="269099" y="80933"/>
              </a:lnTo>
              <a:lnTo>
                <a:pt x="269099" y="113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FA275B-BDBC-44C9-BAD4-09F7AB91A5D5}">
      <dsp:nvSpPr>
        <dsp:cNvPr id="0" name=""/>
        <dsp:cNvSpPr/>
      </dsp:nvSpPr>
      <dsp:spPr>
        <a:xfrm>
          <a:off x="905466" y="1229357"/>
          <a:ext cx="418857" cy="113000"/>
        </a:xfrm>
        <a:custGeom>
          <a:avLst/>
          <a:gdLst/>
          <a:ahLst/>
          <a:cxnLst/>
          <a:rect l="0" t="0" r="0" b="0"/>
          <a:pathLst>
            <a:path>
              <a:moveTo>
                <a:pt x="418857" y="0"/>
              </a:moveTo>
              <a:lnTo>
                <a:pt x="418857" y="80933"/>
              </a:lnTo>
              <a:lnTo>
                <a:pt x="0" y="80933"/>
              </a:lnTo>
              <a:lnTo>
                <a:pt x="0" y="113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061DF8-6797-4267-AEB2-047F9DFB04C0}">
      <dsp:nvSpPr>
        <dsp:cNvPr id="0" name=""/>
        <dsp:cNvSpPr/>
      </dsp:nvSpPr>
      <dsp:spPr>
        <a:xfrm>
          <a:off x="271573" y="1229357"/>
          <a:ext cx="1052750" cy="113000"/>
        </a:xfrm>
        <a:custGeom>
          <a:avLst/>
          <a:gdLst/>
          <a:ahLst/>
          <a:cxnLst/>
          <a:rect l="0" t="0" r="0" b="0"/>
          <a:pathLst>
            <a:path>
              <a:moveTo>
                <a:pt x="1052750" y="0"/>
              </a:moveTo>
              <a:lnTo>
                <a:pt x="1052750" y="80933"/>
              </a:lnTo>
              <a:lnTo>
                <a:pt x="0" y="80933"/>
              </a:lnTo>
              <a:lnTo>
                <a:pt x="0" y="113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F8FB7F-10A7-4379-9B38-B9E141063922}">
      <dsp:nvSpPr>
        <dsp:cNvPr id="0" name=""/>
        <dsp:cNvSpPr/>
      </dsp:nvSpPr>
      <dsp:spPr>
        <a:xfrm>
          <a:off x="876573" y="562609"/>
          <a:ext cx="895500" cy="666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C445C6-6D95-4BD7-81DD-65C71584E834}">
      <dsp:nvSpPr>
        <dsp:cNvPr id="0" name=""/>
        <dsp:cNvSpPr/>
      </dsp:nvSpPr>
      <dsp:spPr>
        <a:xfrm>
          <a:off x="915034" y="599147"/>
          <a:ext cx="895500" cy="666748"/>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kern="1200">
              <a:latin typeface="Arial Narrow" pitchFamily="34" charset="0"/>
              <a:cs typeface="Arial" pitchFamily="34" charset="0"/>
            </a:rPr>
            <a:t>Υγεία</a:t>
          </a:r>
        </a:p>
      </dsp:txBody>
      <dsp:txXfrm>
        <a:off x="915034" y="599147"/>
        <a:ext cx="895500" cy="666748"/>
      </dsp:txXfrm>
    </dsp:sp>
    <dsp:sp modelId="{28EAB84C-EAE6-49EE-8274-576D3607486E}">
      <dsp:nvSpPr>
        <dsp:cNvPr id="0" name=""/>
        <dsp:cNvSpPr/>
      </dsp:nvSpPr>
      <dsp:spPr>
        <a:xfrm>
          <a:off x="3413" y="1342358"/>
          <a:ext cx="536319" cy="7127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8F4EC2-C81F-4DE0-8F84-0460A3A17F99}">
      <dsp:nvSpPr>
        <dsp:cNvPr id="0" name=""/>
        <dsp:cNvSpPr/>
      </dsp:nvSpPr>
      <dsp:spPr>
        <a:xfrm>
          <a:off x="41874" y="1378896"/>
          <a:ext cx="536319" cy="712764"/>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cs typeface="Arial" pitchFamily="34" charset="0"/>
            </a:rPr>
            <a:t>Υποστήριξη Πολιτικών Υγείας</a:t>
          </a:r>
        </a:p>
      </dsp:txBody>
      <dsp:txXfrm>
        <a:off x="41874" y="1378896"/>
        <a:ext cx="536319" cy="712764"/>
      </dsp:txXfrm>
    </dsp:sp>
    <dsp:sp modelId="{5E83162A-655F-4A77-A078-4BD7B858D8BE}">
      <dsp:nvSpPr>
        <dsp:cNvPr id="0" name=""/>
        <dsp:cNvSpPr/>
      </dsp:nvSpPr>
      <dsp:spPr>
        <a:xfrm>
          <a:off x="616655" y="1342358"/>
          <a:ext cx="577622" cy="7021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EF4264-8304-4B64-940A-BB8B67287616}">
      <dsp:nvSpPr>
        <dsp:cNvPr id="0" name=""/>
        <dsp:cNvSpPr/>
      </dsp:nvSpPr>
      <dsp:spPr>
        <a:xfrm>
          <a:off x="655116" y="1378896"/>
          <a:ext cx="577622" cy="702112"/>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cs typeface="Arial" pitchFamily="34" charset="0"/>
            </a:rPr>
            <a:t>Υλοποίηση Πολιτικών Υγείας και Κοινωνικής Αλληλεγγύης</a:t>
          </a:r>
        </a:p>
      </dsp:txBody>
      <dsp:txXfrm>
        <a:off x="655116" y="1378896"/>
        <a:ext cx="577622" cy="702112"/>
      </dsp:txXfrm>
    </dsp:sp>
    <dsp:sp modelId="{37CB8C5E-9237-43AA-B305-8C6DD6359B7D}">
      <dsp:nvSpPr>
        <dsp:cNvPr id="0" name=""/>
        <dsp:cNvSpPr/>
      </dsp:nvSpPr>
      <dsp:spPr>
        <a:xfrm>
          <a:off x="1271199" y="1342358"/>
          <a:ext cx="644449" cy="727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773EFC-7BB5-4308-9F81-DCA421E847FB}">
      <dsp:nvSpPr>
        <dsp:cNvPr id="0" name=""/>
        <dsp:cNvSpPr/>
      </dsp:nvSpPr>
      <dsp:spPr>
        <a:xfrm>
          <a:off x="1309660" y="1378896"/>
          <a:ext cx="644449" cy="727950"/>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cs typeface="Arial" pitchFamily="34" charset="0"/>
            </a:rPr>
            <a:t>Νοσοκομειακή Περίθαλψη</a:t>
          </a:r>
        </a:p>
      </dsp:txBody>
      <dsp:txXfrm>
        <a:off x="1309660" y="1378896"/>
        <a:ext cx="644449" cy="727950"/>
      </dsp:txXfrm>
    </dsp:sp>
    <dsp:sp modelId="{68FAAD71-6A2C-4D26-90C6-BA865E5B2D49}">
      <dsp:nvSpPr>
        <dsp:cNvPr id="0" name=""/>
        <dsp:cNvSpPr/>
      </dsp:nvSpPr>
      <dsp:spPr>
        <a:xfrm>
          <a:off x="1992570" y="1342358"/>
          <a:ext cx="677316" cy="6960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79E7D0-A3A4-4F9F-85E1-42D87A69FA27}">
      <dsp:nvSpPr>
        <dsp:cNvPr id="0" name=""/>
        <dsp:cNvSpPr/>
      </dsp:nvSpPr>
      <dsp:spPr>
        <a:xfrm>
          <a:off x="2031031" y="1378896"/>
          <a:ext cx="677316" cy="696006"/>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cs typeface="Arial" pitchFamily="34" charset="0"/>
            </a:rPr>
            <a:t>Συντονισμός Νοσοκομείων και Πρωτοβάθμιας  Φροντίδας Υγείας</a:t>
          </a:r>
        </a:p>
      </dsp:txBody>
      <dsp:txXfrm>
        <a:off x="2031031" y="1378896"/>
        <a:ext cx="677316" cy="696006"/>
      </dsp:txXfrm>
    </dsp:sp>
    <dsp:sp modelId="{05677491-7277-468E-B0B2-E7EB515211B4}">
      <dsp:nvSpPr>
        <dsp:cNvPr id="0" name=""/>
        <dsp:cNvSpPr/>
      </dsp:nvSpPr>
      <dsp:spPr>
        <a:xfrm>
          <a:off x="2672532" y="598512"/>
          <a:ext cx="825198" cy="6265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CA7B70-DCAB-4CF2-A9FE-029B92FDC204}">
      <dsp:nvSpPr>
        <dsp:cNvPr id="0" name=""/>
        <dsp:cNvSpPr/>
      </dsp:nvSpPr>
      <dsp:spPr>
        <a:xfrm>
          <a:off x="2710993" y="635050"/>
          <a:ext cx="825198" cy="626552"/>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0000" tIns="46800" rIns="90000" bIns="46800" numCol="1" spcCol="1270" anchor="ctr" anchorCtr="0">
          <a:noAutofit/>
        </a:bodyPr>
        <a:lstStyle/>
        <a:p>
          <a:pPr lvl="0" algn="ctr" defTabSz="400050">
            <a:lnSpc>
              <a:spcPct val="90000"/>
            </a:lnSpc>
            <a:spcBef>
              <a:spcPct val="0"/>
            </a:spcBef>
            <a:spcAft>
              <a:spcPct val="35000"/>
            </a:spcAft>
          </a:pPr>
          <a:r>
            <a:rPr lang="el-GR" sz="900" kern="1200">
              <a:latin typeface="Arial Narrow" pitchFamily="34" charset="0"/>
              <a:cs typeface="Arial" pitchFamily="34" charset="0"/>
            </a:rPr>
            <a:t>Εκπαίδευση</a:t>
          </a:r>
        </a:p>
      </dsp:txBody>
      <dsp:txXfrm>
        <a:off x="2710993" y="635050"/>
        <a:ext cx="825198" cy="626552"/>
      </dsp:txXfrm>
    </dsp:sp>
    <dsp:sp modelId="{7F43F873-545C-456E-85BA-426FADBD260E}">
      <dsp:nvSpPr>
        <dsp:cNvPr id="0" name=""/>
        <dsp:cNvSpPr/>
      </dsp:nvSpPr>
      <dsp:spPr>
        <a:xfrm>
          <a:off x="2762299" y="1354111"/>
          <a:ext cx="667914" cy="720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811BEE-386F-491F-836F-4B4AB7E25284}">
      <dsp:nvSpPr>
        <dsp:cNvPr id="0" name=""/>
        <dsp:cNvSpPr/>
      </dsp:nvSpPr>
      <dsp:spPr>
        <a:xfrm>
          <a:off x="2800760" y="1390649"/>
          <a:ext cx="667914" cy="720701"/>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cs typeface="Arial" pitchFamily="34" charset="0"/>
            </a:rPr>
            <a:t>Επιμόρφωση στον Τομέα της Δημόσιας Υγείας</a:t>
          </a:r>
        </a:p>
      </dsp:txBody>
      <dsp:txXfrm>
        <a:off x="2800760" y="1390649"/>
        <a:ext cx="667914" cy="720701"/>
      </dsp:txXfrm>
    </dsp:sp>
    <dsp:sp modelId="{8A8BDD0F-2E23-4794-B8A0-DB57B8F72712}">
      <dsp:nvSpPr>
        <dsp:cNvPr id="0" name=""/>
        <dsp:cNvSpPr/>
      </dsp:nvSpPr>
      <dsp:spPr>
        <a:xfrm>
          <a:off x="4042679" y="596522"/>
          <a:ext cx="745781" cy="6439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94B19A-C403-4ADB-BD36-F2F158BA59B5}">
      <dsp:nvSpPr>
        <dsp:cNvPr id="0" name=""/>
        <dsp:cNvSpPr/>
      </dsp:nvSpPr>
      <dsp:spPr>
        <a:xfrm>
          <a:off x="4081140" y="633060"/>
          <a:ext cx="745781" cy="643998"/>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kern="1200">
              <a:latin typeface="Arial Narrow" pitchFamily="34" charset="0"/>
              <a:cs typeface="Arial" pitchFamily="34" charset="0"/>
            </a:rPr>
            <a:t>Κοινωνική Προστασία</a:t>
          </a:r>
        </a:p>
      </dsp:txBody>
      <dsp:txXfrm>
        <a:off x="4081140" y="633060"/>
        <a:ext cx="745781" cy="643998"/>
      </dsp:txXfrm>
    </dsp:sp>
    <dsp:sp modelId="{1ABED451-10F4-4E87-B467-29E8B2CB2531}">
      <dsp:nvSpPr>
        <dsp:cNvPr id="0" name=""/>
        <dsp:cNvSpPr/>
      </dsp:nvSpPr>
      <dsp:spPr>
        <a:xfrm>
          <a:off x="3509995" y="1395282"/>
          <a:ext cx="559975" cy="6586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7F0D8C-BE5A-45BE-A98C-B43580597CFB}">
      <dsp:nvSpPr>
        <dsp:cNvPr id="0" name=""/>
        <dsp:cNvSpPr/>
      </dsp:nvSpPr>
      <dsp:spPr>
        <a:xfrm>
          <a:off x="3548456" y="1431820"/>
          <a:ext cx="559975" cy="658635"/>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cs typeface="Arial" pitchFamily="34" charset="0"/>
            </a:rPr>
            <a:t>Πολιτικές κατά των Ναρκωτικών </a:t>
          </a:r>
        </a:p>
      </dsp:txBody>
      <dsp:txXfrm>
        <a:off x="3548456" y="1431820"/>
        <a:ext cx="559975" cy="658635"/>
      </dsp:txXfrm>
    </dsp:sp>
    <dsp:sp modelId="{3898B319-7C18-46C3-92D7-6BCC79B395F2}">
      <dsp:nvSpPr>
        <dsp:cNvPr id="0" name=""/>
        <dsp:cNvSpPr/>
      </dsp:nvSpPr>
      <dsp:spPr>
        <a:xfrm>
          <a:off x="4119006" y="1415188"/>
          <a:ext cx="574991" cy="662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A28411-A5AF-427C-9CB3-3B4FAF9706CF}">
      <dsp:nvSpPr>
        <dsp:cNvPr id="0" name=""/>
        <dsp:cNvSpPr/>
      </dsp:nvSpPr>
      <dsp:spPr>
        <a:xfrm>
          <a:off x="4157467" y="1451726"/>
          <a:ext cx="574991" cy="662598"/>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cs typeface="Arial" pitchFamily="34" charset="0"/>
            </a:rPr>
            <a:t>Πολιτικές Υγείας των Μεταναστών</a:t>
          </a:r>
        </a:p>
      </dsp:txBody>
      <dsp:txXfrm>
        <a:off x="4157467" y="1451726"/>
        <a:ext cx="574991" cy="662598"/>
      </dsp:txXfrm>
    </dsp:sp>
    <dsp:sp modelId="{D04A9F0A-7B00-4963-A962-C6280C7AA3D5}">
      <dsp:nvSpPr>
        <dsp:cNvPr id="0" name=""/>
        <dsp:cNvSpPr/>
      </dsp:nvSpPr>
      <dsp:spPr>
        <a:xfrm>
          <a:off x="4782901" y="1443426"/>
          <a:ext cx="639163" cy="6890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97B3F6-FF68-4DCB-8853-1B7B513B8121}">
      <dsp:nvSpPr>
        <dsp:cNvPr id="0" name=""/>
        <dsp:cNvSpPr/>
      </dsp:nvSpPr>
      <dsp:spPr>
        <a:xfrm>
          <a:off x="4821362" y="1479964"/>
          <a:ext cx="639163" cy="689045"/>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288925">
            <a:lnSpc>
              <a:spcPct val="90000"/>
            </a:lnSpc>
            <a:spcBef>
              <a:spcPct val="0"/>
            </a:spcBef>
            <a:spcAft>
              <a:spcPct val="35000"/>
            </a:spcAft>
          </a:pPr>
          <a:r>
            <a:rPr lang="el-GR" sz="650" kern="1200">
              <a:latin typeface="Arial Narrow" pitchFamily="34" charset="0"/>
              <a:cs typeface="Arial" pitchFamily="34" charset="0"/>
            </a:rPr>
            <a:t>Πολιτικές Υποστήριξης της Αναπαραγωγής </a:t>
          </a:r>
        </a:p>
      </dsp:txBody>
      <dsp:txXfrm>
        <a:off x="4821362" y="1479964"/>
        <a:ext cx="639163" cy="68904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F348AA-E9C8-4F27-A5A9-6EA67FFD179A}">
      <dsp:nvSpPr>
        <dsp:cNvPr id="0" name=""/>
        <dsp:cNvSpPr/>
      </dsp:nvSpPr>
      <dsp:spPr>
        <a:xfrm>
          <a:off x="2493873" y="666493"/>
          <a:ext cx="1281673" cy="304980"/>
        </a:xfrm>
        <a:custGeom>
          <a:avLst/>
          <a:gdLst/>
          <a:ahLst/>
          <a:cxnLst/>
          <a:rect l="0" t="0" r="0" b="0"/>
          <a:pathLst>
            <a:path>
              <a:moveTo>
                <a:pt x="0" y="0"/>
              </a:moveTo>
              <a:lnTo>
                <a:pt x="0" y="207835"/>
              </a:lnTo>
              <a:lnTo>
                <a:pt x="1281673" y="207835"/>
              </a:lnTo>
              <a:lnTo>
                <a:pt x="1281673" y="3049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C81E76-2728-4B9F-9CC9-8DA6F56A1C03}">
      <dsp:nvSpPr>
        <dsp:cNvPr id="0" name=""/>
        <dsp:cNvSpPr/>
      </dsp:nvSpPr>
      <dsp:spPr>
        <a:xfrm>
          <a:off x="2448153" y="666493"/>
          <a:ext cx="91440" cy="304980"/>
        </a:xfrm>
        <a:custGeom>
          <a:avLst/>
          <a:gdLst/>
          <a:ahLst/>
          <a:cxnLst/>
          <a:rect l="0" t="0" r="0" b="0"/>
          <a:pathLst>
            <a:path>
              <a:moveTo>
                <a:pt x="45720" y="0"/>
              </a:moveTo>
              <a:lnTo>
                <a:pt x="45720" y="3049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EBC98-6104-4CC0-A64C-4E742A43A9A2}">
      <dsp:nvSpPr>
        <dsp:cNvPr id="0" name=""/>
        <dsp:cNvSpPr/>
      </dsp:nvSpPr>
      <dsp:spPr>
        <a:xfrm>
          <a:off x="1212200" y="666493"/>
          <a:ext cx="1281673" cy="304980"/>
        </a:xfrm>
        <a:custGeom>
          <a:avLst/>
          <a:gdLst/>
          <a:ahLst/>
          <a:cxnLst/>
          <a:rect l="0" t="0" r="0" b="0"/>
          <a:pathLst>
            <a:path>
              <a:moveTo>
                <a:pt x="1281673" y="0"/>
              </a:moveTo>
              <a:lnTo>
                <a:pt x="1281673" y="207835"/>
              </a:lnTo>
              <a:lnTo>
                <a:pt x="0" y="207835"/>
              </a:lnTo>
              <a:lnTo>
                <a:pt x="0" y="3049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D90B41-644A-4223-A6CE-CBC2E06BB718}">
      <dsp:nvSpPr>
        <dsp:cNvPr id="0" name=""/>
        <dsp:cNvSpPr/>
      </dsp:nvSpPr>
      <dsp:spPr>
        <a:xfrm>
          <a:off x="1969552" y="605"/>
          <a:ext cx="1048641" cy="665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28DBDF-93F6-4533-9CA5-D07C659FA9A8}">
      <dsp:nvSpPr>
        <dsp:cNvPr id="0" name=""/>
        <dsp:cNvSpPr/>
      </dsp:nvSpPr>
      <dsp:spPr>
        <a:xfrm>
          <a:off x="2086068" y="111295"/>
          <a:ext cx="1048641" cy="665887"/>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kern="1200">
              <a:latin typeface="Arial" pitchFamily="34" charset="0"/>
              <a:cs typeface="Arial" pitchFamily="34" charset="0"/>
            </a:rPr>
            <a:t>Αναψυχή, </a:t>
          </a:r>
          <a:r>
            <a:rPr lang="el-GR" sz="900" kern="1200" baseline="0">
              <a:latin typeface="Arial" pitchFamily="34" charset="0"/>
              <a:cs typeface="Arial" pitchFamily="34" charset="0"/>
            </a:rPr>
            <a:t>Πολιτισμός</a:t>
          </a:r>
          <a:r>
            <a:rPr lang="el-GR" sz="900" kern="1200">
              <a:latin typeface="Arial" pitchFamily="34" charset="0"/>
              <a:cs typeface="Arial" pitchFamily="34" charset="0"/>
            </a:rPr>
            <a:t> και Θρησκεία</a:t>
          </a:r>
        </a:p>
        <a:p>
          <a:pPr lvl="0" algn="ctr" defTabSz="400050">
            <a:lnSpc>
              <a:spcPct val="90000"/>
            </a:lnSpc>
            <a:spcBef>
              <a:spcPct val="0"/>
            </a:spcBef>
            <a:spcAft>
              <a:spcPct val="35000"/>
            </a:spcAft>
          </a:pPr>
          <a:endParaRPr lang="el-GR" sz="900" kern="1200"/>
        </a:p>
      </dsp:txBody>
      <dsp:txXfrm>
        <a:off x="2086068" y="111295"/>
        <a:ext cx="1048641" cy="665887"/>
      </dsp:txXfrm>
    </dsp:sp>
    <dsp:sp modelId="{550F7091-6357-4097-BB0C-5BAF9D3F3D4B}">
      <dsp:nvSpPr>
        <dsp:cNvPr id="0" name=""/>
        <dsp:cNvSpPr/>
      </dsp:nvSpPr>
      <dsp:spPr>
        <a:xfrm>
          <a:off x="687879" y="971473"/>
          <a:ext cx="1048641" cy="665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D711CD-C888-426F-BD13-7B978B3E1AD4}">
      <dsp:nvSpPr>
        <dsp:cNvPr id="0" name=""/>
        <dsp:cNvSpPr/>
      </dsp:nvSpPr>
      <dsp:spPr>
        <a:xfrm>
          <a:off x="804394" y="1082163"/>
          <a:ext cx="1048641" cy="665887"/>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kern="1200">
              <a:latin typeface="Arial" pitchFamily="34" charset="0"/>
              <a:cs typeface="Arial" pitchFamily="34" charset="0"/>
            </a:rPr>
            <a:t>Υποστήριξη Πολιτικών Πολιτισμού</a:t>
          </a:r>
        </a:p>
      </dsp:txBody>
      <dsp:txXfrm>
        <a:off x="804394" y="1082163"/>
        <a:ext cx="1048641" cy="665887"/>
      </dsp:txXfrm>
    </dsp:sp>
    <dsp:sp modelId="{5CD3F551-D98A-4725-A20C-42F7C53B4742}">
      <dsp:nvSpPr>
        <dsp:cNvPr id="0" name=""/>
        <dsp:cNvSpPr/>
      </dsp:nvSpPr>
      <dsp:spPr>
        <a:xfrm>
          <a:off x="1969552" y="971473"/>
          <a:ext cx="1048641" cy="665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0C0F20-A1B0-415E-B70F-452BF5ACA17B}">
      <dsp:nvSpPr>
        <dsp:cNvPr id="0" name=""/>
        <dsp:cNvSpPr/>
      </dsp:nvSpPr>
      <dsp:spPr>
        <a:xfrm>
          <a:off x="2086068" y="1082163"/>
          <a:ext cx="1048641" cy="665887"/>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kern="1200">
              <a:latin typeface="Arial" pitchFamily="34" charset="0"/>
              <a:cs typeface="Arial" pitchFamily="34" charset="0"/>
            </a:rPr>
            <a:t>Πολιτιστική Κληρονομιά και Αρχαιότητες</a:t>
          </a:r>
        </a:p>
      </dsp:txBody>
      <dsp:txXfrm>
        <a:off x="2086068" y="1082163"/>
        <a:ext cx="1048641" cy="665887"/>
      </dsp:txXfrm>
    </dsp:sp>
    <dsp:sp modelId="{6F75C21D-FEBB-4E72-BFD8-5CA5658E910B}">
      <dsp:nvSpPr>
        <dsp:cNvPr id="0" name=""/>
        <dsp:cNvSpPr/>
      </dsp:nvSpPr>
      <dsp:spPr>
        <a:xfrm>
          <a:off x="3251226" y="971473"/>
          <a:ext cx="1048641" cy="665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1E4A60-6B71-4284-8497-F45DDE1A2FF4}">
      <dsp:nvSpPr>
        <dsp:cNvPr id="0" name=""/>
        <dsp:cNvSpPr/>
      </dsp:nvSpPr>
      <dsp:spPr>
        <a:xfrm>
          <a:off x="3367741" y="1082163"/>
          <a:ext cx="1048641" cy="665887"/>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kern="1200">
              <a:latin typeface="Arial" pitchFamily="34" charset="0"/>
              <a:cs typeface="Arial" pitchFamily="34" charset="0"/>
            </a:rPr>
            <a:t>Σύγχρονος </a:t>
          </a:r>
          <a:r>
            <a:rPr lang="el-GR" sz="900" kern="1200" baseline="0">
              <a:latin typeface="Arial" pitchFamily="34" charset="0"/>
              <a:cs typeface="Arial" pitchFamily="34" charset="0"/>
            </a:rPr>
            <a:t>Πολιτισμός</a:t>
          </a:r>
        </a:p>
      </dsp:txBody>
      <dsp:txXfrm>
        <a:off x="3367741" y="1082163"/>
        <a:ext cx="1048641" cy="66588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2A5CE65-16DE-42A0-A937-2554715003D4}">
      <dsp:nvSpPr>
        <dsp:cNvPr id="0" name=""/>
        <dsp:cNvSpPr/>
      </dsp:nvSpPr>
      <dsp:spPr>
        <a:xfrm>
          <a:off x="5352848" y="1269960"/>
          <a:ext cx="91440" cy="179317"/>
        </a:xfrm>
        <a:custGeom>
          <a:avLst/>
          <a:gdLst/>
          <a:ahLst/>
          <a:cxnLst/>
          <a:rect l="0" t="0" r="0" b="0"/>
          <a:pathLst>
            <a:path>
              <a:moveTo>
                <a:pt x="45720" y="0"/>
              </a:moveTo>
              <a:lnTo>
                <a:pt x="45720" y="160850"/>
              </a:lnTo>
              <a:lnTo>
                <a:pt x="84428" y="160850"/>
              </a:lnTo>
              <a:lnTo>
                <a:pt x="84428" y="179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99744F-098A-44E1-BD2B-724F2F8D1669}">
      <dsp:nvSpPr>
        <dsp:cNvPr id="0" name=""/>
        <dsp:cNvSpPr/>
      </dsp:nvSpPr>
      <dsp:spPr>
        <a:xfrm>
          <a:off x="2819975" y="1095587"/>
          <a:ext cx="2045224" cy="318476"/>
        </a:xfrm>
        <a:custGeom>
          <a:avLst/>
          <a:gdLst/>
          <a:ahLst/>
          <a:cxnLst/>
          <a:rect l="0" t="0" r="0" b="0"/>
          <a:pathLst>
            <a:path>
              <a:moveTo>
                <a:pt x="0" y="0"/>
              </a:moveTo>
              <a:lnTo>
                <a:pt x="0" y="300008"/>
              </a:lnTo>
              <a:lnTo>
                <a:pt x="2045224" y="300008"/>
              </a:lnTo>
              <a:lnTo>
                <a:pt x="2045224"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F1B3F2-D513-48BB-B85F-98728969F723}">
      <dsp:nvSpPr>
        <dsp:cNvPr id="0" name=""/>
        <dsp:cNvSpPr/>
      </dsp:nvSpPr>
      <dsp:spPr>
        <a:xfrm>
          <a:off x="2819975" y="1095587"/>
          <a:ext cx="1512191" cy="318476"/>
        </a:xfrm>
        <a:custGeom>
          <a:avLst/>
          <a:gdLst/>
          <a:ahLst/>
          <a:cxnLst/>
          <a:rect l="0" t="0" r="0" b="0"/>
          <a:pathLst>
            <a:path>
              <a:moveTo>
                <a:pt x="0" y="0"/>
              </a:moveTo>
              <a:lnTo>
                <a:pt x="0" y="300008"/>
              </a:lnTo>
              <a:lnTo>
                <a:pt x="1512191" y="300008"/>
              </a:lnTo>
              <a:lnTo>
                <a:pt x="1512191"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50A4C8-77D7-40C5-84BD-761970E64E5B}">
      <dsp:nvSpPr>
        <dsp:cNvPr id="0" name=""/>
        <dsp:cNvSpPr/>
      </dsp:nvSpPr>
      <dsp:spPr>
        <a:xfrm>
          <a:off x="2819975" y="1095587"/>
          <a:ext cx="1016539" cy="318476"/>
        </a:xfrm>
        <a:custGeom>
          <a:avLst/>
          <a:gdLst/>
          <a:ahLst/>
          <a:cxnLst/>
          <a:rect l="0" t="0" r="0" b="0"/>
          <a:pathLst>
            <a:path>
              <a:moveTo>
                <a:pt x="0" y="0"/>
              </a:moveTo>
              <a:lnTo>
                <a:pt x="0" y="300008"/>
              </a:lnTo>
              <a:lnTo>
                <a:pt x="1016539" y="300008"/>
              </a:lnTo>
              <a:lnTo>
                <a:pt x="1016539"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78588E-1ACD-4A89-9283-163F4580802D}">
      <dsp:nvSpPr>
        <dsp:cNvPr id="0" name=""/>
        <dsp:cNvSpPr/>
      </dsp:nvSpPr>
      <dsp:spPr>
        <a:xfrm>
          <a:off x="2819975" y="1095587"/>
          <a:ext cx="542270" cy="318476"/>
        </a:xfrm>
        <a:custGeom>
          <a:avLst/>
          <a:gdLst/>
          <a:ahLst/>
          <a:cxnLst/>
          <a:rect l="0" t="0" r="0" b="0"/>
          <a:pathLst>
            <a:path>
              <a:moveTo>
                <a:pt x="0" y="0"/>
              </a:moveTo>
              <a:lnTo>
                <a:pt x="0" y="300008"/>
              </a:lnTo>
              <a:lnTo>
                <a:pt x="542270" y="300008"/>
              </a:lnTo>
              <a:lnTo>
                <a:pt x="542270"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686F99-FF87-483E-B7BB-C6EE2BE718CA}">
      <dsp:nvSpPr>
        <dsp:cNvPr id="0" name=""/>
        <dsp:cNvSpPr/>
      </dsp:nvSpPr>
      <dsp:spPr>
        <a:xfrm>
          <a:off x="2759506" y="1095587"/>
          <a:ext cx="91440" cy="318476"/>
        </a:xfrm>
        <a:custGeom>
          <a:avLst/>
          <a:gdLst/>
          <a:ahLst/>
          <a:cxnLst/>
          <a:rect l="0" t="0" r="0" b="0"/>
          <a:pathLst>
            <a:path>
              <a:moveTo>
                <a:pt x="60469" y="0"/>
              </a:moveTo>
              <a:lnTo>
                <a:pt x="60469" y="300008"/>
              </a:lnTo>
              <a:lnTo>
                <a:pt x="45720" y="300008"/>
              </a:lnTo>
              <a:lnTo>
                <a:pt x="45720"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A89C77-7820-44B3-9ECF-9221899202E6}">
      <dsp:nvSpPr>
        <dsp:cNvPr id="0" name=""/>
        <dsp:cNvSpPr/>
      </dsp:nvSpPr>
      <dsp:spPr>
        <a:xfrm>
          <a:off x="2228178" y="1095587"/>
          <a:ext cx="591796" cy="318476"/>
        </a:xfrm>
        <a:custGeom>
          <a:avLst/>
          <a:gdLst/>
          <a:ahLst/>
          <a:cxnLst/>
          <a:rect l="0" t="0" r="0" b="0"/>
          <a:pathLst>
            <a:path>
              <a:moveTo>
                <a:pt x="591796" y="0"/>
              </a:moveTo>
              <a:lnTo>
                <a:pt x="591796" y="300008"/>
              </a:lnTo>
              <a:lnTo>
                <a:pt x="0" y="300008"/>
              </a:lnTo>
              <a:lnTo>
                <a:pt x="0"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645066-7AE1-4A82-800E-ECE85054D024}">
      <dsp:nvSpPr>
        <dsp:cNvPr id="0" name=""/>
        <dsp:cNvSpPr/>
      </dsp:nvSpPr>
      <dsp:spPr>
        <a:xfrm>
          <a:off x="1725657" y="1095587"/>
          <a:ext cx="1094317" cy="318476"/>
        </a:xfrm>
        <a:custGeom>
          <a:avLst/>
          <a:gdLst/>
          <a:ahLst/>
          <a:cxnLst/>
          <a:rect l="0" t="0" r="0" b="0"/>
          <a:pathLst>
            <a:path>
              <a:moveTo>
                <a:pt x="1094317" y="0"/>
              </a:moveTo>
              <a:lnTo>
                <a:pt x="1094317" y="300008"/>
              </a:lnTo>
              <a:lnTo>
                <a:pt x="0" y="300008"/>
              </a:lnTo>
              <a:lnTo>
                <a:pt x="0"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963187-45AA-4378-8AAC-96EB8378660D}">
      <dsp:nvSpPr>
        <dsp:cNvPr id="0" name=""/>
        <dsp:cNvSpPr/>
      </dsp:nvSpPr>
      <dsp:spPr>
        <a:xfrm>
          <a:off x="1248342" y="1095587"/>
          <a:ext cx="1571632" cy="318476"/>
        </a:xfrm>
        <a:custGeom>
          <a:avLst/>
          <a:gdLst/>
          <a:ahLst/>
          <a:cxnLst/>
          <a:rect l="0" t="0" r="0" b="0"/>
          <a:pathLst>
            <a:path>
              <a:moveTo>
                <a:pt x="1571632" y="0"/>
              </a:moveTo>
              <a:lnTo>
                <a:pt x="1571632" y="300008"/>
              </a:lnTo>
              <a:lnTo>
                <a:pt x="0" y="300008"/>
              </a:lnTo>
              <a:lnTo>
                <a:pt x="0"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B0D25E-EE43-47CD-838E-EB2C8CB550EE}">
      <dsp:nvSpPr>
        <dsp:cNvPr id="0" name=""/>
        <dsp:cNvSpPr/>
      </dsp:nvSpPr>
      <dsp:spPr>
        <a:xfrm>
          <a:off x="766582" y="1095587"/>
          <a:ext cx="2053392" cy="318476"/>
        </a:xfrm>
        <a:custGeom>
          <a:avLst/>
          <a:gdLst/>
          <a:ahLst/>
          <a:cxnLst/>
          <a:rect l="0" t="0" r="0" b="0"/>
          <a:pathLst>
            <a:path>
              <a:moveTo>
                <a:pt x="2053392" y="0"/>
              </a:moveTo>
              <a:lnTo>
                <a:pt x="2053392" y="300008"/>
              </a:lnTo>
              <a:lnTo>
                <a:pt x="0" y="300008"/>
              </a:lnTo>
              <a:lnTo>
                <a:pt x="0" y="31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89DD6-460E-4D6A-A91F-1CAD033D5BD8}">
      <dsp:nvSpPr>
        <dsp:cNvPr id="0" name=""/>
        <dsp:cNvSpPr/>
      </dsp:nvSpPr>
      <dsp:spPr>
        <a:xfrm>
          <a:off x="207810" y="1237459"/>
          <a:ext cx="91440" cy="216666"/>
        </a:xfrm>
        <a:custGeom>
          <a:avLst/>
          <a:gdLst/>
          <a:ahLst/>
          <a:cxnLst/>
          <a:rect l="0" t="0" r="0" b="0"/>
          <a:pathLst>
            <a:path>
              <a:moveTo>
                <a:pt x="78828" y="0"/>
              </a:moveTo>
              <a:lnTo>
                <a:pt x="78828" y="198198"/>
              </a:lnTo>
              <a:lnTo>
                <a:pt x="45720" y="198198"/>
              </a:lnTo>
              <a:lnTo>
                <a:pt x="45720" y="2166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325A35-2BF4-49AC-8C14-5EDCB9CF9F23}">
      <dsp:nvSpPr>
        <dsp:cNvPr id="0" name=""/>
        <dsp:cNvSpPr/>
      </dsp:nvSpPr>
      <dsp:spPr>
        <a:xfrm>
          <a:off x="39048" y="629387"/>
          <a:ext cx="495180" cy="6080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B8BDCE-36AE-4E92-A930-1507A0B7B7EE}">
      <dsp:nvSpPr>
        <dsp:cNvPr id="0" name=""/>
        <dsp:cNvSpPr/>
      </dsp:nvSpPr>
      <dsp:spPr>
        <a:xfrm>
          <a:off x="61198" y="650430"/>
          <a:ext cx="495180" cy="608072"/>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rPr>
            <a:t>                   Δημόσια τάξη και ασφάλεια</a:t>
          </a:r>
        </a:p>
      </dsp:txBody>
      <dsp:txXfrm>
        <a:off x="61198" y="650430"/>
        <a:ext cx="495180" cy="608072"/>
      </dsp:txXfrm>
    </dsp:sp>
    <dsp:sp modelId="{20819861-C480-48BA-AA67-A2D85C49911B}">
      <dsp:nvSpPr>
        <dsp:cNvPr id="0" name=""/>
        <dsp:cNvSpPr/>
      </dsp:nvSpPr>
      <dsp:spPr>
        <a:xfrm>
          <a:off x="25722" y="1454126"/>
          <a:ext cx="455615" cy="5868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5AF630-6186-4796-8F56-2B360299B0BA}">
      <dsp:nvSpPr>
        <dsp:cNvPr id="0" name=""/>
        <dsp:cNvSpPr/>
      </dsp:nvSpPr>
      <dsp:spPr>
        <a:xfrm>
          <a:off x="47872" y="1475168"/>
          <a:ext cx="455615" cy="586862"/>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a:latin typeface="Arial Narrow" pitchFamily="34" charset="0"/>
            </a:rPr>
            <a:t>Διαχείριση μεταναστευτι-κών ροών</a:t>
          </a:r>
        </a:p>
      </dsp:txBody>
      <dsp:txXfrm>
        <a:off x="47872" y="1475168"/>
        <a:ext cx="455615" cy="586862"/>
      </dsp:txXfrm>
    </dsp:sp>
    <dsp:sp modelId="{66A19447-BD46-457E-9AE8-609AD4C33F42}">
      <dsp:nvSpPr>
        <dsp:cNvPr id="0" name=""/>
        <dsp:cNvSpPr/>
      </dsp:nvSpPr>
      <dsp:spPr>
        <a:xfrm>
          <a:off x="2422725" y="657253"/>
          <a:ext cx="794499" cy="4383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88AB32-EBBE-4977-B8BF-DBD510B42E17}">
      <dsp:nvSpPr>
        <dsp:cNvPr id="0" name=""/>
        <dsp:cNvSpPr/>
      </dsp:nvSpPr>
      <dsp:spPr>
        <a:xfrm>
          <a:off x="2444875" y="678296"/>
          <a:ext cx="794499" cy="438334"/>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dirty="0">
              <a:latin typeface="Arial Narrow" pitchFamily="34" charset="0"/>
            </a:rPr>
            <a:t>Οικονομικά θέματα</a:t>
          </a:r>
        </a:p>
      </dsp:txBody>
      <dsp:txXfrm>
        <a:off x="2444875" y="678296"/>
        <a:ext cx="794499" cy="438334"/>
      </dsp:txXfrm>
    </dsp:sp>
    <dsp:sp modelId="{EC8CADB5-E641-4D5A-AECB-F113BB49FB1F}">
      <dsp:nvSpPr>
        <dsp:cNvPr id="0" name=""/>
        <dsp:cNvSpPr/>
      </dsp:nvSpPr>
      <dsp:spPr>
        <a:xfrm>
          <a:off x="543931" y="1414063"/>
          <a:ext cx="445301" cy="6266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7877C5-2A09-4198-8778-EE05EDC8F678}">
      <dsp:nvSpPr>
        <dsp:cNvPr id="0" name=""/>
        <dsp:cNvSpPr/>
      </dsp:nvSpPr>
      <dsp:spPr>
        <a:xfrm>
          <a:off x="566082" y="1435106"/>
          <a:ext cx="445301" cy="626611"/>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dirty="0">
              <a:latin typeface="Arial Narrow" pitchFamily="34" charset="0"/>
            </a:rPr>
            <a:t>Υποστήριξη πολιτικών Υποδομών και Μεταφορών</a:t>
          </a:r>
        </a:p>
      </dsp:txBody>
      <dsp:txXfrm>
        <a:off x="566082" y="1435106"/>
        <a:ext cx="445301" cy="626611"/>
      </dsp:txXfrm>
    </dsp:sp>
    <dsp:sp modelId="{8D341CCC-44FE-46A3-99FC-6B280F770E9B}">
      <dsp:nvSpPr>
        <dsp:cNvPr id="0" name=""/>
        <dsp:cNvSpPr/>
      </dsp:nvSpPr>
      <dsp:spPr>
        <a:xfrm>
          <a:off x="1033533" y="1414063"/>
          <a:ext cx="429618" cy="791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5DC648-23B9-427A-A517-70CBF74CF919}">
      <dsp:nvSpPr>
        <dsp:cNvPr id="0" name=""/>
        <dsp:cNvSpPr/>
      </dsp:nvSpPr>
      <dsp:spPr>
        <a:xfrm>
          <a:off x="1055683" y="1435106"/>
          <a:ext cx="429618" cy="791993"/>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dirty="0">
              <a:latin typeface="Arial Narrow" pitchFamily="34" charset="0"/>
            </a:rPr>
            <a:t>Υποστήριξη διοικητικών και οικονομικών υποθέσεων υποδομών και Μεταφορών</a:t>
          </a:r>
        </a:p>
      </dsp:txBody>
      <dsp:txXfrm>
        <a:off x="1055683" y="1435106"/>
        <a:ext cx="429618" cy="791993"/>
      </dsp:txXfrm>
    </dsp:sp>
    <dsp:sp modelId="{640C50C5-DEA5-4E9E-AA7A-994284B9EC80}">
      <dsp:nvSpPr>
        <dsp:cNvPr id="0" name=""/>
        <dsp:cNvSpPr/>
      </dsp:nvSpPr>
      <dsp:spPr>
        <a:xfrm>
          <a:off x="1507451" y="1414063"/>
          <a:ext cx="436412" cy="6195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B3768D-6E8D-432D-A484-118F658A8150}">
      <dsp:nvSpPr>
        <dsp:cNvPr id="0" name=""/>
        <dsp:cNvSpPr/>
      </dsp:nvSpPr>
      <dsp:spPr>
        <a:xfrm>
          <a:off x="1529601" y="1435106"/>
          <a:ext cx="436412" cy="619507"/>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dirty="0">
              <a:latin typeface="Arial Narrow" pitchFamily="34" charset="0"/>
            </a:rPr>
            <a:t>Υποστήριξη αυτοτελών μονάδων Υπ. Υποδομών και Μεταφορών</a:t>
          </a:r>
        </a:p>
      </dsp:txBody>
      <dsp:txXfrm>
        <a:off x="1529601" y="1435106"/>
        <a:ext cx="436412" cy="619507"/>
      </dsp:txXfrm>
    </dsp:sp>
    <dsp:sp modelId="{B2CA3362-2483-4007-99B6-B51CB7006484}">
      <dsp:nvSpPr>
        <dsp:cNvPr id="0" name=""/>
        <dsp:cNvSpPr/>
      </dsp:nvSpPr>
      <dsp:spPr>
        <a:xfrm>
          <a:off x="1988164" y="1414063"/>
          <a:ext cx="480028" cy="6344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CEB5FB-38F0-4787-A259-6B00C5D08A06}">
      <dsp:nvSpPr>
        <dsp:cNvPr id="0" name=""/>
        <dsp:cNvSpPr/>
      </dsp:nvSpPr>
      <dsp:spPr>
        <a:xfrm>
          <a:off x="2010314" y="1435106"/>
          <a:ext cx="480028" cy="634438"/>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dirty="0">
              <a:latin typeface="Arial Narrow" pitchFamily="34" charset="0"/>
            </a:rPr>
            <a:t>Σχεδιασμός</a:t>
          </a:r>
        </a:p>
        <a:p>
          <a:pPr lvl="0" algn="ctr" defTabSz="222250">
            <a:lnSpc>
              <a:spcPct val="90000"/>
            </a:lnSpc>
            <a:spcBef>
              <a:spcPct val="0"/>
            </a:spcBef>
            <a:spcAft>
              <a:spcPct val="35000"/>
            </a:spcAft>
          </a:pPr>
          <a:r>
            <a:rPr lang="el-GR" sz="500" kern="1200" dirty="0">
              <a:latin typeface="Arial Narrow" pitchFamily="34" charset="0"/>
            </a:rPr>
            <a:t>ανάπτυξη και εποπτεία μεταφορών συγκοινωνιών</a:t>
          </a:r>
        </a:p>
      </dsp:txBody>
      <dsp:txXfrm>
        <a:off x="2010314" y="1435106"/>
        <a:ext cx="480028" cy="634438"/>
      </dsp:txXfrm>
    </dsp:sp>
    <dsp:sp modelId="{2C3EB379-4062-4819-ABE5-B61EEE3B01A2}">
      <dsp:nvSpPr>
        <dsp:cNvPr id="0" name=""/>
        <dsp:cNvSpPr/>
      </dsp:nvSpPr>
      <dsp:spPr>
        <a:xfrm>
          <a:off x="2512492" y="1414063"/>
          <a:ext cx="585467" cy="5792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7BFCAD-779A-4229-9CCF-4A999FB2CD5B}">
      <dsp:nvSpPr>
        <dsp:cNvPr id="0" name=""/>
        <dsp:cNvSpPr/>
      </dsp:nvSpPr>
      <dsp:spPr>
        <a:xfrm>
          <a:off x="2534642" y="1435106"/>
          <a:ext cx="585467" cy="579229"/>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dirty="0">
              <a:latin typeface="Arial Narrow" pitchFamily="34" charset="0"/>
            </a:rPr>
            <a:t>Οργάνωση, ανάπτυξη και έλεγχος του συστήματος αερομεταφορών</a:t>
          </a:r>
        </a:p>
      </dsp:txBody>
      <dsp:txXfrm>
        <a:off x="2534642" y="1435106"/>
        <a:ext cx="585467" cy="579229"/>
      </dsp:txXfrm>
    </dsp:sp>
    <dsp:sp modelId="{E2FE5905-B530-4ED5-968F-72A1832570C4}">
      <dsp:nvSpPr>
        <dsp:cNvPr id="0" name=""/>
        <dsp:cNvSpPr/>
      </dsp:nvSpPr>
      <dsp:spPr>
        <a:xfrm>
          <a:off x="3142260" y="1414063"/>
          <a:ext cx="439970" cy="4969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69D888-353B-4A5E-82E5-3BCAC4AF8610}">
      <dsp:nvSpPr>
        <dsp:cNvPr id="0" name=""/>
        <dsp:cNvSpPr/>
      </dsp:nvSpPr>
      <dsp:spPr>
        <a:xfrm>
          <a:off x="3164410" y="1435106"/>
          <a:ext cx="439970" cy="496960"/>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dirty="0">
              <a:latin typeface="Arial Narrow" pitchFamily="34" charset="0"/>
            </a:rPr>
            <a:t>Μεταφορές- Διαχείριση οδικών τελών</a:t>
          </a:r>
        </a:p>
      </dsp:txBody>
      <dsp:txXfrm>
        <a:off x="3164410" y="1435106"/>
        <a:ext cx="439970" cy="496960"/>
      </dsp:txXfrm>
    </dsp:sp>
    <dsp:sp modelId="{C7153D7D-6526-413D-B450-9F7F11FD3E92}">
      <dsp:nvSpPr>
        <dsp:cNvPr id="0" name=""/>
        <dsp:cNvSpPr/>
      </dsp:nvSpPr>
      <dsp:spPr>
        <a:xfrm>
          <a:off x="3626530" y="1414063"/>
          <a:ext cx="419967" cy="7508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F0D83B-869C-4A0F-ACAF-68662AF24976}">
      <dsp:nvSpPr>
        <dsp:cNvPr id="0" name=""/>
        <dsp:cNvSpPr/>
      </dsp:nvSpPr>
      <dsp:spPr>
        <a:xfrm>
          <a:off x="3648681" y="1435106"/>
          <a:ext cx="419967" cy="750862"/>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a:latin typeface="Arial Narrow" pitchFamily="34" charset="0"/>
            </a:rPr>
            <a:t>Μεταφορές-Διερεύνηση ατυχημάτων και ασφάλεια πτήσεων</a:t>
          </a:r>
          <a:endParaRPr lang="el-GR" sz="500" kern="1200" dirty="0">
            <a:latin typeface="Arial Narrow" pitchFamily="34" charset="0"/>
          </a:endParaRPr>
        </a:p>
      </dsp:txBody>
      <dsp:txXfrm>
        <a:off x="3648681" y="1435106"/>
        <a:ext cx="419967" cy="750862"/>
      </dsp:txXfrm>
    </dsp:sp>
    <dsp:sp modelId="{BBD56521-AF5C-4911-AA6A-4939ABADA756}">
      <dsp:nvSpPr>
        <dsp:cNvPr id="0" name=""/>
        <dsp:cNvSpPr/>
      </dsp:nvSpPr>
      <dsp:spPr>
        <a:xfrm>
          <a:off x="4090798" y="1414063"/>
          <a:ext cx="482735" cy="7844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5BDE55-8910-4474-BA53-2C59CE9242C4}">
      <dsp:nvSpPr>
        <dsp:cNvPr id="0" name=""/>
        <dsp:cNvSpPr/>
      </dsp:nvSpPr>
      <dsp:spPr>
        <a:xfrm>
          <a:off x="4112949" y="1435106"/>
          <a:ext cx="482735" cy="784448"/>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a:latin typeface="Arial Narrow" pitchFamily="34" charset="0"/>
            </a:rPr>
            <a:t>Μεταφορές- Διερεύνηση σιδηροδρο-μικών  ατυχημά-ων και συμβάντων</a:t>
          </a:r>
          <a:endParaRPr lang="el-GR" sz="500" kern="1200" dirty="0">
            <a:latin typeface="Arial Narrow" pitchFamily="34" charset="0"/>
          </a:endParaRPr>
        </a:p>
      </dsp:txBody>
      <dsp:txXfrm>
        <a:off x="4112949" y="1435106"/>
        <a:ext cx="482735" cy="784448"/>
      </dsp:txXfrm>
    </dsp:sp>
    <dsp:sp modelId="{E2AF04D7-CAA0-4E97-B2E5-D23281D1C5DA}">
      <dsp:nvSpPr>
        <dsp:cNvPr id="0" name=""/>
        <dsp:cNvSpPr/>
      </dsp:nvSpPr>
      <dsp:spPr>
        <a:xfrm>
          <a:off x="4617834" y="1414063"/>
          <a:ext cx="494730" cy="6582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D34733-D365-421A-BD91-1A8677F51AEB}">
      <dsp:nvSpPr>
        <dsp:cNvPr id="0" name=""/>
        <dsp:cNvSpPr/>
      </dsp:nvSpPr>
      <dsp:spPr>
        <a:xfrm>
          <a:off x="4639984" y="1435106"/>
          <a:ext cx="494730" cy="658221"/>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a:latin typeface="Arial Narrow" pitchFamily="34" charset="0"/>
            </a:rPr>
            <a:t>Μεταφορές-Εποπτεία και έλεγχος σιδηροδρομι-κής αγοράς</a:t>
          </a:r>
          <a:endParaRPr lang="el-GR" sz="500" kern="1200" dirty="0">
            <a:latin typeface="Arial Narrow" pitchFamily="34" charset="0"/>
          </a:endParaRPr>
        </a:p>
      </dsp:txBody>
      <dsp:txXfrm>
        <a:off x="4639984" y="1435106"/>
        <a:ext cx="494730" cy="658221"/>
      </dsp:txXfrm>
    </dsp:sp>
    <dsp:sp modelId="{B49DC2A1-91CA-4B7D-954C-436BF3BA4882}">
      <dsp:nvSpPr>
        <dsp:cNvPr id="0" name=""/>
        <dsp:cNvSpPr/>
      </dsp:nvSpPr>
      <dsp:spPr>
        <a:xfrm>
          <a:off x="5128250" y="579410"/>
          <a:ext cx="540636" cy="6905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89ADFD-A634-4172-91B3-3A5760A907C8}">
      <dsp:nvSpPr>
        <dsp:cNvPr id="0" name=""/>
        <dsp:cNvSpPr/>
      </dsp:nvSpPr>
      <dsp:spPr>
        <a:xfrm>
          <a:off x="5150400" y="600453"/>
          <a:ext cx="540636" cy="690549"/>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l-GR" sz="700" kern="1200">
              <a:latin typeface="Arial Narrow" pitchFamily="34" charset="0"/>
            </a:rPr>
            <a:t>                     Στέγαση και υποδομές κοινωνικής ωφέλειας</a:t>
          </a:r>
        </a:p>
      </dsp:txBody>
      <dsp:txXfrm>
        <a:off x="5150400" y="600453"/>
        <a:ext cx="540636" cy="690549"/>
      </dsp:txXfrm>
    </dsp:sp>
    <dsp:sp modelId="{728D273E-A3AE-4F4D-AD9C-EE1A1E50C55B}">
      <dsp:nvSpPr>
        <dsp:cNvPr id="0" name=""/>
        <dsp:cNvSpPr/>
      </dsp:nvSpPr>
      <dsp:spPr>
        <a:xfrm>
          <a:off x="5233003" y="1449277"/>
          <a:ext cx="408546" cy="5615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CB09E7-F622-4FC1-85B1-A380975EEDB1}">
      <dsp:nvSpPr>
        <dsp:cNvPr id="0" name=""/>
        <dsp:cNvSpPr/>
      </dsp:nvSpPr>
      <dsp:spPr>
        <a:xfrm>
          <a:off x="5255153" y="1470320"/>
          <a:ext cx="408546" cy="561543"/>
        </a:xfrm>
        <a:prstGeom prst="roundRect">
          <a:avLst>
            <a:gd name="adj" fmla="val 10000"/>
          </a:avLst>
        </a:prstGeom>
        <a:solidFill>
          <a:schemeClr val="lt1">
            <a:hueOff val="0"/>
            <a:satOff val="0"/>
            <a:lum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l-GR" sz="500" kern="1200">
              <a:latin typeface="Arial Narrow" pitchFamily="34" charset="0"/>
            </a:rPr>
            <a:t>Σχεδιασμός ανάπτυξη και εποπτεια υποδομών</a:t>
          </a:r>
        </a:p>
      </dsp:txBody>
      <dsp:txXfrm>
        <a:off x="5255153" y="1470320"/>
        <a:ext cx="408546" cy="5615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0.44602</cdr:x>
      <cdr:y>0.09195</cdr:y>
    </cdr:from>
    <cdr:to>
      <cdr:x>0.55071</cdr:x>
      <cdr:y>0.31264</cdr:y>
    </cdr:to>
    <cdr:sp macro="" textlink="">
      <cdr:nvSpPr>
        <cdr:cNvPr id="4" name="3 - TextBox"/>
        <cdr:cNvSpPr txBox="1"/>
      </cdr:nvSpPr>
      <cdr:spPr>
        <a:xfrm xmlns:a="http://schemas.openxmlformats.org/drawingml/2006/main">
          <a:off x="3895726" y="381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l-GR" sz="1100"/>
        </a:p>
      </cdr:txBody>
    </cdr: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4B82-1EA0-47D4-8446-3BF51A2EC93E}">
  <ds:schemaRefs>
    <ds:schemaRef ds:uri="http://schemas.openxmlformats.org/officeDocument/2006/bibliography"/>
  </ds:schemaRefs>
</ds:datastoreItem>
</file>

<file path=customXml/itemProps2.xml><?xml version="1.0" encoding="utf-8"?>
<ds:datastoreItem xmlns:ds="http://schemas.openxmlformats.org/officeDocument/2006/customXml" ds:itemID="{D37FAAD2-70A5-4029-813C-F6A67A80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0</TotalTime>
  <Pages>45</Pages>
  <Words>32004</Words>
  <Characters>172824</Characters>
  <Application>Microsoft Office Word</Application>
  <DocSecurity>0</DocSecurity>
  <Lines>1440</Lines>
  <Paragraphs>408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pxristof</dc:creator>
  <cp:lastModifiedBy>ΛΙΑΚΟΠΟΥΛΟΥ ΧΡΙΣΤΙΝΑ</cp:lastModifiedBy>
  <cp:revision>2</cp:revision>
  <cp:lastPrinted>2018-11-20T23:33:00Z</cp:lastPrinted>
  <dcterms:created xsi:type="dcterms:W3CDTF">2018-11-21T12:50:00Z</dcterms:created>
  <dcterms:modified xsi:type="dcterms:W3CDTF">2018-11-21T12:50:00Z</dcterms:modified>
</cp:coreProperties>
</file>