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E85" w:rsidRPr="00894B13" w:rsidRDefault="00803E85" w:rsidP="00803E85">
      <w:pPr>
        <w:pStyle w:val="1"/>
      </w:pPr>
      <w:r w:rsidRPr="00894B13">
        <w:t>ΣΧΕΔΙΟ ΝΟΜΟΥ</w:t>
      </w:r>
    </w:p>
    <w:p w:rsidR="00803E85" w:rsidRPr="007A03CE" w:rsidRDefault="00803E85" w:rsidP="00803E85">
      <w:pPr>
        <w:shd w:val="clear" w:color="auto" w:fill="FFFFFF"/>
        <w:spacing w:before="120" w:after="120" w:line="240" w:lineRule="auto"/>
        <w:jc w:val="center"/>
        <w:rPr>
          <w:rFonts w:ascii="Times New Roman" w:hAnsi="Times New Roman" w:cs="Times New Roman"/>
          <w:b/>
          <w:sz w:val="25"/>
          <w:szCs w:val="25"/>
        </w:rPr>
      </w:pPr>
      <w:r w:rsidRPr="007A03CE">
        <w:rPr>
          <w:rFonts w:ascii="Times New Roman" w:hAnsi="Times New Roman" w:cs="Times New Roman"/>
          <w:b/>
          <w:sz w:val="25"/>
          <w:szCs w:val="25"/>
        </w:rPr>
        <w:t>«Τροποποίηση του άρθρου 5 τ</w:t>
      </w:r>
      <w:r>
        <w:rPr>
          <w:rFonts w:ascii="Times New Roman" w:hAnsi="Times New Roman" w:cs="Times New Roman"/>
          <w:b/>
          <w:sz w:val="25"/>
          <w:szCs w:val="25"/>
        </w:rPr>
        <w:t xml:space="preserve">ου </w:t>
      </w:r>
      <w:r w:rsidRPr="0099365A">
        <w:rPr>
          <w:rFonts w:ascii="Times New Roman" w:hAnsi="Times New Roman" w:cs="Times New Roman"/>
          <w:b/>
          <w:sz w:val="25"/>
          <w:szCs w:val="25"/>
        </w:rPr>
        <w:t>ν. 1920/1991 (Α΄ 11)</w:t>
      </w:r>
      <w:r>
        <w:rPr>
          <w:rFonts w:ascii="Times New Roman" w:hAnsi="Times New Roman" w:cs="Times New Roman"/>
          <w:b/>
          <w:sz w:val="25"/>
          <w:szCs w:val="25"/>
        </w:rPr>
        <w:t xml:space="preserve">, με τον οποίο κυρώθηκε η Πράξη Νομοθετικού Περιεχομένου </w:t>
      </w:r>
      <w:r w:rsidRPr="007A03CE">
        <w:rPr>
          <w:rFonts w:ascii="Times New Roman" w:hAnsi="Times New Roman" w:cs="Times New Roman"/>
          <w:b/>
          <w:color w:val="000000"/>
          <w:sz w:val="25"/>
          <w:szCs w:val="25"/>
          <w:lang w:eastAsia="el-GR"/>
        </w:rPr>
        <w:t>«Περί Μουσουλμάνων Θρησκευτικών Λειτουργών» (Α΄ 182)</w:t>
      </w:r>
      <w:r w:rsidRPr="007A03CE">
        <w:rPr>
          <w:rFonts w:ascii="Times New Roman" w:hAnsi="Times New Roman" w:cs="Times New Roman"/>
          <w:b/>
          <w:sz w:val="25"/>
          <w:szCs w:val="25"/>
        </w:rPr>
        <w:t>»</w:t>
      </w:r>
    </w:p>
    <w:p w:rsidR="00803E85" w:rsidRDefault="00803E85" w:rsidP="00803E85">
      <w:pPr>
        <w:shd w:val="clear" w:color="auto" w:fill="FFFFFF"/>
        <w:spacing w:before="120" w:after="120" w:line="240" w:lineRule="auto"/>
        <w:jc w:val="center"/>
        <w:rPr>
          <w:rFonts w:ascii="Calibri" w:eastAsia="Calibri" w:hAnsi="Calibri"/>
          <w:b/>
        </w:rPr>
      </w:pPr>
    </w:p>
    <w:p w:rsidR="00803E85" w:rsidRPr="00BD6A70" w:rsidRDefault="00803E85" w:rsidP="00803E85">
      <w:pPr>
        <w:shd w:val="clear" w:color="auto" w:fill="FFFFFF"/>
        <w:spacing w:before="120" w:after="120" w:line="240" w:lineRule="auto"/>
        <w:jc w:val="center"/>
        <w:rPr>
          <w:rFonts w:ascii="Calibri" w:eastAsia="Calibri" w:hAnsi="Calibri"/>
          <w:b/>
        </w:rPr>
      </w:pPr>
      <w:r>
        <w:rPr>
          <w:rFonts w:ascii="Calibri" w:eastAsia="Calibri" w:hAnsi="Calibri"/>
          <w:b/>
        </w:rPr>
        <w:t>Άρθρο μόνο</w:t>
      </w:r>
    </w:p>
    <w:p w:rsidR="00803E85" w:rsidRDefault="00803E85" w:rsidP="00803E85">
      <w:pPr>
        <w:shd w:val="clear" w:color="auto" w:fill="FFFFFF"/>
        <w:spacing w:before="120" w:after="120" w:line="240" w:lineRule="auto"/>
        <w:jc w:val="both"/>
        <w:rPr>
          <w:rFonts w:eastAsia="Times New Roman" w:cstheme="minorHAnsi"/>
          <w:color w:val="000000"/>
          <w:lang w:eastAsia="el-GR"/>
        </w:rPr>
      </w:pPr>
      <w:bookmarkStart w:id="0" w:name="_Hlk499401827"/>
      <w:r>
        <w:rPr>
          <w:rFonts w:cstheme="minorHAnsi"/>
          <w:color w:val="000000"/>
          <w:lang w:eastAsia="el-GR"/>
        </w:rPr>
        <w:t xml:space="preserve">1. Στο τέλος του άρθρου 5 </w:t>
      </w:r>
      <w:r w:rsidRPr="00E63A87">
        <w:rPr>
          <w:rFonts w:cstheme="minorHAnsi"/>
          <w:color w:val="000000"/>
          <w:lang w:eastAsia="el-GR"/>
        </w:rPr>
        <w:t>του ν. 1920/1991</w:t>
      </w:r>
      <w:r>
        <w:rPr>
          <w:rFonts w:cstheme="minorHAnsi"/>
          <w:color w:val="000000"/>
          <w:lang w:eastAsia="el-GR"/>
        </w:rPr>
        <w:t xml:space="preserve"> (Α΄ 11), με τον οποίο κυρώθηκε η από 24.12.1990 Πράξη Νομοθετικού Περιεχομένου</w:t>
      </w:r>
      <w:r w:rsidRPr="00E63A87">
        <w:rPr>
          <w:rFonts w:cstheme="minorHAnsi"/>
          <w:color w:val="000000"/>
          <w:lang w:eastAsia="el-GR"/>
        </w:rPr>
        <w:t xml:space="preserve"> </w:t>
      </w:r>
      <w:r>
        <w:rPr>
          <w:rFonts w:cstheme="minorHAnsi"/>
          <w:color w:val="000000"/>
          <w:lang w:eastAsia="el-GR"/>
        </w:rPr>
        <w:t>«Περί Μουσουλμάνων Θρησκευτικών Λειτουργών» (Α΄ 182) προστίθεται παρ. 4 ως εξής:</w:t>
      </w:r>
    </w:p>
    <w:p w:rsidR="00803E85" w:rsidRDefault="00803E85" w:rsidP="00803E85">
      <w:pPr>
        <w:shd w:val="clear" w:color="auto" w:fill="FFFFFF"/>
        <w:spacing w:before="120" w:after="120" w:line="240" w:lineRule="auto"/>
        <w:jc w:val="both"/>
        <w:rPr>
          <w:rFonts w:cstheme="minorHAnsi"/>
          <w:color w:val="000000"/>
          <w:lang w:eastAsia="el-GR"/>
        </w:rPr>
      </w:pPr>
      <w:r>
        <w:rPr>
          <w:rFonts w:cstheme="minorHAnsi"/>
          <w:color w:val="000000"/>
          <w:lang w:eastAsia="el-GR"/>
        </w:rPr>
        <w:t xml:space="preserve">«4. α. Οι υποθέσεις της παρ. 2 ρυθμίζονται από τις κοινές διατάξεις και μόνο κατ’ εξαίρεση υπάγονται στη δικαιοδοσία του Μουφτή, εφόσον αμφότερα τα </w:t>
      </w:r>
      <w:proofErr w:type="spellStart"/>
      <w:r>
        <w:rPr>
          <w:rFonts w:cstheme="minorHAnsi"/>
          <w:color w:val="000000"/>
          <w:lang w:eastAsia="el-GR"/>
        </w:rPr>
        <w:t>διάδικα</w:t>
      </w:r>
      <w:proofErr w:type="spellEnd"/>
      <w:r>
        <w:rPr>
          <w:rFonts w:cstheme="minorHAnsi"/>
          <w:color w:val="000000"/>
          <w:lang w:eastAsia="el-GR"/>
        </w:rPr>
        <w:t xml:space="preserve"> μέρη υποβάλουν σχετική αίτησή τους ενώπιον του για επίλυση της συγκεκριμένης διαφοράς κατά τον Ιερό Μουσουλμανικό Νόμο. </w:t>
      </w:r>
      <w:r w:rsidRPr="00381417">
        <w:rPr>
          <w:rFonts w:cstheme="minorHAnsi"/>
          <w:color w:val="000000"/>
          <w:lang w:eastAsia="el-GR"/>
        </w:rPr>
        <w:t>Η</w:t>
      </w:r>
      <w:r>
        <w:rPr>
          <w:rFonts w:cstheme="minorHAnsi"/>
          <w:color w:val="000000"/>
          <w:lang w:eastAsia="el-GR"/>
        </w:rPr>
        <w:t xml:space="preserve"> υπαγωγή της υπόθεσης στη δικαιοδοσία του Μουφτή είναι αμετάκλητη και αποκλείει τη δικαιοδοσία των τακτικών δικαστηρίων για τη συγκεκριμένη διαφορά. Εάν οποιοδήποτε από τα μέρη δεν επιθυμεί την υπαγωγή της υπόθεσής του στη δικαιοδοσία του Μουφτή, δύναται να προσφύγει στα πολιτικά δικαστήρια, κατά τις κοινές ουσιαστικές και δικονομικές διατάξεις, τα οποία σε κάθε περίπτωση έχουν το τεκμήριο της δικαιοδοσίας. </w:t>
      </w:r>
    </w:p>
    <w:p w:rsidR="00803E85" w:rsidRDefault="00803E85" w:rsidP="00803E85">
      <w:pPr>
        <w:shd w:val="clear" w:color="auto" w:fill="FFFFFF"/>
        <w:spacing w:before="120" w:after="120" w:line="240" w:lineRule="auto"/>
        <w:jc w:val="both"/>
        <w:rPr>
          <w:rFonts w:cstheme="minorHAnsi"/>
          <w:color w:val="000000"/>
          <w:lang w:eastAsia="el-GR"/>
        </w:rPr>
      </w:pPr>
      <w:r>
        <w:rPr>
          <w:rFonts w:cstheme="minorHAnsi"/>
          <w:color w:val="000000"/>
          <w:lang w:eastAsia="el-GR"/>
        </w:rPr>
        <w:t>β. Με προεδρικό διάταγμα που εκδίδεται με πρόταση των Υπουργών Παιδείας, Έρευνας και Θρησκευμάτων και Δικαιοσύνης, Διαφάνειας και Ανθρωπίνων Δικαιωμάτων καθορίζονται όλοι οι αναγκαίοι δικονομικοί κανόνες για τη συζήτηση της υπόθεσης ενώπιον του Μουφτή και την έκδοση των αποφάσεών του, τα θέματα οργάνωσης και λειτουργίας της σχετικής υπηρεσίας καθώς και κάθε σχετικό θέμα για την εφαρμογή του παρόντος.</w:t>
      </w:r>
    </w:p>
    <w:p w:rsidR="00803E85" w:rsidRDefault="00803E85" w:rsidP="00803E85">
      <w:pPr>
        <w:shd w:val="clear" w:color="auto" w:fill="FFFFFF"/>
        <w:spacing w:before="120" w:after="120" w:line="240" w:lineRule="auto"/>
        <w:jc w:val="both"/>
        <w:rPr>
          <w:rFonts w:cstheme="minorHAnsi"/>
          <w:color w:val="000000"/>
          <w:lang w:eastAsia="el-GR"/>
        </w:rPr>
      </w:pPr>
      <w:r>
        <w:rPr>
          <w:rFonts w:cstheme="minorHAnsi"/>
          <w:color w:val="000000"/>
          <w:lang w:eastAsia="el-GR"/>
        </w:rPr>
        <w:t xml:space="preserve"> γ. Οι κληρονομικές σχέσεις των μελών της μουσουλμανικής μειονότητας της Θράκης ρυθμίζονται από τις διατάξεις του Αστικού Κώδικα, εκτός εάν ο διαθέτης συντάξει ενώπιον συμβολαιογράφου δήλωση τελευταίας βούλησης, κατά τον τύπο της δημόσιας διαθήκης, με αποκλειστικό περιεχόμενό της τη ρητή επιθυμία του να υπαχθεί η κληρονομική του διαδοχή στον Ιερό Μουσουλμανικό Νόμο. Η δήλωση αυτή είναι ελεύθερα ανακλητή, είτε με μεταγενέστερη αντίθετη δήλωσή του ενώπιον συμβολαιογράφου είτε με σύνταξη μεταγενέστερης διαθήκης, κατά τους όρους του Αστικού Κώδικα. Ταυτόχρονη εφαρμογή του Αστικού Κώδικα και του Ιερού Μουσουλμανικού Νόμου στην κληρονομική περιουσία ή σε ποσοστό ή και σε διακεκριμένα στοιχεία αυτής απαγορεύεται. </w:t>
      </w:r>
    </w:p>
    <w:p w:rsidR="00803E85" w:rsidRDefault="00803E85" w:rsidP="00803E85">
      <w:pPr>
        <w:jc w:val="both"/>
        <w:rPr>
          <w:rFonts w:cstheme="minorHAnsi"/>
          <w:color w:val="000000"/>
          <w:lang w:eastAsia="el-GR"/>
        </w:rPr>
      </w:pPr>
      <w:r w:rsidRPr="00F8304D">
        <w:rPr>
          <w:rFonts w:cstheme="minorHAnsi"/>
          <w:b/>
          <w:color w:val="000000"/>
          <w:lang w:eastAsia="el-GR"/>
        </w:rPr>
        <w:t>2.</w:t>
      </w:r>
      <w:r>
        <w:rPr>
          <w:rFonts w:cstheme="minorHAnsi"/>
          <w:color w:val="000000"/>
          <w:lang w:eastAsia="el-GR"/>
        </w:rPr>
        <w:t xml:space="preserve"> Μέχρι την έναρξη ισχύος της </w:t>
      </w:r>
      <w:proofErr w:type="spellStart"/>
      <w:r>
        <w:rPr>
          <w:rFonts w:cstheme="minorHAnsi"/>
          <w:color w:val="000000"/>
          <w:lang w:eastAsia="el-GR"/>
        </w:rPr>
        <w:t>περίπτ</w:t>
      </w:r>
      <w:proofErr w:type="spellEnd"/>
      <w:r>
        <w:rPr>
          <w:rFonts w:cstheme="minorHAnsi"/>
          <w:color w:val="000000"/>
          <w:lang w:eastAsia="el-GR"/>
        </w:rPr>
        <w:t>. α’ της παρ. 4 του άρθρου 5 του ν. 1920/1991, ο Μουφτής επιλαμβάνεται των υποθέσεων που άγονται κοινή συναινέσει ενώπιον του, τηρουμένης της υφιστάμενης κατά το χρόνο δημοσίευσης του παρόντος διαδικασίας. Διαθήκες που έχουν συνταχθεί πριν την έναρξη ισχύος του παρόντος και δεν έχει επέλθει κληρονομική διαδοχή αναπτύσσουν κανονικά τις έννομες συνέπειές τους κατά το χρόνο επαγωγής».</w:t>
      </w:r>
      <w:bookmarkEnd w:id="0"/>
    </w:p>
    <w:p w:rsidR="00803E85" w:rsidRDefault="00803E85" w:rsidP="00803E85">
      <w:pPr>
        <w:jc w:val="both"/>
        <w:rPr>
          <w:rFonts w:cstheme="minorHAnsi"/>
          <w:color w:val="000000"/>
          <w:lang w:eastAsia="el-GR"/>
        </w:rPr>
      </w:pPr>
      <w:r w:rsidRPr="00F8304D">
        <w:rPr>
          <w:rFonts w:cstheme="minorHAnsi"/>
          <w:b/>
          <w:color w:val="000000"/>
          <w:lang w:eastAsia="el-GR"/>
        </w:rPr>
        <w:t>3.</w:t>
      </w:r>
      <w:r>
        <w:rPr>
          <w:rFonts w:cstheme="minorHAnsi"/>
          <w:color w:val="000000"/>
          <w:lang w:eastAsia="el-GR"/>
        </w:rPr>
        <w:t xml:space="preserve"> Στη παρ. 2 του άρθρου 5 </w:t>
      </w:r>
      <w:r w:rsidRPr="003E7BDD">
        <w:rPr>
          <w:rFonts w:cstheme="minorHAnsi"/>
          <w:color w:val="000000"/>
          <w:lang w:eastAsia="el-GR"/>
        </w:rPr>
        <w:t>του ν. 1920/1991</w:t>
      </w:r>
      <w:r>
        <w:rPr>
          <w:rFonts w:cstheme="minorHAnsi"/>
          <w:color w:val="000000"/>
          <w:lang w:eastAsia="el-GR"/>
        </w:rPr>
        <w:t xml:space="preserve"> μετά τη φράση «Ο Μουφτής ασκεί δικαιοδοσία» προστίθεται η φράση «, </w:t>
      </w:r>
      <w:r w:rsidRPr="00D10D9D">
        <w:rPr>
          <w:rFonts w:cstheme="minorHAnsi"/>
          <w:color w:val="000000"/>
          <w:lang w:eastAsia="el-GR"/>
        </w:rPr>
        <w:t>υπό τις προϋποθέσεις και τις διαδικασίες που ορίζονται στη</w:t>
      </w:r>
      <w:r>
        <w:rPr>
          <w:rFonts w:cstheme="minorHAnsi"/>
          <w:color w:val="000000"/>
          <w:lang w:eastAsia="el-GR"/>
        </w:rPr>
        <w:t>ν</w:t>
      </w:r>
      <w:r w:rsidRPr="00D10D9D">
        <w:rPr>
          <w:rFonts w:cstheme="minorHAnsi"/>
          <w:color w:val="000000"/>
          <w:lang w:eastAsia="el-GR"/>
        </w:rPr>
        <w:t xml:space="preserve"> παρ</w:t>
      </w:r>
      <w:r>
        <w:rPr>
          <w:rFonts w:cstheme="minorHAnsi"/>
          <w:color w:val="000000"/>
          <w:lang w:eastAsia="el-GR"/>
        </w:rPr>
        <w:t>.</w:t>
      </w:r>
      <w:r w:rsidRPr="00D10D9D">
        <w:rPr>
          <w:rFonts w:cstheme="minorHAnsi"/>
          <w:color w:val="000000"/>
          <w:lang w:eastAsia="el-GR"/>
        </w:rPr>
        <w:t xml:space="preserve"> 4</w:t>
      </w:r>
      <w:r>
        <w:rPr>
          <w:rFonts w:cstheme="minorHAnsi"/>
          <w:color w:val="000000"/>
          <w:lang w:eastAsia="el-GR"/>
        </w:rPr>
        <w:t>,».</w:t>
      </w:r>
    </w:p>
    <w:p w:rsidR="00FF505E" w:rsidRDefault="00803E85" w:rsidP="0053558A">
      <w:pPr>
        <w:jc w:val="both"/>
      </w:pPr>
      <w:r w:rsidRPr="00F8304D">
        <w:rPr>
          <w:rFonts w:cstheme="minorHAnsi"/>
          <w:b/>
          <w:color w:val="000000"/>
          <w:lang w:eastAsia="el-GR"/>
        </w:rPr>
        <w:t>4.</w:t>
      </w:r>
      <w:r>
        <w:rPr>
          <w:rFonts w:cstheme="minorHAnsi"/>
          <w:color w:val="000000"/>
          <w:lang w:eastAsia="el-GR"/>
        </w:rPr>
        <w:t xml:space="preserve"> Η ισχύς της </w:t>
      </w:r>
      <w:proofErr w:type="spellStart"/>
      <w:r>
        <w:rPr>
          <w:rFonts w:cstheme="minorHAnsi"/>
          <w:color w:val="000000"/>
          <w:lang w:eastAsia="el-GR"/>
        </w:rPr>
        <w:t>περίπτ</w:t>
      </w:r>
      <w:proofErr w:type="spellEnd"/>
      <w:r>
        <w:rPr>
          <w:rFonts w:cstheme="minorHAnsi"/>
          <w:color w:val="000000"/>
          <w:lang w:eastAsia="el-GR"/>
        </w:rPr>
        <w:t xml:space="preserve">. α’ της παρ. 4 του άρθρου 5 </w:t>
      </w:r>
      <w:r w:rsidRPr="003E7BDD">
        <w:rPr>
          <w:rFonts w:cstheme="minorHAnsi"/>
          <w:color w:val="000000"/>
          <w:lang w:eastAsia="el-GR"/>
        </w:rPr>
        <w:t xml:space="preserve">του ν. 1920/1991 </w:t>
      </w:r>
      <w:proofErr w:type="spellStart"/>
      <w:r>
        <w:rPr>
          <w:rFonts w:cstheme="minorHAnsi"/>
          <w:color w:val="000000"/>
          <w:lang w:eastAsia="el-GR"/>
        </w:rPr>
        <w:t>άρχεται</w:t>
      </w:r>
      <w:proofErr w:type="spellEnd"/>
      <w:r>
        <w:rPr>
          <w:rFonts w:cstheme="minorHAnsi"/>
          <w:color w:val="000000"/>
          <w:lang w:eastAsia="el-GR"/>
        </w:rPr>
        <w:t xml:space="preserve"> από τη δημοσίευση του προβλεπόμενου στην </w:t>
      </w:r>
      <w:proofErr w:type="spellStart"/>
      <w:r>
        <w:rPr>
          <w:rFonts w:cstheme="minorHAnsi"/>
          <w:color w:val="000000"/>
          <w:lang w:eastAsia="el-GR"/>
        </w:rPr>
        <w:t>περίπτ</w:t>
      </w:r>
      <w:proofErr w:type="spellEnd"/>
      <w:r>
        <w:rPr>
          <w:rFonts w:cstheme="minorHAnsi"/>
          <w:color w:val="000000"/>
          <w:lang w:eastAsia="el-GR"/>
        </w:rPr>
        <w:t xml:space="preserve">. β΄ προεδρικού διατάγματος. Κατά τα λοιπά, η ισχύς του παρόντος </w:t>
      </w:r>
      <w:proofErr w:type="spellStart"/>
      <w:r>
        <w:rPr>
          <w:rFonts w:cstheme="minorHAnsi"/>
          <w:color w:val="000000"/>
          <w:lang w:eastAsia="el-GR"/>
        </w:rPr>
        <w:t>άρχεται</w:t>
      </w:r>
      <w:proofErr w:type="spellEnd"/>
      <w:r>
        <w:rPr>
          <w:rFonts w:cstheme="minorHAnsi"/>
          <w:color w:val="000000"/>
          <w:lang w:eastAsia="el-GR"/>
        </w:rPr>
        <w:t xml:space="preserve"> από τη δημοσίευσή του.</w:t>
      </w:r>
      <w:bookmarkStart w:id="1" w:name="_GoBack"/>
      <w:bookmarkEnd w:id="1"/>
    </w:p>
    <w:sectPr w:rsidR="00FF505E">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91A" w:rsidRDefault="00D9291A">
      <w:pPr>
        <w:spacing w:after="0" w:line="240" w:lineRule="auto"/>
      </w:pPr>
      <w:r>
        <w:separator/>
      </w:r>
    </w:p>
  </w:endnote>
  <w:endnote w:type="continuationSeparator" w:id="0">
    <w:p w:rsidR="00D9291A" w:rsidRDefault="00D9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91A" w:rsidRDefault="00D9291A">
      <w:pPr>
        <w:spacing w:after="0" w:line="240" w:lineRule="auto"/>
      </w:pPr>
      <w:r>
        <w:separator/>
      </w:r>
    </w:p>
  </w:footnote>
  <w:footnote w:type="continuationSeparator" w:id="0">
    <w:p w:rsidR="00D9291A" w:rsidRDefault="00D92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698383"/>
      <w:docPartObj>
        <w:docPartGallery w:val="Page Numbers (Top of Page)"/>
        <w:docPartUnique/>
      </w:docPartObj>
    </w:sdtPr>
    <w:sdtEndPr/>
    <w:sdtContent>
      <w:p w:rsidR="00644CEE" w:rsidRDefault="00803E85">
        <w:pPr>
          <w:pStyle w:val="a3"/>
          <w:jc w:val="right"/>
        </w:pPr>
        <w:r>
          <w:fldChar w:fldCharType="begin"/>
        </w:r>
        <w:r>
          <w:instrText>PAGE   \* MERGEFORMAT</w:instrText>
        </w:r>
        <w:r>
          <w:fldChar w:fldCharType="separate"/>
        </w:r>
        <w:r w:rsidR="0053558A">
          <w:rPr>
            <w:noProof/>
          </w:rPr>
          <w:t>1</w:t>
        </w:r>
        <w:r>
          <w:fldChar w:fldCharType="end"/>
        </w:r>
      </w:p>
    </w:sdtContent>
  </w:sdt>
  <w:p w:rsidR="00644CEE" w:rsidRDefault="00D929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B28"/>
    <w:rsid w:val="0053558A"/>
    <w:rsid w:val="006F0032"/>
    <w:rsid w:val="00803E85"/>
    <w:rsid w:val="00904B28"/>
    <w:rsid w:val="00C44D16"/>
    <w:rsid w:val="00D9291A"/>
    <w:rsid w:val="00EE3A16"/>
    <w:rsid w:val="00FF50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7E9BA-A8B3-4CC9-AACC-374B6E96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3E85"/>
  </w:style>
  <w:style w:type="paragraph" w:styleId="1">
    <w:name w:val="heading 1"/>
    <w:basedOn w:val="a"/>
    <w:next w:val="a"/>
    <w:link w:val="1Char"/>
    <w:uiPriority w:val="9"/>
    <w:qFormat/>
    <w:rsid w:val="00803E85"/>
    <w:pPr>
      <w:keepNext/>
      <w:suppressAutoHyphens/>
      <w:spacing w:before="240" w:after="60" w:line="276" w:lineRule="auto"/>
      <w:jc w:val="center"/>
      <w:outlineLvl w:val="0"/>
    </w:pPr>
    <w:rPr>
      <w:rFonts w:ascii="Cambria" w:eastAsia="Times New Roman" w:hAnsi="Cambria" w:cs="Times New Roman"/>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03E85"/>
    <w:rPr>
      <w:rFonts w:ascii="Cambria" w:eastAsia="Times New Roman" w:hAnsi="Cambria" w:cs="Times New Roman"/>
      <w:b/>
      <w:bCs/>
      <w:kern w:val="32"/>
      <w:sz w:val="32"/>
      <w:szCs w:val="32"/>
      <w:lang w:eastAsia="zh-CN"/>
    </w:rPr>
  </w:style>
  <w:style w:type="paragraph" w:styleId="a3">
    <w:name w:val="header"/>
    <w:basedOn w:val="a"/>
    <w:link w:val="Char"/>
    <w:uiPriority w:val="99"/>
    <w:unhideWhenUsed/>
    <w:rsid w:val="00803E85"/>
    <w:pPr>
      <w:tabs>
        <w:tab w:val="center" w:pos="4153"/>
        <w:tab w:val="right" w:pos="8306"/>
      </w:tabs>
      <w:spacing w:after="0" w:line="240" w:lineRule="auto"/>
    </w:pPr>
  </w:style>
  <w:style w:type="character" w:customStyle="1" w:styleId="Char">
    <w:name w:val="Κεφαλίδα Char"/>
    <w:basedOn w:val="a0"/>
    <w:link w:val="a3"/>
    <w:uiPriority w:val="99"/>
    <w:rsid w:val="0080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2549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Κουκούτσης Γεώργιος</dc:creator>
  <cp:keywords/>
  <dc:description/>
  <cp:lastModifiedBy>ΓΕΩΡΓΙΟΣ ΚΑΛΑΝΤΖΗΣ</cp:lastModifiedBy>
  <cp:revision>3</cp:revision>
  <dcterms:created xsi:type="dcterms:W3CDTF">2017-12-04T10:58:00Z</dcterms:created>
  <dcterms:modified xsi:type="dcterms:W3CDTF">2017-12-04T10:58:00Z</dcterms:modified>
</cp:coreProperties>
</file>