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418"/>
        <w:gridCol w:w="6804"/>
        <w:gridCol w:w="1418"/>
      </w:tblGrid>
      <w:tr w:rsidR="00050BDF" w:rsidRPr="00DE045C" w:rsidTr="009811E0">
        <w:tc>
          <w:tcPr>
            <w:tcW w:w="1418" w:type="dxa"/>
          </w:tcPr>
          <w:p w:rsidR="00050BDF" w:rsidRPr="00DE045C" w:rsidRDefault="00050BDF" w:rsidP="00FF16BD">
            <w:pPr>
              <w:tabs>
                <w:tab w:val="left" w:pos="690"/>
              </w:tabs>
              <w:spacing w:after="0"/>
              <w:rPr>
                <w:lang w:eastAsia="el-GR"/>
              </w:rPr>
            </w:pPr>
          </w:p>
        </w:tc>
        <w:tc>
          <w:tcPr>
            <w:tcW w:w="6804" w:type="dxa"/>
          </w:tcPr>
          <w:p w:rsidR="00050BDF" w:rsidRPr="009307C3" w:rsidRDefault="0029261F" w:rsidP="00B642F2">
            <w:pPr>
              <w:spacing w:before="100" w:beforeAutospacing="1" w:after="100" w:afterAutospacing="1"/>
              <w:jc w:val="center"/>
              <w:outlineLvl w:val="0"/>
              <w:rPr>
                <w:sz w:val="28"/>
                <w:szCs w:val="28"/>
                <w:lang w:eastAsia="el-GR"/>
              </w:rPr>
            </w:pPr>
            <w:r>
              <w:rPr>
                <w:rFonts w:eastAsia="Times New Roman"/>
                <w:b/>
                <w:bCs/>
                <w:kern w:val="36"/>
                <w:sz w:val="28"/>
                <w:szCs w:val="28"/>
                <w:lang w:eastAsia="el-GR"/>
              </w:rPr>
              <w:t>Πρόγραμμα Δημοσίων Κληρώσεων</w:t>
            </w:r>
          </w:p>
        </w:tc>
        <w:tc>
          <w:tcPr>
            <w:tcW w:w="1418" w:type="dxa"/>
          </w:tcPr>
          <w:p w:rsidR="00050BDF" w:rsidRPr="00DE045C" w:rsidRDefault="00050BDF" w:rsidP="00DE045C">
            <w:pPr>
              <w:spacing w:after="0"/>
              <w:rPr>
                <w:lang w:eastAsia="el-GR"/>
              </w:rPr>
            </w:pPr>
          </w:p>
        </w:tc>
      </w:tr>
    </w:tbl>
    <w:p w:rsidR="00050BDF" w:rsidRPr="00050BDF" w:rsidRDefault="00050BDF" w:rsidP="001B1ECD">
      <w:pPr>
        <w:spacing w:after="0"/>
        <w:rPr>
          <w:lang w:eastAsia="el-GR"/>
        </w:rPr>
      </w:pPr>
    </w:p>
    <w:tbl>
      <w:tblPr>
        <w:tblW w:w="9606" w:type="dxa"/>
        <w:tblLayout w:type="fixed"/>
        <w:tblLook w:val="04A0" w:firstRow="1" w:lastRow="0" w:firstColumn="1" w:lastColumn="0" w:noHBand="0" w:noVBand="1"/>
      </w:tblPr>
      <w:tblGrid>
        <w:gridCol w:w="9606"/>
      </w:tblGrid>
      <w:tr w:rsidR="00FF16BD" w:rsidRPr="00DE045C" w:rsidTr="00FF16BD">
        <w:trPr>
          <w:trHeight w:hRule="exact" w:val="90"/>
        </w:trPr>
        <w:tc>
          <w:tcPr>
            <w:tcW w:w="9606" w:type="dxa"/>
            <w:shd w:val="clear" w:color="auto" w:fill="D9D9D9"/>
          </w:tcPr>
          <w:p w:rsidR="00FF16BD" w:rsidRPr="002F0D78" w:rsidRDefault="00FF16BD" w:rsidP="002F0D78">
            <w:pPr>
              <w:spacing w:after="0"/>
              <w:jc w:val="both"/>
              <w:rPr>
                <w:rFonts w:cs="Calibri"/>
              </w:rPr>
            </w:pPr>
          </w:p>
        </w:tc>
      </w:tr>
      <w:tr w:rsidR="00FF16BD" w:rsidRPr="009811E0" w:rsidTr="00FF16BD">
        <w:trPr>
          <w:trHeight w:val="680"/>
        </w:trPr>
        <w:tc>
          <w:tcPr>
            <w:tcW w:w="9606" w:type="dxa"/>
          </w:tcPr>
          <w:p w:rsidR="00184DD9" w:rsidRPr="0061132C" w:rsidRDefault="00184DD9" w:rsidP="009811E0">
            <w:pPr>
              <w:spacing w:after="0"/>
              <w:jc w:val="both"/>
            </w:pPr>
          </w:p>
          <w:p w:rsidR="00184DD9" w:rsidRPr="00CE62F4" w:rsidRDefault="0029261F" w:rsidP="009811E0">
            <w:pPr>
              <w:spacing w:after="0"/>
              <w:jc w:val="both"/>
              <w:rPr>
                <w:sz w:val="24"/>
                <w:szCs w:val="24"/>
              </w:rPr>
            </w:pPr>
            <w:r w:rsidRPr="00CE62F4">
              <w:rPr>
                <w:noProof/>
                <w:sz w:val="24"/>
                <w:szCs w:val="24"/>
                <w:lang w:eastAsia="el-GR"/>
              </w:rPr>
              <w:t>Η Ανεξάρτητη Αρχή Δημοσίων Εσόδων</w:t>
            </w:r>
            <w:r w:rsidR="0061132C" w:rsidRPr="00CE62F4">
              <w:rPr>
                <w:noProof/>
                <w:sz w:val="24"/>
                <w:szCs w:val="24"/>
                <w:lang w:eastAsia="el-GR"/>
              </w:rPr>
              <w:t xml:space="preserve"> (Α.Α.Δ.Ε.)</w:t>
            </w:r>
            <w:r w:rsidRPr="00CE62F4">
              <w:rPr>
                <w:noProof/>
                <w:sz w:val="24"/>
                <w:szCs w:val="24"/>
                <w:lang w:eastAsia="el-GR"/>
              </w:rPr>
              <w:t xml:space="preserve"> </w:t>
            </w:r>
            <w:r w:rsidR="0061132C" w:rsidRPr="00CE62F4">
              <w:rPr>
                <w:noProof/>
                <w:sz w:val="24"/>
                <w:szCs w:val="24"/>
                <w:lang w:eastAsia="el-GR"/>
              </w:rPr>
              <w:t xml:space="preserve">είναι υπεύθυνη για τη διενέργεια του Προγράμματος Δημοσίων Κληρώσεων (λοταρία). Φορέας υλοποίησης της διαδικασίας έχει οριστεί η Διεύθυνση Ηλεκτρονικής Διακυβέρνησης </w:t>
            </w:r>
            <w:r w:rsidR="003B7D4F" w:rsidRPr="00CE62F4">
              <w:rPr>
                <w:noProof/>
                <w:sz w:val="24"/>
                <w:szCs w:val="24"/>
                <w:lang w:eastAsia="el-GR"/>
              </w:rPr>
              <w:t xml:space="preserve">(Δ.ΗΛΕ.Δ.) </w:t>
            </w:r>
            <w:r w:rsidR="0061132C" w:rsidRPr="00CE62F4">
              <w:rPr>
                <w:noProof/>
                <w:sz w:val="24"/>
                <w:szCs w:val="24"/>
                <w:lang w:eastAsia="el-GR"/>
              </w:rPr>
              <w:t xml:space="preserve">της </w:t>
            </w:r>
            <w:r w:rsidR="003B7D4F" w:rsidRPr="00CE62F4">
              <w:rPr>
                <w:noProof/>
                <w:sz w:val="24"/>
                <w:szCs w:val="24"/>
                <w:lang w:eastAsia="el-GR"/>
              </w:rPr>
              <w:t>Α.Α.Δ.Ε.</w:t>
            </w:r>
            <w:r w:rsidR="0065756E" w:rsidRPr="00CE62F4">
              <w:rPr>
                <w:noProof/>
                <w:sz w:val="24"/>
                <w:szCs w:val="24"/>
                <w:lang w:eastAsia="el-GR"/>
              </w:rPr>
              <w:t xml:space="preserve"> Στις Δημόσιες Κληρώσεις, έχουν δικαίωμα συμμετοχής τα Φυσικά Πρόσωπα που διαθέτουν Α.Φ.Μ. και είναι άνω των 18 ετών.</w:t>
            </w:r>
          </w:p>
          <w:p w:rsidR="00184DD9" w:rsidRPr="00CE62F4" w:rsidRDefault="00184DD9" w:rsidP="009811E0">
            <w:pPr>
              <w:spacing w:after="0"/>
              <w:jc w:val="both"/>
              <w:rPr>
                <w:sz w:val="24"/>
                <w:szCs w:val="24"/>
              </w:rPr>
            </w:pPr>
          </w:p>
          <w:p w:rsidR="00221905" w:rsidRPr="00CE62F4" w:rsidRDefault="003B7D4F" w:rsidP="009811E0">
            <w:pPr>
              <w:spacing w:after="0"/>
              <w:jc w:val="both"/>
              <w:outlineLvl w:val="0"/>
              <w:rPr>
                <w:b/>
                <w:spacing w:val="10"/>
                <w:sz w:val="24"/>
                <w:szCs w:val="24"/>
                <w:u w:val="single"/>
              </w:rPr>
            </w:pPr>
            <w:r w:rsidRPr="00CE62F4">
              <w:rPr>
                <w:b/>
                <w:spacing w:val="10"/>
                <w:sz w:val="24"/>
                <w:szCs w:val="24"/>
                <w:u w:val="single"/>
              </w:rPr>
              <w:t>Λαχνοί</w:t>
            </w:r>
          </w:p>
          <w:p w:rsidR="00A346CC" w:rsidRDefault="00A346CC" w:rsidP="0065756E">
            <w:pPr>
              <w:spacing w:after="0"/>
              <w:jc w:val="both"/>
              <w:outlineLvl w:val="0"/>
              <w:rPr>
                <w:rFonts w:cs="Arial"/>
                <w:sz w:val="24"/>
                <w:szCs w:val="24"/>
              </w:rPr>
            </w:pPr>
          </w:p>
          <w:p w:rsidR="00C55E91" w:rsidRPr="00A346CC" w:rsidRDefault="003B7D4F" w:rsidP="0065756E">
            <w:pPr>
              <w:spacing w:after="0"/>
              <w:jc w:val="both"/>
              <w:outlineLvl w:val="0"/>
              <w:rPr>
                <w:rFonts w:cs="Arial"/>
                <w:sz w:val="24"/>
                <w:szCs w:val="24"/>
              </w:rPr>
            </w:pPr>
            <w:r w:rsidRPr="00CE62F4">
              <w:rPr>
                <w:rFonts w:cs="Arial"/>
                <w:sz w:val="24"/>
                <w:szCs w:val="24"/>
              </w:rPr>
              <w:t>Η Δ.ΗΛΕ.Δ., μέσω των Παρόχων Υπηρεσιών Πληρωμών, μέχρι το τέλος του δεύτερου δεκαημέρου του εκάστοτε επόμενου μήνα, συγκεντρώνει τα στοιχεία των συναλλαγών του εκάστοτε προηγούμενου μήνα και τα μετατρέπει σε λαχνούς. Συναλλαγές οι οποίες για οποιονδήποτε λόγο δεν έχουν εκκαθαριστεί, οι λαχνοί που αντιστοιχούν σε αυτέ</w:t>
            </w:r>
            <w:r w:rsidR="00D76124">
              <w:rPr>
                <w:rFonts w:cs="Arial"/>
                <w:sz w:val="24"/>
                <w:szCs w:val="24"/>
              </w:rPr>
              <w:t xml:space="preserve">ς, </w:t>
            </w:r>
            <w:r w:rsidRPr="00CE62F4">
              <w:rPr>
                <w:rFonts w:cs="Arial"/>
                <w:sz w:val="24"/>
                <w:szCs w:val="24"/>
              </w:rPr>
              <w:t>σε καμία περίπτωση δε χάνονται και άμα την εκκαθάρισή τους, λαμβάνονται υπόψη για την επόμενη κλήρωση.</w:t>
            </w:r>
            <w:r w:rsidR="006924E5" w:rsidRPr="00CE62F4">
              <w:rPr>
                <w:rFonts w:cs="Arial"/>
                <w:sz w:val="24"/>
                <w:szCs w:val="24"/>
              </w:rPr>
              <w:t xml:space="preserve"> </w:t>
            </w:r>
            <w:r w:rsidR="00D76124">
              <w:rPr>
                <w:rFonts w:cs="Arial"/>
                <w:sz w:val="24"/>
                <w:szCs w:val="24"/>
              </w:rPr>
              <w:t>Το πλήθος των λαχνών προσδιορίζεται κλιμακωτά, με βάση το άθροισμα των ποσών που αντιστοιχούν στο σύνολο των μηνιαίων συναλλαγών που λαμβάνονται υπόψη στο Πρόγραμμα Δημοσίων Κληρώσεων, ως εξής</w:t>
            </w:r>
            <w:r w:rsidR="00D76124" w:rsidRPr="00D76124">
              <w:rPr>
                <w:rFonts w:cs="Arial"/>
                <w:sz w:val="24"/>
                <w:szCs w:val="24"/>
              </w:rPr>
              <w:t>:</w:t>
            </w:r>
          </w:p>
          <w:p w:rsidR="00A346CC" w:rsidRDefault="00A346CC" w:rsidP="00A346CC">
            <w:pPr>
              <w:pStyle w:val="a7"/>
              <w:spacing w:after="0"/>
              <w:jc w:val="both"/>
              <w:outlineLvl w:val="0"/>
              <w:rPr>
                <w:rFonts w:cs="Arial"/>
                <w:sz w:val="24"/>
                <w:szCs w:val="24"/>
              </w:rPr>
            </w:pPr>
          </w:p>
          <w:p w:rsidR="00D76124" w:rsidRDefault="00D76124" w:rsidP="00D76124">
            <w:pPr>
              <w:pStyle w:val="a7"/>
              <w:numPr>
                <w:ilvl w:val="0"/>
                <w:numId w:val="28"/>
              </w:numPr>
              <w:spacing w:after="0"/>
              <w:jc w:val="both"/>
              <w:outlineLvl w:val="0"/>
              <w:rPr>
                <w:rFonts w:cs="Arial"/>
                <w:sz w:val="24"/>
                <w:szCs w:val="24"/>
              </w:rPr>
            </w:pPr>
            <w:r>
              <w:rPr>
                <w:rFonts w:cs="Arial"/>
                <w:sz w:val="24"/>
                <w:szCs w:val="24"/>
              </w:rPr>
              <w:t>Για συνολικό άθροισμα μέχρι εκατό (100) ευρώ, ένας (1) λαχνός για κάθε ένα (1) ευρώ.</w:t>
            </w:r>
          </w:p>
          <w:p w:rsidR="00D76124" w:rsidRDefault="00D76124" w:rsidP="00D76124">
            <w:pPr>
              <w:pStyle w:val="a7"/>
              <w:numPr>
                <w:ilvl w:val="0"/>
                <w:numId w:val="28"/>
              </w:numPr>
              <w:spacing w:after="0"/>
              <w:jc w:val="both"/>
              <w:outlineLvl w:val="0"/>
              <w:rPr>
                <w:rFonts w:cs="Arial"/>
                <w:sz w:val="24"/>
                <w:szCs w:val="24"/>
              </w:rPr>
            </w:pPr>
            <w:r>
              <w:rPr>
                <w:rFonts w:cs="Arial"/>
                <w:sz w:val="24"/>
                <w:szCs w:val="24"/>
              </w:rPr>
              <w:t>Για τα επόμενα τετρακόσια (400) ευρώ, ήτοι συνολικό άθροισμα από εκατόν ένα (101) ευρώ μέχρι πεντακόσια (500) ευρώ, ένας (1) λαχνός για κάθε δύο (2) ευρώ.</w:t>
            </w:r>
          </w:p>
          <w:p w:rsidR="00D76124" w:rsidRDefault="00D76124" w:rsidP="00D76124">
            <w:pPr>
              <w:pStyle w:val="a7"/>
              <w:numPr>
                <w:ilvl w:val="0"/>
                <w:numId w:val="28"/>
              </w:numPr>
              <w:spacing w:after="0"/>
              <w:jc w:val="both"/>
              <w:outlineLvl w:val="0"/>
              <w:rPr>
                <w:rFonts w:cs="Arial"/>
                <w:sz w:val="24"/>
                <w:szCs w:val="24"/>
              </w:rPr>
            </w:pPr>
            <w:r>
              <w:rPr>
                <w:rFonts w:cs="Arial"/>
                <w:sz w:val="24"/>
                <w:szCs w:val="24"/>
              </w:rPr>
              <w:t>Για τα επόμενα πεντακόσια (500) ευρώ, ήτοι συνολικό άθροισμα από πεντακόσια ένα (501) ευρώ μέχρι χίλια (1.000) ευρώ, ένας (1) λαχνός για κάθε τρία (3) ευρώ.</w:t>
            </w:r>
          </w:p>
          <w:p w:rsidR="00D76124" w:rsidRDefault="00C55E91" w:rsidP="0065756E">
            <w:pPr>
              <w:pStyle w:val="a7"/>
              <w:numPr>
                <w:ilvl w:val="0"/>
                <w:numId w:val="28"/>
              </w:numPr>
              <w:spacing w:after="0"/>
              <w:jc w:val="both"/>
              <w:outlineLvl w:val="0"/>
              <w:rPr>
                <w:rFonts w:cs="Arial"/>
                <w:sz w:val="24"/>
                <w:szCs w:val="24"/>
              </w:rPr>
            </w:pPr>
            <w:r>
              <w:rPr>
                <w:rFonts w:cs="Arial"/>
                <w:sz w:val="24"/>
                <w:szCs w:val="24"/>
              </w:rPr>
              <w:t>Για το υπερβάλλον ποσό, ήτοι συνολικό άθροισμα πάνω από χίλια ένα (1.001) ευρώ, ένας (1) λαχνός για κάθε τέσσερα (4) ευρώ.</w:t>
            </w:r>
          </w:p>
          <w:p w:rsidR="00A346CC" w:rsidRDefault="00A346CC" w:rsidP="00956D8D">
            <w:pPr>
              <w:spacing w:after="0"/>
              <w:jc w:val="both"/>
              <w:outlineLvl w:val="0"/>
              <w:rPr>
                <w:rFonts w:cs="Arial"/>
                <w:sz w:val="24"/>
                <w:szCs w:val="24"/>
              </w:rPr>
            </w:pPr>
          </w:p>
          <w:p w:rsidR="00956D8D" w:rsidRPr="00956D8D" w:rsidRDefault="00956D8D" w:rsidP="00956D8D">
            <w:pPr>
              <w:spacing w:after="0"/>
              <w:jc w:val="both"/>
              <w:outlineLvl w:val="0"/>
              <w:rPr>
                <w:rFonts w:cs="Arial"/>
                <w:sz w:val="24"/>
                <w:szCs w:val="24"/>
              </w:rPr>
            </w:pPr>
            <w:r>
              <w:rPr>
                <w:rFonts w:cs="Arial"/>
                <w:sz w:val="24"/>
                <w:szCs w:val="24"/>
              </w:rPr>
              <w:t xml:space="preserve">Π.χ. για συνολικό άθροισμα συναλλαγών τριακοσίων (300) ευρώ, αντιστοιχούν </w:t>
            </w:r>
            <w:r w:rsidR="00A346CC">
              <w:rPr>
                <w:rFonts w:cs="Arial"/>
                <w:sz w:val="24"/>
                <w:szCs w:val="24"/>
              </w:rPr>
              <w:t>διακόσιοι (200) λαχνοί. Οι εκατό (100) προκύπτουν από τα πρώτα εκατό (100) ευρώ και οι επόμενοι εκατό (100) από τα υπόλοιπα διακόσια (200) ευρώ.</w:t>
            </w:r>
          </w:p>
          <w:p w:rsidR="00C55E91" w:rsidRPr="005D13EE" w:rsidRDefault="00C55E91"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5D13EE" w:rsidRDefault="006A22E0" w:rsidP="0065756E">
            <w:pPr>
              <w:spacing w:after="0"/>
              <w:jc w:val="both"/>
              <w:outlineLvl w:val="0"/>
              <w:rPr>
                <w:rFonts w:cs="Arial"/>
                <w:sz w:val="24"/>
                <w:szCs w:val="24"/>
              </w:rPr>
            </w:pPr>
          </w:p>
          <w:p w:rsidR="006A22E0" w:rsidRPr="006A22E0" w:rsidRDefault="006924E5" w:rsidP="0065756E">
            <w:pPr>
              <w:spacing w:after="0"/>
              <w:jc w:val="both"/>
              <w:outlineLvl w:val="0"/>
              <w:rPr>
                <w:rFonts w:cs="Arial"/>
                <w:sz w:val="24"/>
                <w:szCs w:val="24"/>
              </w:rPr>
            </w:pPr>
            <w:r w:rsidRPr="00CE62F4">
              <w:rPr>
                <w:rFonts w:cs="Arial"/>
                <w:sz w:val="24"/>
                <w:szCs w:val="24"/>
              </w:rPr>
              <w:t xml:space="preserve">Οι φορολογούμενοι </w:t>
            </w:r>
            <w:r w:rsidR="0065756E" w:rsidRPr="00CE62F4">
              <w:rPr>
                <w:rFonts w:cs="Arial"/>
                <w:sz w:val="24"/>
                <w:szCs w:val="24"/>
              </w:rPr>
              <w:t xml:space="preserve">ενημερώνονται πριν την εκάστοτε κλήρωση, για τους λαχνούς που έχουν συγκεντρώσει (πλήθος και αριθμοσειρά) μέσω </w:t>
            </w:r>
            <w:r w:rsidR="00765968">
              <w:rPr>
                <w:rFonts w:cs="Arial"/>
                <w:sz w:val="24"/>
                <w:szCs w:val="24"/>
              </w:rPr>
              <w:t xml:space="preserve">της </w:t>
            </w:r>
            <w:r w:rsidR="0065756E" w:rsidRPr="00CE62F4">
              <w:rPr>
                <w:rFonts w:cs="Arial"/>
                <w:sz w:val="24"/>
                <w:szCs w:val="24"/>
              </w:rPr>
              <w:t>διαθέσιμης εφαρμογής για πιστοποιημένους χρήστες</w:t>
            </w:r>
            <w:r w:rsidR="00765968">
              <w:rPr>
                <w:rFonts w:cs="Arial"/>
                <w:sz w:val="24"/>
                <w:szCs w:val="24"/>
              </w:rPr>
              <w:t xml:space="preserve"> </w:t>
            </w:r>
            <w:r w:rsidR="0065756E" w:rsidRPr="00CE62F4">
              <w:rPr>
                <w:rFonts w:cs="Arial"/>
                <w:sz w:val="24"/>
                <w:szCs w:val="24"/>
              </w:rPr>
              <w:t>στο δικτυακό τόπο της Α.Α.Δ.Ε. (</w:t>
            </w:r>
            <w:hyperlink r:id="rId9" w:history="1">
              <w:r w:rsidR="0065756E" w:rsidRPr="00CE62F4">
                <w:rPr>
                  <w:rStyle w:val="-"/>
                  <w:rFonts w:cs="Arial"/>
                  <w:sz w:val="24"/>
                  <w:szCs w:val="24"/>
                  <w:lang w:val="en-US"/>
                </w:rPr>
                <w:t>www</w:t>
              </w:r>
              <w:r w:rsidR="0065756E" w:rsidRPr="00CE62F4">
                <w:rPr>
                  <w:rStyle w:val="-"/>
                  <w:rFonts w:cs="Arial"/>
                  <w:sz w:val="24"/>
                  <w:szCs w:val="24"/>
                </w:rPr>
                <w:t>.</w:t>
              </w:r>
              <w:r w:rsidR="0065756E" w:rsidRPr="00CE62F4">
                <w:rPr>
                  <w:rStyle w:val="-"/>
                  <w:rFonts w:cs="Arial"/>
                  <w:sz w:val="24"/>
                  <w:szCs w:val="24"/>
                  <w:lang w:val="en-US"/>
                </w:rPr>
                <w:t>aade</w:t>
              </w:r>
              <w:r w:rsidR="0065756E" w:rsidRPr="00CE62F4">
                <w:rPr>
                  <w:rStyle w:val="-"/>
                  <w:rFonts w:cs="Arial"/>
                  <w:sz w:val="24"/>
                  <w:szCs w:val="24"/>
                </w:rPr>
                <w:t>.</w:t>
              </w:r>
              <w:r w:rsidR="0065756E" w:rsidRPr="00CE62F4">
                <w:rPr>
                  <w:rStyle w:val="-"/>
                  <w:rFonts w:cs="Arial"/>
                  <w:sz w:val="24"/>
                  <w:szCs w:val="24"/>
                  <w:lang w:val="en-US"/>
                </w:rPr>
                <w:t>gr</w:t>
              </w:r>
            </w:hyperlink>
            <w:r w:rsidR="006A22E0">
              <w:rPr>
                <w:rFonts w:cs="Arial"/>
                <w:sz w:val="24"/>
                <w:szCs w:val="24"/>
              </w:rPr>
              <w:t>)</w:t>
            </w:r>
            <w:r w:rsidR="006A22E0" w:rsidRPr="006A22E0">
              <w:rPr>
                <w:rFonts w:cs="Arial"/>
                <w:sz w:val="24"/>
                <w:szCs w:val="24"/>
              </w:rPr>
              <w:t xml:space="preserve">, </w:t>
            </w:r>
            <w:r w:rsidR="006A22E0">
              <w:rPr>
                <w:rFonts w:cs="Arial"/>
                <w:sz w:val="24"/>
                <w:szCs w:val="24"/>
              </w:rPr>
              <w:t>στην ε</w:t>
            </w:r>
            <w:r w:rsidR="001A7BB0">
              <w:rPr>
                <w:rFonts w:cs="Arial"/>
                <w:sz w:val="24"/>
                <w:szCs w:val="24"/>
              </w:rPr>
              <w:t xml:space="preserve">πιλογή </w:t>
            </w:r>
            <w:r w:rsidR="006A22E0" w:rsidRPr="001A7BB0">
              <w:rPr>
                <w:rFonts w:cs="Arial"/>
                <w:b/>
                <w:sz w:val="24"/>
                <w:szCs w:val="24"/>
              </w:rPr>
              <w:t>Δημόσιες κληρώσεις</w:t>
            </w:r>
            <w:r w:rsidR="001A7BB0">
              <w:rPr>
                <w:rFonts w:cs="Arial"/>
                <w:sz w:val="24"/>
                <w:szCs w:val="24"/>
              </w:rPr>
              <w:t>.</w:t>
            </w:r>
          </w:p>
          <w:p w:rsidR="006A22E0" w:rsidRPr="006A22E0" w:rsidRDefault="006A22E0" w:rsidP="0065756E">
            <w:pPr>
              <w:spacing w:after="0"/>
              <w:jc w:val="both"/>
              <w:outlineLvl w:val="0"/>
              <w:rPr>
                <w:rFonts w:cs="Arial"/>
                <w:sz w:val="24"/>
                <w:szCs w:val="24"/>
              </w:rPr>
            </w:pPr>
          </w:p>
          <w:p w:rsidR="006A22E0" w:rsidRPr="006A22E0" w:rsidRDefault="006E43BF" w:rsidP="0065756E">
            <w:pPr>
              <w:spacing w:after="0"/>
              <w:jc w:val="both"/>
              <w:outlineLvl w:val="0"/>
              <w:rPr>
                <w:rFonts w:cs="Arial"/>
                <w:sz w:val="24"/>
                <w:szCs w:val="24"/>
              </w:rPr>
            </w:pPr>
            <w:r>
              <w:rPr>
                <w:rFonts w:cs="Arial"/>
                <w:noProof/>
                <w:sz w:val="24"/>
                <w:szCs w:val="24"/>
                <w:lang w:eastAsia="el-GR"/>
              </w:rPr>
              <w:drawing>
                <wp:inline distT="0" distB="0" distL="0" distR="0">
                  <wp:extent cx="5962650" cy="4867275"/>
                  <wp:effectExtent l="19050" t="0" r="0" b="0"/>
                  <wp:docPr id="1" name="Εικόνα 1" descr="C:\Users\s.geladaris\Documents\PrintScreen Files\ScreenShot638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eladaris\Documents\PrintScreen Files\ScreenShot6388e.jpg"/>
                          <pic:cNvPicPr>
                            <a:picLocks noChangeAspect="1" noChangeArrowheads="1"/>
                          </pic:cNvPicPr>
                        </pic:nvPicPr>
                        <pic:blipFill>
                          <a:blip r:embed="rId10" cstate="print"/>
                          <a:srcRect/>
                          <a:stretch>
                            <a:fillRect/>
                          </a:stretch>
                        </pic:blipFill>
                        <pic:spPr bwMode="auto">
                          <a:xfrm>
                            <a:off x="0" y="0"/>
                            <a:ext cx="5962650" cy="4867275"/>
                          </a:xfrm>
                          <a:prstGeom prst="rect">
                            <a:avLst/>
                          </a:prstGeom>
                          <a:noFill/>
                          <a:ln w="9525">
                            <a:noFill/>
                            <a:miter lim="800000"/>
                            <a:headEnd/>
                            <a:tailEnd/>
                          </a:ln>
                        </pic:spPr>
                      </pic:pic>
                    </a:graphicData>
                  </a:graphic>
                </wp:inline>
              </w:drawing>
            </w:r>
          </w:p>
          <w:p w:rsidR="001A7BB0" w:rsidRDefault="001A7BB0" w:rsidP="0065756E">
            <w:pPr>
              <w:spacing w:after="0"/>
              <w:jc w:val="both"/>
              <w:outlineLvl w:val="0"/>
              <w:rPr>
                <w:rFonts w:cs="Arial"/>
                <w:sz w:val="24"/>
                <w:szCs w:val="24"/>
              </w:rPr>
            </w:pPr>
          </w:p>
          <w:p w:rsidR="001A7BB0" w:rsidRDefault="001A7BB0" w:rsidP="0065756E">
            <w:pPr>
              <w:spacing w:after="0"/>
              <w:jc w:val="both"/>
              <w:outlineLvl w:val="0"/>
              <w:rPr>
                <w:rFonts w:cs="Arial"/>
                <w:sz w:val="24"/>
                <w:szCs w:val="24"/>
              </w:rPr>
            </w:pPr>
          </w:p>
          <w:p w:rsidR="001A7BB0" w:rsidRDefault="001A7BB0" w:rsidP="0065756E">
            <w:pPr>
              <w:spacing w:after="0"/>
              <w:jc w:val="both"/>
              <w:outlineLvl w:val="0"/>
              <w:rPr>
                <w:rFonts w:cs="Arial"/>
                <w:sz w:val="24"/>
                <w:szCs w:val="24"/>
              </w:rPr>
            </w:pPr>
          </w:p>
          <w:p w:rsidR="001A7BB0" w:rsidRDefault="001A7BB0" w:rsidP="0065756E">
            <w:pPr>
              <w:spacing w:after="0"/>
              <w:jc w:val="both"/>
              <w:outlineLvl w:val="0"/>
              <w:rPr>
                <w:rFonts w:cs="Arial"/>
                <w:sz w:val="24"/>
                <w:szCs w:val="24"/>
              </w:rPr>
            </w:pPr>
          </w:p>
          <w:p w:rsidR="001A7BB0" w:rsidRDefault="001A7BB0" w:rsidP="0065756E">
            <w:pPr>
              <w:spacing w:after="0"/>
              <w:jc w:val="both"/>
              <w:outlineLvl w:val="0"/>
              <w:rPr>
                <w:rFonts w:cs="Arial"/>
                <w:sz w:val="24"/>
                <w:szCs w:val="24"/>
              </w:rPr>
            </w:pPr>
          </w:p>
          <w:p w:rsidR="001A7BB0" w:rsidRDefault="003741AA" w:rsidP="0065756E">
            <w:pPr>
              <w:spacing w:after="0"/>
              <w:jc w:val="both"/>
              <w:outlineLvl w:val="0"/>
              <w:rPr>
                <w:rFonts w:cs="Arial"/>
                <w:sz w:val="24"/>
                <w:szCs w:val="24"/>
              </w:rPr>
            </w:pPr>
            <w:r>
              <w:rPr>
                <w:noProof/>
                <w:lang w:eastAsia="el-GR"/>
              </w:rPr>
              <w:lastRenderedPageBreak/>
              <w:drawing>
                <wp:inline distT="0" distB="0" distL="0" distR="0" wp14:anchorId="3D150BD5" wp14:editId="52A5EA6F">
                  <wp:extent cx="5962650" cy="42875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62650" cy="4287520"/>
                          </a:xfrm>
                          <a:prstGeom prst="rect">
                            <a:avLst/>
                          </a:prstGeom>
                        </pic:spPr>
                      </pic:pic>
                    </a:graphicData>
                  </a:graphic>
                </wp:inline>
              </w:drawing>
            </w:r>
          </w:p>
          <w:p w:rsidR="001A7BB0" w:rsidRDefault="001A7BB0" w:rsidP="0065756E">
            <w:pPr>
              <w:spacing w:after="0"/>
              <w:jc w:val="both"/>
              <w:outlineLvl w:val="0"/>
              <w:rPr>
                <w:rFonts w:cs="Arial"/>
                <w:sz w:val="24"/>
                <w:szCs w:val="24"/>
              </w:rPr>
            </w:pPr>
          </w:p>
          <w:p w:rsidR="001A7BB0" w:rsidRDefault="001A7BB0" w:rsidP="0065756E">
            <w:pPr>
              <w:spacing w:after="0"/>
              <w:jc w:val="both"/>
              <w:outlineLvl w:val="0"/>
              <w:rPr>
                <w:rFonts w:cs="Arial"/>
                <w:sz w:val="24"/>
                <w:szCs w:val="24"/>
              </w:rPr>
            </w:pPr>
          </w:p>
          <w:p w:rsidR="003741AA" w:rsidRDefault="003741AA" w:rsidP="0065756E">
            <w:pPr>
              <w:spacing w:after="0"/>
              <w:jc w:val="both"/>
              <w:outlineLvl w:val="0"/>
              <w:rPr>
                <w:rFonts w:cs="Arial"/>
                <w:sz w:val="24"/>
                <w:szCs w:val="24"/>
              </w:rPr>
            </w:pPr>
            <w:bookmarkStart w:id="0" w:name="_GoBack"/>
            <w:bookmarkEnd w:id="0"/>
          </w:p>
          <w:p w:rsidR="003741AA" w:rsidRDefault="003741AA" w:rsidP="0065756E">
            <w:pPr>
              <w:spacing w:after="0"/>
              <w:jc w:val="both"/>
              <w:outlineLvl w:val="0"/>
              <w:rPr>
                <w:rFonts w:cs="Arial"/>
                <w:sz w:val="24"/>
                <w:szCs w:val="24"/>
              </w:rPr>
            </w:pPr>
            <w:r>
              <w:rPr>
                <w:noProof/>
                <w:lang w:eastAsia="el-GR"/>
              </w:rPr>
              <w:drawing>
                <wp:inline distT="0" distB="0" distL="0" distR="0" wp14:anchorId="525F75B2" wp14:editId="1F946C59">
                  <wp:extent cx="5962650" cy="2527300"/>
                  <wp:effectExtent l="0" t="0" r="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2650" cy="2527300"/>
                          </a:xfrm>
                          <a:prstGeom prst="rect">
                            <a:avLst/>
                          </a:prstGeom>
                        </pic:spPr>
                      </pic:pic>
                    </a:graphicData>
                  </a:graphic>
                </wp:inline>
              </w:drawing>
            </w:r>
          </w:p>
          <w:p w:rsidR="003741AA" w:rsidRDefault="003741AA" w:rsidP="0065756E">
            <w:pPr>
              <w:spacing w:after="0"/>
              <w:jc w:val="both"/>
              <w:outlineLvl w:val="0"/>
              <w:rPr>
                <w:rFonts w:cs="Arial"/>
                <w:sz w:val="24"/>
                <w:szCs w:val="24"/>
              </w:rPr>
            </w:pPr>
          </w:p>
          <w:p w:rsidR="003B7D4F" w:rsidRDefault="0065756E" w:rsidP="0065756E">
            <w:pPr>
              <w:spacing w:after="0"/>
              <w:jc w:val="both"/>
              <w:outlineLvl w:val="0"/>
              <w:rPr>
                <w:rFonts w:cs="Arial"/>
                <w:sz w:val="24"/>
                <w:szCs w:val="24"/>
              </w:rPr>
            </w:pPr>
            <w:r w:rsidRPr="00CE62F4">
              <w:rPr>
                <w:rFonts w:cs="Arial"/>
                <w:sz w:val="24"/>
                <w:szCs w:val="24"/>
              </w:rPr>
              <w:t>Επίσης, σε περίπτωση λαχνών που κερδίζουν, οι ενδιαφερόμενοι πολίτες θα ενημερώνονται μέσω προσωποποιημένου μηνύματος στην εφαρμογή τη</w:t>
            </w:r>
            <w:r w:rsidR="00A346CC">
              <w:rPr>
                <w:rFonts w:cs="Arial"/>
                <w:sz w:val="24"/>
                <w:szCs w:val="24"/>
              </w:rPr>
              <w:t>ς Προσωποποιημένη</w:t>
            </w:r>
            <w:r w:rsidR="003741AA">
              <w:rPr>
                <w:rFonts w:cs="Arial"/>
                <w:sz w:val="24"/>
                <w:szCs w:val="24"/>
              </w:rPr>
              <w:t>ς Πληροφόρησης όπως φαίνεται στην παρακάτω εικόνα</w:t>
            </w:r>
            <w:r w:rsidR="00A346CC">
              <w:rPr>
                <w:rFonts w:cs="Arial"/>
                <w:sz w:val="24"/>
                <w:szCs w:val="24"/>
              </w:rPr>
              <w:t>.</w:t>
            </w:r>
          </w:p>
          <w:p w:rsidR="00A346CC" w:rsidRPr="00CE62F4" w:rsidRDefault="00A346CC" w:rsidP="0065756E">
            <w:pPr>
              <w:spacing w:after="0"/>
              <w:jc w:val="both"/>
              <w:outlineLvl w:val="0"/>
              <w:rPr>
                <w:rFonts w:cs="Arial"/>
                <w:sz w:val="24"/>
                <w:szCs w:val="24"/>
              </w:rPr>
            </w:pPr>
          </w:p>
          <w:p w:rsidR="003B7D4F" w:rsidRPr="00CE62F4" w:rsidRDefault="00956D8D" w:rsidP="00401C73">
            <w:pPr>
              <w:tabs>
                <w:tab w:val="left" w:pos="0"/>
              </w:tabs>
              <w:spacing w:after="0"/>
              <w:ind w:right="-1"/>
              <w:jc w:val="both"/>
              <w:rPr>
                <w:rFonts w:cs="Arial"/>
                <w:sz w:val="24"/>
                <w:szCs w:val="24"/>
              </w:rPr>
            </w:pPr>
            <w:r>
              <w:rPr>
                <w:rFonts w:cs="Arial"/>
                <w:noProof/>
                <w:sz w:val="24"/>
                <w:szCs w:val="24"/>
                <w:lang w:eastAsia="el-GR"/>
              </w:rPr>
              <w:lastRenderedPageBreak/>
              <w:drawing>
                <wp:inline distT="0" distB="0" distL="0" distR="0">
                  <wp:extent cx="5893535" cy="3240000"/>
                  <wp:effectExtent l="19050" t="0" r="0" b="0"/>
                  <wp:docPr id="25" name="Εικόνα 3" descr="C:\Users\e.kelesidis\AppData\Local\Microsoft\Windows\Temporary Internet Files\Content.Outlook\5JCTM5ZW\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elesidis\AppData\Local\Microsoft\Windows\Temporary Internet Files\Content.Outlook\5JCTM5ZW\Image 4.png"/>
                          <pic:cNvPicPr>
                            <a:picLocks noChangeAspect="1" noChangeArrowheads="1"/>
                          </pic:cNvPicPr>
                        </pic:nvPicPr>
                        <pic:blipFill>
                          <a:blip r:embed="rId13" cstate="print"/>
                          <a:srcRect/>
                          <a:stretch>
                            <a:fillRect/>
                          </a:stretch>
                        </pic:blipFill>
                        <pic:spPr bwMode="auto">
                          <a:xfrm>
                            <a:off x="0" y="0"/>
                            <a:ext cx="5893535" cy="3240000"/>
                          </a:xfrm>
                          <a:prstGeom prst="rect">
                            <a:avLst/>
                          </a:prstGeom>
                          <a:noFill/>
                          <a:ln w="9525">
                            <a:noFill/>
                            <a:miter lim="800000"/>
                            <a:headEnd/>
                            <a:tailEnd/>
                          </a:ln>
                        </pic:spPr>
                      </pic:pic>
                    </a:graphicData>
                  </a:graphic>
                </wp:inline>
              </w:drawing>
            </w:r>
          </w:p>
          <w:p w:rsidR="00A346CC" w:rsidRDefault="00A346CC" w:rsidP="003B7D4F">
            <w:pPr>
              <w:spacing w:after="0"/>
              <w:jc w:val="both"/>
              <w:outlineLvl w:val="0"/>
              <w:rPr>
                <w:b/>
                <w:spacing w:val="10"/>
                <w:sz w:val="24"/>
                <w:szCs w:val="24"/>
                <w:u w:val="single"/>
              </w:rPr>
            </w:pPr>
          </w:p>
          <w:p w:rsidR="00A346CC" w:rsidRDefault="00A346CC" w:rsidP="003B7D4F">
            <w:pPr>
              <w:spacing w:after="0"/>
              <w:jc w:val="both"/>
              <w:outlineLvl w:val="0"/>
              <w:rPr>
                <w:b/>
                <w:spacing w:val="10"/>
                <w:sz w:val="24"/>
                <w:szCs w:val="24"/>
                <w:u w:val="single"/>
              </w:rPr>
            </w:pPr>
          </w:p>
          <w:p w:rsidR="003B7D4F" w:rsidRPr="00CE62F4" w:rsidRDefault="003B7D4F" w:rsidP="003B7D4F">
            <w:pPr>
              <w:spacing w:after="0"/>
              <w:jc w:val="both"/>
              <w:outlineLvl w:val="0"/>
              <w:rPr>
                <w:b/>
                <w:spacing w:val="10"/>
                <w:sz w:val="24"/>
                <w:szCs w:val="24"/>
                <w:u w:val="single"/>
              </w:rPr>
            </w:pPr>
            <w:r w:rsidRPr="00CE62F4">
              <w:rPr>
                <w:b/>
                <w:spacing w:val="10"/>
                <w:sz w:val="24"/>
                <w:szCs w:val="24"/>
                <w:u w:val="single"/>
              </w:rPr>
              <w:t>Κληρώσεις</w:t>
            </w:r>
          </w:p>
          <w:p w:rsidR="00A346CC" w:rsidRDefault="00A346CC" w:rsidP="006924E5">
            <w:pPr>
              <w:tabs>
                <w:tab w:val="left" w:pos="0"/>
              </w:tabs>
              <w:spacing w:after="0"/>
              <w:ind w:right="-1"/>
              <w:jc w:val="both"/>
              <w:rPr>
                <w:rFonts w:cs="Arial"/>
                <w:sz w:val="24"/>
                <w:szCs w:val="24"/>
              </w:rPr>
            </w:pPr>
          </w:p>
          <w:p w:rsidR="00221905" w:rsidRDefault="003B7D4F" w:rsidP="006924E5">
            <w:pPr>
              <w:tabs>
                <w:tab w:val="left" w:pos="0"/>
              </w:tabs>
              <w:spacing w:after="0"/>
              <w:ind w:right="-1"/>
              <w:jc w:val="both"/>
              <w:rPr>
                <w:rFonts w:cs="Arial"/>
                <w:sz w:val="24"/>
                <w:szCs w:val="24"/>
              </w:rPr>
            </w:pPr>
            <w:r w:rsidRPr="00CE62F4">
              <w:rPr>
                <w:rFonts w:cs="Arial"/>
                <w:sz w:val="24"/>
                <w:szCs w:val="24"/>
              </w:rPr>
              <w:t xml:space="preserve">Η </w:t>
            </w:r>
            <w:r w:rsidR="006924E5" w:rsidRPr="00CE62F4">
              <w:rPr>
                <w:rFonts w:cs="Arial"/>
                <w:sz w:val="24"/>
                <w:szCs w:val="24"/>
              </w:rPr>
              <w:t>ακριβής ημερομηνία και ώρα διεξαγωγής της κλήρωσης για κάθε μήνα, καθώς και τυχόν αλλαγές (ανάκληση, ακύρωση, μετάθεση), θα γνωστοποιούνται με κάθε πρόσφορο μέσο και ιδίως μέσω ανάρτησης στο δικτυακό τόπο της Α.Α.Δ.Ε. (</w:t>
            </w:r>
            <w:hyperlink r:id="rId14" w:history="1">
              <w:r w:rsidR="006924E5" w:rsidRPr="00CE62F4">
                <w:rPr>
                  <w:rStyle w:val="-"/>
                  <w:rFonts w:cs="Arial"/>
                  <w:sz w:val="24"/>
                  <w:szCs w:val="24"/>
                  <w:lang w:val="en-US"/>
                </w:rPr>
                <w:t>www</w:t>
              </w:r>
              <w:r w:rsidR="006924E5" w:rsidRPr="00CE62F4">
                <w:rPr>
                  <w:rStyle w:val="-"/>
                  <w:rFonts w:cs="Arial"/>
                  <w:sz w:val="24"/>
                  <w:szCs w:val="24"/>
                </w:rPr>
                <w:t>.</w:t>
              </w:r>
              <w:r w:rsidR="006924E5" w:rsidRPr="00CE62F4">
                <w:rPr>
                  <w:rStyle w:val="-"/>
                  <w:rFonts w:cs="Arial"/>
                  <w:sz w:val="24"/>
                  <w:szCs w:val="24"/>
                  <w:lang w:val="en-US"/>
                </w:rPr>
                <w:t>aade</w:t>
              </w:r>
              <w:r w:rsidR="006924E5" w:rsidRPr="00CE62F4">
                <w:rPr>
                  <w:rStyle w:val="-"/>
                  <w:rFonts w:cs="Arial"/>
                  <w:sz w:val="24"/>
                  <w:szCs w:val="24"/>
                </w:rPr>
                <w:t>.</w:t>
              </w:r>
              <w:r w:rsidR="006924E5" w:rsidRPr="00CE62F4">
                <w:rPr>
                  <w:rStyle w:val="-"/>
                  <w:rFonts w:cs="Arial"/>
                  <w:sz w:val="24"/>
                  <w:szCs w:val="24"/>
                  <w:lang w:val="en-US"/>
                </w:rPr>
                <w:t>gr</w:t>
              </w:r>
            </w:hyperlink>
            <w:r w:rsidR="006924E5" w:rsidRPr="00CE62F4">
              <w:rPr>
                <w:rFonts w:cs="Arial"/>
                <w:sz w:val="24"/>
                <w:szCs w:val="24"/>
              </w:rPr>
              <w:t>). Σε κάθε κλήρωση, αναδεικνύονται χίλιοι (1.000) τυχεροί λαχνοί και χίλιοι (1.000) αναπληρωματικοί, οι οποίοι μετά το πέρας της διαδικασίας αναρτώνται στο δικτυακό τόπο της Α.Α.Δ.Ε. (</w:t>
            </w:r>
            <w:hyperlink r:id="rId15" w:history="1">
              <w:r w:rsidR="006924E5" w:rsidRPr="00CE62F4">
                <w:rPr>
                  <w:rStyle w:val="-"/>
                  <w:rFonts w:cs="Arial"/>
                  <w:sz w:val="24"/>
                  <w:szCs w:val="24"/>
                  <w:lang w:val="en-US"/>
                </w:rPr>
                <w:t>www</w:t>
              </w:r>
              <w:r w:rsidR="006924E5" w:rsidRPr="00CE62F4">
                <w:rPr>
                  <w:rStyle w:val="-"/>
                  <w:rFonts w:cs="Arial"/>
                  <w:sz w:val="24"/>
                  <w:szCs w:val="24"/>
                </w:rPr>
                <w:t>.</w:t>
              </w:r>
              <w:r w:rsidR="006924E5" w:rsidRPr="00CE62F4">
                <w:rPr>
                  <w:rStyle w:val="-"/>
                  <w:rFonts w:cs="Arial"/>
                  <w:sz w:val="24"/>
                  <w:szCs w:val="24"/>
                  <w:lang w:val="en-US"/>
                </w:rPr>
                <w:t>aade</w:t>
              </w:r>
              <w:r w:rsidR="006924E5" w:rsidRPr="00CE62F4">
                <w:rPr>
                  <w:rStyle w:val="-"/>
                  <w:rFonts w:cs="Arial"/>
                  <w:sz w:val="24"/>
                  <w:szCs w:val="24"/>
                </w:rPr>
                <w:t>.</w:t>
              </w:r>
              <w:r w:rsidR="006924E5" w:rsidRPr="00CE62F4">
                <w:rPr>
                  <w:rStyle w:val="-"/>
                  <w:rFonts w:cs="Arial"/>
                  <w:sz w:val="24"/>
                  <w:szCs w:val="24"/>
                  <w:lang w:val="en-US"/>
                </w:rPr>
                <w:t>gr</w:t>
              </w:r>
            </w:hyperlink>
            <w:r w:rsidR="006924E5" w:rsidRPr="00CE62F4">
              <w:rPr>
                <w:rFonts w:cs="Arial"/>
                <w:sz w:val="24"/>
                <w:szCs w:val="24"/>
              </w:rPr>
              <w:t>).</w:t>
            </w:r>
            <w:r w:rsidR="000075E2" w:rsidRPr="00CE62F4">
              <w:rPr>
                <w:rFonts w:cs="Arial"/>
                <w:sz w:val="24"/>
                <w:szCs w:val="24"/>
              </w:rPr>
              <w:t xml:space="preserve"> Οι αναπληρωματικοί λαχνοί ενεργοποιούνται στις εξής περιπτώσεις</w:t>
            </w:r>
            <w:r w:rsidR="000075E2" w:rsidRPr="00CE62F4">
              <w:rPr>
                <w:rFonts w:cs="Arial"/>
                <w:sz w:val="24"/>
                <w:szCs w:val="24"/>
                <w:lang w:val="en-US"/>
              </w:rPr>
              <w:t>:</w:t>
            </w:r>
          </w:p>
          <w:p w:rsidR="00A346CC" w:rsidRPr="00A346CC" w:rsidRDefault="00A346CC" w:rsidP="006924E5">
            <w:pPr>
              <w:tabs>
                <w:tab w:val="left" w:pos="0"/>
              </w:tabs>
              <w:spacing w:after="0"/>
              <w:ind w:right="-1"/>
              <w:jc w:val="both"/>
              <w:rPr>
                <w:rFonts w:cs="Arial"/>
                <w:sz w:val="24"/>
                <w:szCs w:val="24"/>
              </w:rPr>
            </w:pPr>
          </w:p>
          <w:p w:rsidR="000075E2" w:rsidRPr="00CE62F4" w:rsidRDefault="000075E2" w:rsidP="000075E2">
            <w:pPr>
              <w:pStyle w:val="a7"/>
              <w:numPr>
                <w:ilvl w:val="0"/>
                <w:numId w:val="25"/>
              </w:numPr>
              <w:tabs>
                <w:tab w:val="left" w:pos="0"/>
              </w:tabs>
              <w:spacing w:after="0"/>
              <w:ind w:right="-1"/>
              <w:jc w:val="both"/>
              <w:rPr>
                <w:rFonts w:cs="Arial"/>
                <w:sz w:val="24"/>
                <w:szCs w:val="24"/>
              </w:rPr>
            </w:pPr>
            <w:r w:rsidRPr="00CE62F4">
              <w:rPr>
                <w:rFonts w:cs="Arial"/>
                <w:sz w:val="24"/>
                <w:szCs w:val="24"/>
              </w:rPr>
              <w:t>Όταν περισσότεροι από έναν τυχεροί λαχνοί ανήκουν στον ίδιο συμμετέχοντα.</w:t>
            </w:r>
          </w:p>
          <w:p w:rsidR="000075E2" w:rsidRDefault="000075E2" w:rsidP="000075E2">
            <w:pPr>
              <w:pStyle w:val="a7"/>
              <w:numPr>
                <w:ilvl w:val="0"/>
                <w:numId w:val="25"/>
              </w:numPr>
              <w:tabs>
                <w:tab w:val="left" w:pos="0"/>
              </w:tabs>
              <w:spacing w:after="0"/>
              <w:ind w:right="-1"/>
              <w:jc w:val="both"/>
              <w:rPr>
                <w:rFonts w:cs="Arial"/>
                <w:sz w:val="24"/>
                <w:szCs w:val="24"/>
              </w:rPr>
            </w:pPr>
            <w:r w:rsidRPr="00CE62F4">
              <w:rPr>
                <w:rFonts w:cs="Arial"/>
                <w:sz w:val="24"/>
                <w:szCs w:val="24"/>
              </w:rPr>
              <w:t>Όταν δεν δηλωθεί τραπεζικός λογαριασμός εντός της ορισθείσας προθεσμίας των τριών (3) μηνών από την αποστολή του προσωποποιημένου μηνύματος.</w:t>
            </w:r>
          </w:p>
          <w:p w:rsidR="00CE62F4" w:rsidRPr="00CE62F4" w:rsidRDefault="00CE62F4" w:rsidP="000075E2">
            <w:pPr>
              <w:pStyle w:val="a7"/>
              <w:numPr>
                <w:ilvl w:val="0"/>
                <w:numId w:val="25"/>
              </w:numPr>
              <w:tabs>
                <w:tab w:val="left" w:pos="0"/>
              </w:tabs>
              <w:spacing w:after="0"/>
              <w:ind w:right="-1"/>
              <w:jc w:val="both"/>
              <w:rPr>
                <w:rFonts w:cs="Arial"/>
                <w:sz w:val="24"/>
                <w:szCs w:val="24"/>
              </w:rPr>
            </w:pPr>
            <w:r>
              <w:rPr>
                <w:rFonts w:cs="Arial"/>
                <w:sz w:val="24"/>
                <w:szCs w:val="24"/>
              </w:rPr>
              <w:t xml:space="preserve">Όταν ο δικαιούχος αποποιηθεί του επάθλου του. </w:t>
            </w:r>
          </w:p>
          <w:p w:rsidR="00401C73" w:rsidRPr="00CE62F4" w:rsidRDefault="00401C73" w:rsidP="00401C73">
            <w:pPr>
              <w:spacing w:after="0"/>
              <w:jc w:val="both"/>
              <w:outlineLvl w:val="0"/>
              <w:rPr>
                <w:b/>
                <w:spacing w:val="10"/>
                <w:sz w:val="24"/>
                <w:szCs w:val="24"/>
                <w:u w:val="single"/>
              </w:rPr>
            </w:pPr>
          </w:p>
          <w:p w:rsidR="00401C73" w:rsidRPr="00CE62F4" w:rsidRDefault="00401C73" w:rsidP="00401C73">
            <w:pPr>
              <w:spacing w:after="0"/>
              <w:jc w:val="both"/>
              <w:outlineLvl w:val="0"/>
              <w:rPr>
                <w:b/>
                <w:spacing w:val="10"/>
                <w:sz w:val="24"/>
                <w:szCs w:val="24"/>
                <w:u w:val="single"/>
              </w:rPr>
            </w:pPr>
          </w:p>
          <w:p w:rsidR="000075E2" w:rsidRPr="003741AA" w:rsidRDefault="000075E2" w:rsidP="000075E2">
            <w:pPr>
              <w:spacing w:after="0"/>
              <w:jc w:val="both"/>
              <w:outlineLvl w:val="0"/>
              <w:rPr>
                <w:b/>
                <w:spacing w:val="10"/>
                <w:sz w:val="24"/>
                <w:szCs w:val="24"/>
                <w:u w:val="single"/>
              </w:rPr>
            </w:pPr>
            <w:r w:rsidRPr="00CE62F4">
              <w:rPr>
                <w:b/>
                <w:spacing w:val="10"/>
                <w:sz w:val="24"/>
                <w:szCs w:val="24"/>
                <w:u w:val="single"/>
              </w:rPr>
              <w:t>Απονομή Επάθλων</w:t>
            </w:r>
          </w:p>
          <w:p w:rsidR="009F33EC" w:rsidRPr="003741AA" w:rsidRDefault="009F33EC" w:rsidP="000075E2">
            <w:pPr>
              <w:spacing w:after="0"/>
              <w:jc w:val="both"/>
              <w:outlineLvl w:val="0"/>
              <w:rPr>
                <w:b/>
                <w:spacing w:val="10"/>
                <w:sz w:val="24"/>
                <w:szCs w:val="24"/>
                <w:u w:val="single"/>
              </w:rPr>
            </w:pPr>
          </w:p>
          <w:p w:rsidR="00221905" w:rsidRPr="00CE62F4" w:rsidRDefault="000075E2" w:rsidP="000075E2">
            <w:pPr>
              <w:spacing w:after="0"/>
              <w:jc w:val="both"/>
              <w:rPr>
                <w:rFonts w:cs="Arial"/>
                <w:sz w:val="24"/>
                <w:szCs w:val="24"/>
              </w:rPr>
            </w:pPr>
            <w:r w:rsidRPr="00CE62F4">
              <w:rPr>
                <w:rFonts w:cs="Arial"/>
                <w:sz w:val="24"/>
                <w:szCs w:val="24"/>
              </w:rPr>
              <w:t xml:space="preserve">Η απονομή των χρηματικών επάθλων γίνεται από την Α.Α.Δ.Ε. με πίστωση των προβλεπόμενων ποσών στον τραπεζικό λογαριασμό που θα δηλώσει ο ενδιαφερόμενος για το σκοπό αυτό στο περιβάλλον </w:t>
            </w:r>
            <w:r w:rsidRPr="00CE62F4">
              <w:rPr>
                <w:rFonts w:cs="Arial"/>
                <w:sz w:val="24"/>
                <w:szCs w:val="24"/>
                <w:lang w:val="en-US"/>
              </w:rPr>
              <w:t>TAXISnet</w:t>
            </w:r>
            <w:r w:rsidRPr="00CE62F4">
              <w:rPr>
                <w:rFonts w:cs="Arial"/>
                <w:sz w:val="24"/>
                <w:szCs w:val="24"/>
              </w:rPr>
              <w:t>. Απαραίτητη προϋπόθεση, είναι ο ενδιαφερόμενος να εμφανίζεται ως πρώτος δικαιούχος του λογαριασμού.</w:t>
            </w:r>
          </w:p>
          <w:p w:rsidR="00C369F7" w:rsidRPr="00CE62F4" w:rsidRDefault="00C369F7" w:rsidP="000075E2">
            <w:pPr>
              <w:spacing w:after="0"/>
              <w:jc w:val="both"/>
              <w:rPr>
                <w:rFonts w:cs="Arial"/>
                <w:sz w:val="24"/>
                <w:szCs w:val="24"/>
              </w:rPr>
            </w:pPr>
          </w:p>
          <w:p w:rsidR="005D13EE" w:rsidRPr="005D13EE" w:rsidRDefault="005D13EE" w:rsidP="00C369F7">
            <w:pPr>
              <w:spacing w:after="0"/>
              <w:jc w:val="both"/>
              <w:outlineLvl w:val="0"/>
              <w:rPr>
                <w:b/>
                <w:spacing w:val="10"/>
                <w:sz w:val="24"/>
                <w:szCs w:val="24"/>
                <w:u w:val="single"/>
              </w:rPr>
            </w:pPr>
          </w:p>
          <w:p w:rsidR="00C369F7" w:rsidRPr="003741AA" w:rsidRDefault="00C369F7" w:rsidP="00C369F7">
            <w:pPr>
              <w:spacing w:after="0"/>
              <w:jc w:val="both"/>
              <w:outlineLvl w:val="0"/>
              <w:rPr>
                <w:b/>
                <w:spacing w:val="10"/>
                <w:sz w:val="24"/>
                <w:szCs w:val="24"/>
                <w:u w:val="single"/>
              </w:rPr>
            </w:pPr>
            <w:r w:rsidRPr="00CE62F4">
              <w:rPr>
                <w:b/>
                <w:spacing w:val="10"/>
                <w:sz w:val="24"/>
                <w:szCs w:val="24"/>
                <w:u w:val="single"/>
              </w:rPr>
              <w:t>Δήλωση Λογαριασμού</w:t>
            </w:r>
          </w:p>
          <w:p w:rsidR="009F33EC" w:rsidRPr="003741AA" w:rsidRDefault="009F33EC" w:rsidP="00C369F7">
            <w:pPr>
              <w:spacing w:after="0"/>
              <w:jc w:val="both"/>
              <w:outlineLvl w:val="0"/>
              <w:rPr>
                <w:b/>
                <w:spacing w:val="10"/>
                <w:sz w:val="24"/>
                <w:szCs w:val="24"/>
                <w:u w:val="single"/>
              </w:rPr>
            </w:pPr>
          </w:p>
          <w:p w:rsidR="00C369F7" w:rsidRPr="00765968" w:rsidRDefault="00C369F7" w:rsidP="00C369F7">
            <w:pPr>
              <w:spacing w:after="0"/>
              <w:jc w:val="both"/>
              <w:rPr>
                <w:rFonts w:cs="Arial"/>
                <w:sz w:val="24"/>
                <w:szCs w:val="24"/>
              </w:rPr>
            </w:pPr>
            <w:r w:rsidRPr="00CE62F4">
              <w:rPr>
                <w:rFonts w:cs="Arial"/>
                <w:sz w:val="24"/>
                <w:szCs w:val="24"/>
              </w:rPr>
              <w:lastRenderedPageBreak/>
              <w:t xml:space="preserve">Στο περιβάλλον του </w:t>
            </w:r>
            <w:r w:rsidRPr="00CE62F4">
              <w:rPr>
                <w:rFonts w:cs="Arial"/>
                <w:sz w:val="24"/>
                <w:szCs w:val="24"/>
                <w:lang w:val="en-US"/>
              </w:rPr>
              <w:t>TAXISnet</w:t>
            </w:r>
            <w:r w:rsidRPr="00CE62F4">
              <w:rPr>
                <w:rFonts w:cs="Arial"/>
                <w:sz w:val="24"/>
                <w:szCs w:val="24"/>
              </w:rPr>
              <w:t>, δίνεται η δυνατότητα καταχώρησης τραπεζικού λογαριασμού ως εξής:</w:t>
            </w:r>
          </w:p>
          <w:p w:rsidR="002A0A99" w:rsidRPr="00CE62F4" w:rsidRDefault="00C369F7" w:rsidP="00CE62F4">
            <w:pPr>
              <w:pStyle w:val="a7"/>
              <w:numPr>
                <w:ilvl w:val="0"/>
                <w:numId w:val="27"/>
              </w:numPr>
              <w:spacing w:after="0"/>
              <w:jc w:val="both"/>
              <w:rPr>
                <w:rFonts w:cs="Arial"/>
                <w:sz w:val="24"/>
                <w:szCs w:val="24"/>
              </w:rPr>
            </w:pPr>
            <w:r w:rsidRPr="00CE62F4">
              <w:rPr>
                <w:rFonts w:cs="Arial"/>
                <w:sz w:val="24"/>
                <w:szCs w:val="24"/>
              </w:rPr>
              <w:t>Με τους</w:t>
            </w:r>
            <w:r w:rsidR="002A0A99" w:rsidRPr="00CE62F4">
              <w:rPr>
                <w:rFonts w:cs="Arial"/>
                <w:sz w:val="24"/>
                <w:szCs w:val="24"/>
              </w:rPr>
              <w:t xml:space="preserve"> </w:t>
            </w:r>
            <w:r w:rsidRPr="00CE62F4">
              <w:rPr>
                <w:rFonts w:cs="Arial"/>
                <w:sz w:val="24"/>
                <w:szCs w:val="24"/>
              </w:rPr>
              <w:t xml:space="preserve">κωδικούς </w:t>
            </w:r>
            <w:r w:rsidRPr="00CE62F4">
              <w:rPr>
                <w:rFonts w:cs="Arial"/>
                <w:sz w:val="24"/>
                <w:szCs w:val="24"/>
                <w:lang w:val="en-US"/>
              </w:rPr>
              <w:t>TAXISnet</w:t>
            </w:r>
            <w:r w:rsidRPr="00CE62F4">
              <w:rPr>
                <w:rFonts w:cs="Arial"/>
                <w:sz w:val="24"/>
                <w:szCs w:val="24"/>
              </w:rPr>
              <w:t xml:space="preserve">, </w:t>
            </w:r>
            <w:r w:rsidR="002A0A99" w:rsidRPr="00CE62F4">
              <w:rPr>
                <w:rFonts w:cs="Arial"/>
                <w:sz w:val="24"/>
                <w:szCs w:val="24"/>
              </w:rPr>
              <w:t>από το δικτυακό τόπο της Α.Α.Δ.Ε. (</w:t>
            </w:r>
            <w:hyperlink r:id="rId16" w:history="1">
              <w:r w:rsidR="002A0A99" w:rsidRPr="00CE62F4">
                <w:rPr>
                  <w:rStyle w:val="-"/>
                  <w:rFonts w:cs="Arial"/>
                  <w:sz w:val="24"/>
                  <w:szCs w:val="24"/>
                  <w:lang w:val="en-US"/>
                </w:rPr>
                <w:t>www</w:t>
              </w:r>
              <w:r w:rsidR="002A0A99" w:rsidRPr="00CE62F4">
                <w:rPr>
                  <w:rStyle w:val="-"/>
                  <w:rFonts w:cs="Arial"/>
                  <w:sz w:val="24"/>
                  <w:szCs w:val="24"/>
                </w:rPr>
                <w:t>.</w:t>
              </w:r>
              <w:r w:rsidR="002A0A99" w:rsidRPr="00CE62F4">
                <w:rPr>
                  <w:rStyle w:val="-"/>
                  <w:rFonts w:cs="Arial"/>
                  <w:sz w:val="24"/>
                  <w:szCs w:val="24"/>
                  <w:lang w:val="en-US"/>
                </w:rPr>
                <w:t>aade</w:t>
              </w:r>
              <w:r w:rsidR="002A0A99" w:rsidRPr="00CE62F4">
                <w:rPr>
                  <w:rStyle w:val="-"/>
                  <w:rFonts w:cs="Arial"/>
                  <w:sz w:val="24"/>
                  <w:szCs w:val="24"/>
                </w:rPr>
                <w:t>.</w:t>
              </w:r>
              <w:r w:rsidR="002A0A99" w:rsidRPr="00CE62F4">
                <w:rPr>
                  <w:rStyle w:val="-"/>
                  <w:rFonts w:cs="Arial"/>
                  <w:sz w:val="24"/>
                  <w:szCs w:val="24"/>
                  <w:lang w:val="en-US"/>
                </w:rPr>
                <w:t>gr</w:t>
              </w:r>
            </w:hyperlink>
            <w:r w:rsidR="002A0A99" w:rsidRPr="00CE62F4">
              <w:rPr>
                <w:rFonts w:cs="Arial"/>
                <w:sz w:val="24"/>
                <w:szCs w:val="24"/>
              </w:rPr>
              <w:t xml:space="preserve">), </w:t>
            </w:r>
            <w:r w:rsidRPr="00CE62F4">
              <w:rPr>
                <w:rFonts w:cs="Arial"/>
                <w:sz w:val="24"/>
                <w:szCs w:val="24"/>
              </w:rPr>
              <w:t>εισέρχεστε στην εφαρμογή της</w:t>
            </w:r>
            <w:r w:rsidR="002A0A99" w:rsidRPr="00CE62F4">
              <w:rPr>
                <w:rFonts w:cs="Arial"/>
                <w:sz w:val="24"/>
                <w:szCs w:val="24"/>
              </w:rPr>
              <w:t xml:space="preserve"> </w:t>
            </w:r>
            <w:r w:rsidR="002A0A99" w:rsidRPr="00CE62F4">
              <w:rPr>
                <w:rFonts w:cs="Arial"/>
                <w:b/>
                <w:i/>
                <w:sz w:val="24"/>
                <w:szCs w:val="24"/>
              </w:rPr>
              <w:t>Προσωποποιημένης Πληροφόρησης</w:t>
            </w:r>
            <w:r w:rsidR="002A0A99" w:rsidRPr="00CE62F4">
              <w:rPr>
                <w:rFonts w:cs="Arial"/>
                <w:sz w:val="24"/>
                <w:szCs w:val="24"/>
              </w:rPr>
              <w:t xml:space="preserve"> και μεταβαίνετε στην καρτέλα «</w:t>
            </w:r>
            <w:r w:rsidR="002A0A99" w:rsidRPr="00CE62F4">
              <w:rPr>
                <w:rFonts w:cs="Arial"/>
                <w:b/>
                <w:i/>
                <w:sz w:val="24"/>
                <w:szCs w:val="24"/>
              </w:rPr>
              <w:t>Ο λογαριασμός μου</w:t>
            </w:r>
            <w:r w:rsidR="002A0A99" w:rsidRPr="00CE62F4">
              <w:rPr>
                <w:rFonts w:cs="Arial"/>
                <w:sz w:val="24"/>
                <w:szCs w:val="24"/>
              </w:rPr>
              <w:t>». Εκεί, στο μενού που υπάρχει αριστερά, επιλέγετε «</w:t>
            </w:r>
            <w:r w:rsidR="002A0A99" w:rsidRPr="00CE62F4">
              <w:rPr>
                <w:rFonts w:cs="Arial"/>
                <w:b/>
                <w:i/>
                <w:sz w:val="24"/>
                <w:szCs w:val="24"/>
              </w:rPr>
              <w:t xml:space="preserve">Δήλωση Λογαριασμού – </w:t>
            </w:r>
            <w:r w:rsidR="002A0A99" w:rsidRPr="00CE62F4">
              <w:rPr>
                <w:rFonts w:cs="Arial"/>
                <w:b/>
                <w:i/>
                <w:sz w:val="24"/>
                <w:szCs w:val="24"/>
                <w:lang w:val="en-US"/>
              </w:rPr>
              <w:t>IBAN</w:t>
            </w:r>
            <w:r w:rsidR="002A0A99" w:rsidRPr="00CE62F4">
              <w:rPr>
                <w:rFonts w:cs="Arial"/>
                <w:sz w:val="24"/>
                <w:szCs w:val="24"/>
              </w:rPr>
              <w:t xml:space="preserve">» όπου στο αντίστοιχο πεδίο καταχωρείτε τον </w:t>
            </w:r>
            <w:r w:rsidR="002A0A99" w:rsidRPr="00CE62F4">
              <w:rPr>
                <w:rFonts w:cs="Arial"/>
                <w:sz w:val="24"/>
                <w:szCs w:val="24"/>
                <w:lang w:val="en-US"/>
              </w:rPr>
              <w:t>IBAN</w:t>
            </w:r>
            <w:r w:rsidR="002A0A99" w:rsidRPr="00CE62F4">
              <w:rPr>
                <w:rFonts w:cs="Arial"/>
                <w:sz w:val="24"/>
                <w:szCs w:val="24"/>
              </w:rPr>
              <w:t xml:space="preserve"> του λογαριασμού που επιθυμείτε σε μορφή </w:t>
            </w:r>
            <w:r w:rsidR="002A0A99" w:rsidRPr="00CE62F4">
              <w:rPr>
                <w:rFonts w:cs="Arial"/>
                <w:b/>
                <w:sz w:val="24"/>
                <w:szCs w:val="24"/>
                <w:lang w:val="en-US"/>
              </w:rPr>
              <w:t>GRxxxxxxxxxxxxxxxxxxxxxxxxx</w:t>
            </w:r>
            <w:r w:rsidR="002A0A99" w:rsidRPr="00CE62F4">
              <w:rPr>
                <w:rFonts w:cs="Arial"/>
                <w:sz w:val="24"/>
                <w:szCs w:val="24"/>
              </w:rPr>
              <w:t>.</w:t>
            </w:r>
          </w:p>
          <w:p w:rsidR="00C369F7" w:rsidRPr="00CE62F4" w:rsidRDefault="002A0A99" w:rsidP="002A0A99">
            <w:pPr>
              <w:pStyle w:val="a7"/>
              <w:spacing w:after="0"/>
              <w:jc w:val="both"/>
              <w:rPr>
                <w:rFonts w:cs="Arial"/>
                <w:sz w:val="24"/>
                <w:szCs w:val="24"/>
              </w:rPr>
            </w:pPr>
            <w:r w:rsidRPr="00CE62F4">
              <w:rPr>
                <w:rFonts w:cs="Arial"/>
                <w:sz w:val="24"/>
                <w:szCs w:val="24"/>
              </w:rPr>
              <w:t>Η εφαρμογή</w:t>
            </w:r>
            <w:r w:rsidR="00CE62F4" w:rsidRPr="00CE62F4">
              <w:rPr>
                <w:rFonts w:cs="Arial"/>
                <w:sz w:val="24"/>
                <w:szCs w:val="24"/>
              </w:rPr>
              <w:t xml:space="preserve">, επιλέγοντας </w:t>
            </w:r>
            <w:r w:rsidR="00CE62F4" w:rsidRPr="00CE62F4">
              <w:rPr>
                <w:rFonts w:cs="Arial"/>
                <w:b/>
                <w:sz w:val="24"/>
                <w:szCs w:val="24"/>
                <w:highlight w:val="lightGray"/>
              </w:rPr>
              <w:t>Αναζήτηση…</w:t>
            </w:r>
            <w:r w:rsidR="00CE62F4" w:rsidRPr="00CE62F4">
              <w:rPr>
                <w:rFonts w:cs="Arial"/>
                <w:sz w:val="24"/>
                <w:szCs w:val="24"/>
              </w:rPr>
              <w:t xml:space="preserve"> στο πεδίο Αρχείο, </w:t>
            </w:r>
            <w:r w:rsidRPr="00CE62F4">
              <w:rPr>
                <w:rFonts w:cs="Arial"/>
                <w:sz w:val="24"/>
                <w:szCs w:val="24"/>
              </w:rPr>
              <w:t xml:space="preserve">σας δίνει τη δυνατότητα να μεταφορτώσετε αρχεία (π.χ. </w:t>
            </w:r>
            <w:r w:rsidR="00CE62F4" w:rsidRPr="00CE62F4">
              <w:rPr>
                <w:rFonts w:cs="Arial"/>
                <w:sz w:val="24"/>
                <w:szCs w:val="24"/>
              </w:rPr>
              <w:t xml:space="preserve">φωτοτυπία πρώτης σελίδας βιβλιαρίου καταθέσεων) </w:t>
            </w:r>
            <w:r w:rsidRPr="00CE62F4">
              <w:rPr>
                <w:rFonts w:cs="Arial"/>
                <w:sz w:val="24"/>
                <w:szCs w:val="24"/>
              </w:rPr>
              <w:t>τα οποία αποδεικνύουν τον κύριο δικαιούχο του δηλωθέντα λογαριασμού</w:t>
            </w:r>
            <w:r w:rsidR="00CE62F4" w:rsidRPr="00CE62F4">
              <w:rPr>
                <w:rFonts w:cs="Arial"/>
                <w:sz w:val="24"/>
                <w:szCs w:val="24"/>
              </w:rPr>
              <w:t>.</w:t>
            </w:r>
          </w:p>
          <w:p w:rsidR="00C369F7" w:rsidRPr="00C369F7" w:rsidRDefault="00C369F7" w:rsidP="00C369F7">
            <w:pPr>
              <w:spacing w:after="0"/>
              <w:jc w:val="center"/>
              <w:rPr>
                <w:rFonts w:cs="Arial"/>
                <w:sz w:val="28"/>
                <w:szCs w:val="28"/>
              </w:rPr>
            </w:pPr>
          </w:p>
          <w:p w:rsidR="000075E2" w:rsidRDefault="000075E2" w:rsidP="000075E2">
            <w:pPr>
              <w:spacing w:after="0"/>
              <w:jc w:val="both"/>
              <w:rPr>
                <w:rFonts w:cs="Arial"/>
                <w:sz w:val="28"/>
                <w:szCs w:val="28"/>
              </w:rPr>
            </w:pPr>
          </w:p>
          <w:p w:rsidR="000075E2" w:rsidRPr="000075E2" w:rsidRDefault="000075E2" w:rsidP="00C369F7">
            <w:pPr>
              <w:spacing w:after="0"/>
              <w:jc w:val="center"/>
            </w:pPr>
            <w:r>
              <w:rPr>
                <w:noProof/>
                <w:lang w:eastAsia="el-GR"/>
              </w:rPr>
              <w:drawing>
                <wp:inline distT="0" distB="0" distL="0" distR="0">
                  <wp:extent cx="5464941" cy="3528000"/>
                  <wp:effectExtent l="19050" t="0" r="2409" b="0"/>
                  <wp:docPr id="23" name="Εικόνα 1" descr="C:\Users\e.kelesidis\Desktop\Χωρίς τί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elesidis\Desktop\Χωρίς τίτλο.jpg"/>
                          <pic:cNvPicPr>
                            <a:picLocks noChangeAspect="1" noChangeArrowheads="1"/>
                          </pic:cNvPicPr>
                        </pic:nvPicPr>
                        <pic:blipFill>
                          <a:blip r:embed="rId17" cstate="print"/>
                          <a:srcRect/>
                          <a:stretch>
                            <a:fillRect/>
                          </a:stretch>
                        </pic:blipFill>
                        <pic:spPr bwMode="auto">
                          <a:xfrm>
                            <a:off x="0" y="0"/>
                            <a:ext cx="5464941" cy="3528000"/>
                          </a:xfrm>
                          <a:prstGeom prst="rect">
                            <a:avLst/>
                          </a:prstGeom>
                          <a:noFill/>
                          <a:ln w="9525">
                            <a:noFill/>
                            <a:miter lim="800000"/>
                            <a:headEnd/>
                            <a:tailEnd/>
                          </a:ln>
                        </pic:spPr>
                      </pic:pic>
                    </a:graphicData>
                  </a:graphic>
                </wp:inline>
              </w:drawing>
            </w:r>
          </w:p>
          <w:p w:rsidR="00184DD9" w:rsidRPr="000D7964" w:rsidRDefault="00184DD9" w:rsidP="009811E0">
            <w:pPr>
              <w:spacing w:after="0"/>
              <w:jc w:val="both"/>
            </w:pPr>
          </w:p>
          <w:p w:rsidR="00820DE3" w:rsidRPr="000D7964" w:rsidRDefault="004535BE" w:rsidP="00CE62F4">
            <w:pPr>
              <w:pStyle w:val="ab"/>
              <w:jc w:val="both"/>
            </w:pPr>
            <w:r>
              <w:t xml:space="preserve">Για περισσότερες λεπτομέρειες και αναλυτική περιγραφή, μπορείτε να ανατρέξετε στην </w:t>
            </w:r>
            <w:r w:rsidR="001A7BB0">
              <w:t xml:space="preserve">                              </w:t>
            </w:r>
            <w:r>
              <w:t>ΠΟΛ. 1161/2017 (ΦΕΚ Β 3657 / 17.10.2017) καθώς και στην παρ. 2 του άρθρου 70 του ν. 4446/2016 (ΦΕΚ Α 240 / 22.12.2016).</w:t>
            </w:r>
          </w:p>
        </w:tc>
      </w:tr>
      <w:tr w:rsidR="00FF16BD" w:rsidRPr="009811E0" w:rsidTr="00FF16BD">
        <w:trPr>
          <w:trHeight w:val="680"/>
        </w:trPr>
        <w:tc>
          <w:tcPr>
            <w:tcW w:w="9606" w:type="dxa"/>
          </w:tcPr>
          <w:p w:rsidR="00820DE3" w:rsidRPr="009811E0" w:rsidRDefault="00820DE3" w:rsidP="009811E0">
            <w:pPr>
              <w:spacing w:after="0"/>
              <w:jc w:val="both"/>
            </w:pPr>
          </w:p>
        </w:tc>
      </w:tr>
      <w:tr w:rsidR="00FF16BD" w:rsidRPr="009811E0" w:rsidTr="00FF16BD">
        <w:trPr>
          <w:trHeight w:val="680"/>
        </w:trPr>
        <w:tc>
          <w:tcPr>
            <w:tcW w:w="9606" w:type="dxa"/>
          </w:tcPr>
          <w:p w:rsidR="00FE26C3" w:rsidRPr="009811E0" w:rsidRDefault="00FE26C3" w:rsidP="009811E0">
            <w:pPr>
              <w:spacing w:after="0"/>
              <w:jc w:val="both"/>
              <w:rPr>
                <w:b/>
                <w:spacing w:val="10"/>
              </w:rPr>
            </w:pPr>
          </w:p>
        </w:tc>
      </w:tr>
    </w:tbl>
    <w:p w:rsidR="00CE62F4" w:rsidRDefault="00CE62F4" w:rsidP="00CE1D71">
      <w:pPr>
        <w:tabs>
          <w:tab w:val="left" w:pos="709"/>
        </w:tabs>
        <w:spacing w:after="0"/>
        <w:ind w:right="-1"/>
        <w:jc w:val="both"/>
        <w:rPr>
          <w:rFonts w:cs="Arial"/>
        </w:rPr>
      </w:pPr>
    </w:p>
    <w:p w:rsidR="00CE62F4" w:rsidRDefault="00CE62F4" w:rsidP="00CE1D71">
      <w:pPr>
        <w:tabs>
          <w:tab w:val="left" w:pos="709"/>
        </w:tabs>
        <w:spacing w:after="0"/>
        <w:ind w:right="-1"/>
        <w:jc w:val="both"/>
        <w:rPr>
          <w:rFonts w:cs="Arial"/>
        </w:rPr>
      </w:pPr>
    </w:p>
    <w:p w:rsidR="00BB653B" w:rsidRPr="003741AA" w:rsidRDefault="00BB653B" w:rsidP="00BB653B">
      <w:pPr>
        <w:spacing w:after="0"/>
        <w:jc w:val="both"/>
        <w:rPr>
          <w:rFonts w:cs="Arial"/>
        </w:rPr>
      </w:pPr>
    </w:p>
    <w:sectPr w:rsidR="00BB653B" w:rsidRPr="003741AA" w:rsidSect="005E768B">
      <w:headerReference w:type="default" r:id="rId18"/>
      <w:footerReference w:type="default" r:id="rId19"/>
      <w:pgSz w:w="11906" w:h="16838" w:code="9"/>
      <w:pgMar w:top="1985" w:right="1134" w:bottom="1418" w:left="1134" w:header="567" w:footer="567" w:gutter="0"/>
      <w:pgBorders w:offsetFrom="page">
        <w:top w:val="none" w:sz="0" w:space="8" w:color="2B5C38" w:shadow="1"/>
        <w:left w:val="none" w:sz="0" w:space="27" w:color="00003A" w:shadow="1"/>
        <w:bottom w:val="none" w:sz="0" w:space="2" w:color="000000" w:shadow="1"/>
        <w:right w:val="none" w:sz="0" w:space="20" w:color="00000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F8E" w:rsidRDefault="007B1F8E" w:rsidP="00432B26">
      <w:pPr>
        <w:spacing w:after="0"/>
      </w:pPr>
      <w:r>
        <w:separator/>
      </w:r>
    </w:p>
  </w:endnote>
  <w:endnote w:type="continuationSeparator" w:id="0">
    <w:p w:rsidR="007B1F8E" w:rsidRDefault="007B1F8E" w:rsidP="00432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1F3864"/>
      </w:tblBorders>
      <w:tblLayout w:type="fixed"/>
      <w:tblLook w:val="04A0" w:firstRow="1" w:lastRow="0" w:firstColumn="1" w:lastColumn="0" w:noHBand="0" w:noVBand="1"/>
    </w:tblPr>
    <w:tblGrid>
      <w:gridCol w:w="3969"/>
      <w:gridCol w:w="1418"/>
      <w:gridCol w:w="4253"/>
    </w:tblGrid>
    <w:tr w:rsidR="006A22E0" w:rsidRPr="00DE045C" w:rsidTr="00DE045C">
      <w:trPr>
        <w:trHeight w:val="567"/>
      </w:trPr>
      <w:tc>
        <w:tcPr>
          <w:tcW w:w="3969" w:type="dxa"/>
          <w:vAlign w:val="center"/>
        </w:tcPr>
        <w:p w:rsidR="006A22E0" w:rsidRPr="00DE045C" w:rsidRDefault="006A22E0" w:rsidP="00DE045C">
          <w:pPr>
            <w:spacing w:after="0"/>
            <w:rPr>
              <w:sz w:val="18"/>
            </w:rPr>
          </w:pPr>
          <w:r w:rsidRPr="00DE045C">
            <w:rPr>
              <w:sz w:val="18"/>
            </w:rPr>
            <w:t xml:space="preserve">Τελευταία Ενημέρωση: </w:t>
          </w:r>
          <w:r w:rsidR="00176619" w:rsidRPr="00DE045C">
            <w:rPr>
              <w:sz w:val="18"/>
            </w:rPr>
            <w:fldChar w:fldCharType="begin"/>
          </w:r>
          <w:r w:rsidRPr="00DE045C">
            <w:rPr>
              <w:sz w:val="18"/>
            </w:rPr>
            <w:instrText xml:space="preserve"> TIME \@ "d/M/yyyy h:mm am/pm" </w:instrText>
          </w:r>
          <w:r w:rsidR="00176619" w:rsidRPr="00DE045C">
            <w:rPr>
              <w:sz w:val="18"/>
            </w:rPr>
            <w:fldChar w:fldCharType="separate"/>
          </w:r>
          <w:r w:rsidR="00BB5F82">
            <w:rPr>
              <w:noProof/>
              <w:sz w:val="18"/>
            </w:rPr>
            <w:t>30/11/2017 4:36 μμ</w:t>
          </w:r>
          <w:r w:rsidR="00176619" w:rsidRPr="00DE045C">
            <w:rPr>
              <w:sz w:val="18"/>
            </w:rPr>
            <w:fldChar w:fldCharType="end"/>
          </w:r>
        </w:p>
      </w:tc>
      <w:tc>
        <w:tcPr>
          <w:tcW w:w="1418" w:type="dxa"/>
          <w:vAlign w:val="center"/>
        </w:tcPr>
        <w:p w:rsidR="006A22E0" w:rsidRPr="00DE045C" w:rsidRDefault="006A22E0" w:rsidP="00DE045C">
          <w:pPr>
            <w:spacing w:after="0"/>
            <w:jc w:val="center"/>
            <w:rPr>
              <w:sz w:val="18"/>
            </w:rPr>
          </w:pPr>
          <w:r w:rsidRPr="00DE045C">
            <w:rPr>
              <w:rFonts w:eastAsia="Times New Roman"/>
              <w:sz w:val="18"/>
            </w:rPr>
            <w:t xml:space="preserve">σελ. </w:t>
          </w:r>
          <w:r w:rsidR="00176619" w:rsidRPr="00DE045C">
            <w:rPr>
              <w:rFonts w:eastAsia="Times New Roman"/>
              <w:sz w:val="18"/>
            </w:rPr>
            <w:fldChar w:fldCharType="begin"/>
          </w:r>
          <w:r w:rsidRPr="00DE045C">
            <w:rPr>
              <w:rFonts w:eastAsia="Times New Roman"/>
              <w:sz w:val="18"/>
            </w:rPr>
            <w:instrText>PAGE   \* MERGEFORMAT</w:instrText>
          </w:r>
          <w:r w:rsidR="00176619" w:rsidRPr="00DE045C">
            <w:rPr>
              <w:rFonts w:eastAsia="Times New Roman"/>
              <w:sz w:val="18"/>
            </w:rPr>
            <w:fldChar w:fldCharType="separate"/>
          </w:r>
          <w:r w:rsidR="00BB5F82">
            <w:rPr>
              <w:rFonts w:eastAsia="Times New Roman"/>
              <w:noProof/>
              <w:sz w:val="18"/>
            </w:rPr>
            <w:t>5</w:t>
          </w:r>
          <w:r w:rsidR="00176619" w:rsidRPr="00DE045C">
            <w:rPr>
              <w:rFonts w:eastAsia="Times New Roman"/>
              <w:sz w:val="18"/>
            </w:rPr>
            <w:fldChar w:fldCharType="end"/>
          </w:r>
          <w:r w:rsidRPr="00DE045C">
            <w:rPr>
              <w:rFonts w:eastAsia="Times New Roman"/>
              <w:sz w:val="18"/>
            </w:rPr>
            <w:t>/</w:t>
          </w:r>
          <w:fldSimple w:instr=" NUMPAGES   \* MERGEFORMAT ">
            <w:r w:rsidR="00BB5F82" w:rsidRPr="00BB5F82">
              <w:rPr>
                <w:rFonts w:eastAsia="Times New Roman"/>
                <w:noProof/>
                <w:sz w:val="18"/>
              </w:rPr>
              <w:t>5</w:t>
            </w:r>
          </w:fldSimple>
        </w:p>
      </w:tc>
      <w:tc>
        <w:tcPr>
          <w:tcW w:w="4253" w:type="dxa"/>
          <w:vAlign w:val="center"/>
        </w:tcPr>
        <w:p w:rsidR="006A22E0" w:rsidRPr="0029261F" w:rsidRDefault="006A22E0" w:rsidP="007D4DC8">
          <w:pPr>
            <w:spacing w:after="0"/>
            <w:jc w:val="right"/>
            <w:rPr>
              <w:sz w:val="18"/>
            </w:rPr>
          </w:pPr>
          <w:r>
            <w:rPr>
              <w:sz w:val="18"/>
            </w:rPr>
            <w:t>Πρόγραμμα Δημοσίων Κληρώσεων</w:t>
          </w:r>
        </w:p>
      </w:tc>
    </w:tr>
  </w:tbl>
  <w:p w:rsidR="006A22E0" w:rsidRPr="005C6295" w:rsidRDefault="006A22E0" w:rsidP="005C6295">
    <w:pPr>
      <w:pStyle w:val="a6"/>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F8E" w:rsidRDefault="007B1F8E" w:rsidP="00432B26">
      <w:pPr>
        <w:spacing w:after="0"/>
      </w:pPr>
      <w:r>
        <w:separator/>
      </w:r>
    </w:p>
  </w:footnote>
  <w:footnote w:type="continuationSeparator" w:id="0">
    <w:p w:rsidR="007B1F8E" w:rsidRDefault="007B1F8E" w:rsidP="00432B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bottom w:val="single" w:sz="4" w:space="0" w:color="1F3864"/>
      </w:tblBorders>
      <w:tblLayout w:type="fixed"/>
      <w:tblLook w:val="04A0" w:firstRow="1" w:lastRow="0" w:firstColumn="1" w:lastColumn="0" w:noHBand="0" w:noVBand="1"/>
    </w:tblPr>
    <w:tblGrid>
      <w:gridCol w:w="3119"/>
      <w:gridCol w:w="851"/>
      <w:gridCol w:w="5669"/>
    </w:tblGrid>
    <w:tr w:rsidR="006A22E0" w:rsidRPr="00DE045C" w:rsidTr="00DE045C">
      <w:trPr>
        <w:trHeight w:val="851"/>
      </w:trPr>
      <w:tc>
        <w:tcPr>
          <w:tcW w:w="3119" w:type="dxa"/>
          <w:vAlign w:val="center"/>
        </w:tcPr>
        <w:p w:rsidR="006A22E0" w:rsidRPr="00DE045C" w:rsidRDefault="006A22E0">
          <w:pPr>
            <w:pStyle w:val="a5"/>
          </w:pPr>
          <w:r>
            <w:rPr>
              <w:noProof/>
              <w:lang w:eastAsia="el-GR"/>
            </w:rPr>
            <w:drawing>
              <wp:inline distT="0" distB="0" distL="0" distR="0">
                <wp:extent cx="1619250" cy="447675"/>
                <wp:effectExtent l="19050" t="0" r="0" b="0"/>
                <wp:docPr id="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1619250" cy="447675"/>
                        </a:xfrm>
                        <a:prstGeom prst="rect">
                          <a:avLst/>
                        </a:prstGeom>
                        <a:noFill/>
                        <a:ln w="9525">
                          <a:noFill/>
                          <a:miter lim="800000"/>
                          <a:headEnd/>
                          <a:tailEnd/>
                        </a:ln>
                      </pic:spPr>
                    </pic:pic>
                  </a:graphicData>
                </a:graphic>
              </wp:inline>
            </w:drawing>
          </w:r>
        </w:p>
      </w:tc>
      <w:tc>
        <w:tcPr>
          <w:tcW w:w="851" w:type="dxa"/>
          <w:vAlign w:val="center"/>
        </w:tcPr>
        <w:p w:rsidR="006A22E0" w:rsidRPr="00DE045C" w:rsidRDefault="006A22E0">
          <w:pPr>
            <w:pStyle w:val="a5"/>
            <w:rPr>
              <w:lang w:val="en-US"/>
            </w:rPr>
          </w:pPr>
        </w:p>
      </w:tc>
      <w:tc>
        <w:tcPr>
          <w:tcW w:w="5670" w:type="dxa"/>
          <w:vAlign w:val="center"/>
        </w:tcPr>
        <w:p w:rsidR="006A22E0" w:rsidRPr="00DE045C" w:rsidRDefault="006A22E0" w:rsidP="00222D78">
          <w:pPr>
            <w:pStyle w:val="a5"/>
            <w:jc w:val="right"/>
            <w:rPr>
              <w:b/>
            </w:rPr>
          </w:pPr>
          <w:r>
            <w:rPr>
              <w:b/>
            </w:rPr>
            <w:t>ΟΔΗΓΙΕΣ ΧΡΗΣΗΣ</w:t>
          </w:r>
        </w:p>
      </w:tc>
    </w:tr>
  </w:tbl>
  <w:p w:rsidR="006A22E0" w:rsidRPr="00453355" w:rsidRDefault="006A22E0" w:rsidP="00453355">
    <w:pPr>
      <w:pStyle w:val="a5"/>
      <w:rPr>
        <w:b/>
        <w:i/>
        <w:color w:val="D0CECE"/>
        <w:spacing w:val="10"/>
        <w:w w:val="210"/>
        <w:lang w:val="en-US"/>
      </w:rPr>
    </w:pPr>
    <w:r w:rsidRPr="00453355">
      <w:rPr>
        <w:b/>
        <w:i/>
        <w:color w:val="D0CECE"/>
        <w:spacing w:val="10"/>
        <w:w w:val="210"/>
        <w:lang w:val="en-US"/>
      </w:rPr>
      <w:t>www.aade.gr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367"/>
    <w:multiLevelType w:val="hybridMultilevel"/>
    <w:tmpl w:val="77B4B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B61DC6"/>
    <w:multiLevelType w:val="hybridMultilevel"/>
    <w:tmpl w:val="DFBCC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0131B9"/>
    <w:multiLevelType w:val="hybridMultilevel"/>
    <w:tmpl w:val="6464E630"/>
    <w:lvl w:ilvl="0" w:tplc="16D8AAAC">
      <w:start w:val="1"/>
      <w:numFmt w:val="bullet"/>
      <w:lvlText w:val=""/>
      <w:lvlJc w:val="left"/>
      <w:pPr>
        <w:tabs>
          <w:tab w:val="num" w:pos="284"/>
        </w:tabs>
        <w:ind w:left="284" w:hanging="28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70B0"/>
    <w:multiLevelType w:val="multilevel"/>
    <w:tmpl w:val="A3F2E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C81D2C"/>
    <w:multiLevelType w:val="multilevel"/>
    <w:tmpl w:val="B1CA4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EF57AE"/>
    <w:multiLevelType w:val="multilevel"/>
    <w:tmpl w:val="DF7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B1316"/>
    <w:multiLevelType w:val="multilevel"/>
    <w:tmpl w:val="EBB8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747A3"/>
    <w:multiLevelType w:val="hybridMultilevel"/>
    <w:tmpl w:val="0AB2C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A64558"/>
    <w:multiLevelType w:val="hybridMultilevel"/>
    <w:tmpl w:val="EB4698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9271F"/>
    <w:multiLevelType w:val="hybridMultilevel"/>
    <w:tmpl w:val="700294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F6F2556"/>
    <w:multiLevelType w:val="hybridMultilevel"/>
    <w:tmpl w:val="5916F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632A30"/>
    <w:multiLevelType w:val="hybridMultilevel"/>
    <w:tmpl w:val="209C4C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4A17C51"/>
    <w:multiLevelType w:val="hybridMultilevel"/>
    <w:tmpl w:val="24702A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167981"/>
    <w:multiLevelType w:val="hybridMultilevel"/>
    <w:tmpl w:val="1E2CF4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636134A"/>
    <w:multiLevelType w:val="hybridMultilevel"/>
    <w:tmpl w:val="524E0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894C31"/>
    <w:multiLevelType w:val="multilevel"/>
    <w:tmpl w:val="DBA61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64663CE"/>
    <w:multiLevelType w:val="multilevel"/>
    <w:tmpl w:val="68C6F5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7ED3F6F"/>
    <w:multiLevelType w:val="hybridMultilevel"/>
    <w:tmpl w:val="68784D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B25325D"/>
    <w:multiLevelType w:val="hybridMultilevel"/>
    <w:tmpl w:val="25A0E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F937C39"/>
    <w:multiLevelType w:val="hybridMultilevel"/>
    <w:tmpl w:val="11E0091C"/>
    <w:lvl w:ilvl="0" w:tplc="94667ED4">
      <w:numFmt w:val="bullet"/>
      <w:lvlText w:val="-"/>
      <w:lvlJc w:val="left"/>
      <w:pPr>
        <w:ind w:left="720" w:hanging="360"/>
      </w:pPr>
      <w:rPr>
        <w:rFonts w:ascii="Calibri" w:eastAsia="Calibri"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CE17AB"/>
    <w:multiLevelType w:val="hybridMultilevel"/>
    <w:tmpl w:val="211C97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102462"/>
    <w:multiLevelType w:val="multilevel"/>
    <w:tmpl w:val="0C7898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CB56488"/>
    <w:multiLevelType w:val="hybridMultilevel"/>
    <w:tmpl w:val="8B20D4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2F05E5F"/>
    <w:multiLevelType w:val="hybridMultilevel"/>
    <w:tmpl w:val="648603E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4CA5C27"/>
    <w:multiLevelType w:val="hybridMultilevel"/>
    <w:tmpl w:val="700294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E7425E3"/>
    <w:multiLevelType w:val="hybridMultilevel"/>
    <w:tmpl w:val="E44A7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4C50723"/>
    <w:multiLevelType w:val="multilevel"/>
    <w:tmpl w:val="F3C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A7F5D"/>
    <w:multiLevelType w:val="hybridMultilevel"/>
    <w:tmpl w:val="B52CEA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24"/>
  </w:num>
  <w:num w:numId="4">
    <w:abstractNumId w:val="0"/>
  </w:num>
  <w:num w:numId="5">
    <w:abstractNumId w:val="23"/>
  </w:num>
  <w:num w:numId="6">
    <w:abstractNumId w:val="13"/>
  </w:num>
  <w:num w:numId="7">
    <w:abstractNumId w:val="19"/>
  </w:num>
  <w:num w:numId="8">
    <w:abstractNumId w:val="8"/>
  </w:num>
  <w:num w:numId="9">
    <w:abstractNumId w:val="15"/>
  </w:num>
  <w:num w:numId="10">
    <w:abstractNumId w:val="21"/>
  </w:num>
  <w:num w:numId="11">
    <w:abstractNumId w:val="3"/>
  </w:num>
  <w:num w:numId="12">
    <w:abstractNumId w:val="27"/>
  </w:num>
  <w:num w:numId="13">
    <w:abstractNumId w:val="4"/>
  </w:num>
  <w:num w:numId="14">
    <w:abstractNumId w:val="11"/>
  </w:num>
  <w:num w:numId="15">
    <w:abstractNumId w:val="16"/>
  </w:num>
  <w:num w:numId="16">
    <w:abstractNumId w:val="26"/>
  </w:num>
  <w:num w:numId="17">
    <w:abstractNumId w:val="1"/>
  </w:num>
  <w:num w:numId="18">
    <w:abstractNumId w:val="5"/>
  </w:num>
  <w:num w:numId="19">
    <w:abstractNumId w:val="6"/>
  </w:num>
  <w:num w:numId="20">
    <w:abstractNumId w:val="20"/>
  </w:num>
  <w:num w:numId="21">
    <w:abstractNumId w:val="17"/>
  </w:num>
  <w:num w:numId="22">
    <w:abstractNumId w:val="22"/>
  </w:num>
  <w:num w:numId="23">
    <w:abstractNumId w:val="25"/>
  </w:num>
  <w:num w:numId="24">
    <w:abstractNumId w:val="18"/>
  </w:num>
  <w:num w:numId="25">
    <w:abstractNumId w:val="10"/>
  </w:num>
  <w:num w:numId="26">
    <w:abstractNumId w:val="14"/>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6"/>
    <w:rsid w:val="0000084A"/>
    <w:rsid w:val="00001E4B"/>
    <w:rsid w:val="000075E2"/>
    <w:rsid w:val="00024509"/>
    <w:rsid w:val="00025C4D"/>
    <w:rsid w:val="00025E33"/>
    <w:rsid w:val="00032DA1"/>
    <w:rsid w:val="00035C54"/>
    <w:rsid w:val="00047851"/>
    <w:rsid w:val="00050BDF"/>
    <w:rsid w:val="00050C6E"/>
    <w:rsid w:val="00050F2E"/>
    <w:rsid w:val="000532F4"/>
    <w:rsid w:val="00063A55"/>
    <w:rsid w:val="00066ECC"/>
    <w:rsid w:val="00081058"/>
    <w:rsid w:val="00081C5A"/>
    <w:rsid w:val="00081F57"/>
    <w:rsid w:val="000861B8"/>
    <w:rsid w:val="00087FFE"/>
    <w:rsid w:val="00090FED"/>
    <w:rsid w:val="00092C51"/>
    <w:rsid w:val="00093BE1"/>
    <w:rsid w:val="000A1B3C"/>
    <w:rsid w:val="000A75BA"/>
    <w:rsid w:val="000B56A1"/>
    <w:rsid w:val="000B69B5"/>
    <w:rsid w:val="000C048B"/>
    <w:rsid w:val="000C5F3B"/>
    <w:rsid w:val="000C683C"/>
    <w:rsid w:val="000D2882"/>
    <w:rsid w:val="000D7964"/>
    <w:rsid w:val="000E147E"/>
    <w:rsid w:val="000E1996"/>
    <w:rsid w:val="000E4CBA"/>
    <w:rsid w:val="000F1722"/>
    <w:rsid w:val="000F2164"/>
    <w:rsid w:val="00105EE3"/>
    <w:rsid w:val="00115E3F"/>
    <w:rsid w:val="00122D88"/>
    <w:rsid w:val="00126D42"/>
    <w:rsid w:val="0012765A"/>
    <w:rsid w:val="00130560"/>
    <w:rsid w:val="00130AE8"/>
    <w:rsid w:val="00141368"/>
    <w:rsid w:val="0014463E"/>
    <w:rsid w:val="0014620B"/>
    <w:rsid w:val="00155B9C"/>
    <w:rsid w:val="00155C54"/>
    <w:rsid w:val="00173454"/>
    <w:rsid w:val="001738D9"/>
    <w:rsid w:val="0017654C"/>
    <w:rsid w:val="00176619"/>
    <w:rsid w:val="00180060"/>
    <w:rsid w:val="00182D6D"/>
    <w:rsid w:val="0018308A"/>
    <w:rsid w:val="00184DD9"/>
    <w:rsid w:val="00186BE3"/>
    <w:rsid w:val="00190E19"/>
    <w:rsid w:val="00193D7D"/>
    <w:rsid w:val="00195352"/>
    <w:rsid w:val="00196490"/>
    <w:rsid w:val="001967A3"/>
    <w:rsid w:val="001A36DF"/>
    <w:rsid w:val="001A4F40"/>
    <w:rsid w:val="001A5255"/>
    <w:rsid w:val="001A5F57"/>
    <w:rsid w:val="001A7BB0"/>
    <w:rsid w:val="001B1ECD"/>
    <w:rsid w:val="001B2BE9"/>
    <w:rsid w:val="001C057B"/>
    <w:rsid w:val="001C5553"/>
    <w:rsid w:val="001C79ED"/>
    <w:rsid w:val="001D558E"/>
    <w:rsid w:val="001D63E5"/>
    <w:rsid w:val="001E267B"/>
    <w:rsid w:val="001E7339"/>
    <w:rsid w:val="001F4ED2"/>
    <w:rsid w:val="00202E1A"/>
    <w:rsid w:val="00210A98"/>
    <w:rsid w:val="00220F38"/>
    <w:rsid w:val="00221905"/>
    <w:rsid w:val="002222DD"/>
    <w:rsid w:val="00222D78"/>
    <w:rsid w:val="00231DE8"/>
    <w:rsid w:val="00233727"/>
    <w:rsid w:val="00237B09"/>
    <w:rsid w:val="0024095C"/>
    <w:rsid w:val="002416F3"/>
    <w:rsid w:val="00246C92"/>
    <w:rsid w:val="00255BEC"/>
    <w:rsid w:val="00272E12"/>
    <w:rsid w:val="00276145"/>
    <w:rsid w:val="00280556"/>
    <w:rsid w:val="00281AB6"/>
    <w:rsid w:val="00283259"/>
    <w:rsid w:val="00290434"/>
    <w:rsid w:val="0029261F"/>
    <w:rsid w:val="0029294E"/>
    <w:rsid w:val="00296602"/>
    <w:rsid w:val="002977EF"/>
    <w:rsid w:val="002A0A99"/>
    <w:rsid w:val="002A12D2"/>
    <w:rsid w:val="002B1180"/>
    <w:rsid w:val="002B64D3"/>
    <w:rsid w:val="002C1D04"/>
    <w:rsid w:val="002D0740"/>
    <w:rsid w:val="002D3082"/>
    <w:rsid w:val="002D371B"/>
    <w:rsid w:val="002E73BF"/>
    <w:rsid w:val="002F0D78"/>
    <w:rsid w:val="002F6526"/>
    <w:rsid w:val="00301265"/>
    <w:rsid w:val="003063C5"/>
    <w:rsid w:val="003136F7"/>
    <w:rsid w:val="0031426C"/>
    <w:rsid w:val="00317058"/>
    <w:rsid w:val="003235C8"/>
    <w:rsid w:val="00324545"/>
    <w:rsid w:val="00335067"/>
    <w:rsid w:val="00346330"/>
    <w:rsid w:val="00346709"/>
    <w:rsid w:val="00365F25"/>
    <w:rsid w:val="003660E8"/>
    <w:rsid w:val="003673DA"/>
    <w:rsid w:val="00367602"/>
    <w:rsid w:val="00373399"/>
    <w:rsid w:val="00373521"/>
    <w:rsid w:val="003741AA"/>
    <w:rsid w:val="00380F5A"/>
    <w:rsid w:val="00396C60"/>
    <w:rsid w:val="003A4A07"/>
    <w:rsid w:val="003A7C43"/>
    <w:rsid w:val="003B2D92"/>
    <w:rsid w:val="003B57CB"/>
    <w:rsid w:val="003B59DC"/>
    <w:rsid w:val="003B5D0A"/>
    <w:rsid w:val="003B7B03"/>
    <w:rsid w:val="003B7D4F"/>
    <w:rsid w:val="003C42BD"/>
    <w:rsid w:val="003C6EEC"/>
    <w:rsid w:val="003C73AA"/>
    <w:rsid w:val="003D02D8"/>
    <w:rsid w:val="003D5772"/>
    <w:rsid w:val="003E2E89"/>
    <w:rsid w:val="003F1540"/>
    <w:rsid w:val="003F17CB"/>
    <w:rsid w:val="00401C73"/>
    <w:rsid w:val="00401D69"/>
    <w:rsid w:val="00403C9D"/>
    <w:rsid w:val="004079B3"/>
    <w:rsid w:val="00421647"/>
    <w:rsid w:val="00421BD2"/>
    <w:rsid w:val="00426BB7"/>
    <w:rsid w:val="00432B26"/>
    <w:rsid w:val="004511CB"/>
    <w:rsid w:val="00453355"/>
    <w:rsid w:val="004535BE"/>
    <w:rsid w:val="0046738C"/>
    <w:rsid w:val="004774CB"/>
    <w:rsid w:val="004801EA"/>
    <w:rsid w:val="004831CD"/>
    <w:rsid w:val="004956B7"/>
    <w:rsid w:val="004C0A43"/>
    <w:rsid w:val="004C0B10"/>
    <w:rsid w:val="004C45F7"/>
    <w:rsid w:val="004C5FF2"/>
    <w:rsid w:val="004C60DC"/>
    <w:rsid w:val="004D0132"/>
    <w:rsid w:val="004D0D9B"/>
    <w:rsid w:val="004D6544"/>
    <w:rsid w:val="004D728D"/>
    <w:rsid w:val="004E135B"/>
    <w:rsid w:val="004E5F3C"/>
    <w:rsid w:val="004E7DC0"/>
    <w:rsid w:val="00505EA2"/>
    <w:rsid w:val="0050636B"/>
    <w:rsid w:val="00510CEB"/>
    <w:rsid w:val="005110E2"/>
    <w:rsid w:val="00525015"/>
    <w:rsid w:val="00525FBC"/>
    <w:rsid w:val="005346B0"/>
    <w:rsid w:val="00537B0E"/>
    <w:rsid w:val="00544465"/>
    <w:rsid w:val="005459FD"/>
    <w:rsid w:val="00550752"/>
    <w:rsid w:val="0055092B"/>
    <w:rsid w:val="00555C63"/>
    <w:rsid w:val="00556291"/>
    <w:rsid w:val="00556651"/>
    <w:rsid w:val="005601C9"/>
    <w:rsid w:val="0057213A"/>
    <w:rsid w:val="00576078"/>
    <w:rsid w:val="00585F9E"/>
    <w:rsid w:val="00586902"/>
    <w:rsid w:val="005870F2"/>
    <w:rsid w:val="005876A1"/>
    <w:rsid w:val="0059155E"/>
    <w:rsid w:val="0059319D"/>
    <w:rsid w:val="005A1FB4"/>
    <w:rsid w:val="005A5BD1"/>
    <w:rsid w:val="005B26C6"/>
    <w:rsid w:val="005B2E65"/>
    <w:rsid w:val="005B39C0"/>
    <w:rsid w:val="005C00AF"/>
    <w:rsid w:val="005C0F8A"/>
    <w:rsid w:val="005C1204"/>
    <w:rsid w:val="005C6295"/>
    <w:rsid w:val="005D13EE"/>
    <w:rsid w:val="005D6FED"/>
    <w:rsid w:val="005E2E92"/>
    <w:rsid w:val="005E768B"/>
    <w:rsid w:val="006007FE"/>
    <w:rsid w:val="00610DBF"/>
    <w:rsid w:val="0061132C"/>
    <w:rsid w:val="0061237A"/>
    <w:rsid w:val="00617C69"/>
    <w:rsid w:val="00633A58"/>
    <w:rsid w:val="00634C91"/>
    <w:rsid w:val="0064251F"/>
    <w:rsid w:val="00655921"/>
    <w:rsid w:val="00656189"/>
    <w:rsid w:val="0065756E"/>
    <w:rsid w:val="00660472"/>
    <w:rsid w:val="00665308"/>
    <w:rsid w:val="006708AC"/>
    <w:rsid w:val="00672250"/>
    <w:rsid w:val="0067768B"/>
    <w:rsid w:val="00677A35"/>
    <w:rsid w:val="006865F8"/>
    <w:rsid w:val="00691BE9"/>
    <w:rsid w:val="006924E5"/>
    <w:rsid w:val="006969DB"/>
    <w:rsid w:val="00697EE7"/>
    <w:rsid w:val="006A1CB1"/>
    <w:rsid w:val="006A22E0"/>
    <w:rsid w:val="006A3A02"/>
    <w:rsid w:val="006A3A22"/>
    <w:rsid w:val="006A65B3"/>
    <w:rsid w:val="006B4E0B"/>
    <w:rsid w:val="006C3786"/>
    <w:rsid w:val="006C73BB"/>
    <w:rsid w:val="006D06AF"/>
    <w:rsid w:val="006D64C3"/>
    <w:rsid w:val="006D7909"/>
    <w:rsid w:val="006D7F6E"/>
    <w:rsid w:val="006E1728"/>
    <w:rsid w:val="006E43BF"/>
    <w:rsid w:val="006F5BC8"/>
    <w:rsid w:val="0070226D"/>
    <w:rsid w:val="00704C29"/>
    <w:rsid w:val="00706488"/>
    <w:rsid w:val="00714096"/>
    <w:rsid w:val="007176C9"/>
    <w:rsid w:val="007235A3"/>
    <w:rsid w:val="00723BAA"/>
    <w:rsid w:val="00727239"/>
    <w:rsid w:val="00730CE6"/>
    <w:rsid w:val="0073797D"/>
    <w:rsid w:val="0074092D"/>
    <w:rsid w:val="00743148"/>
    <w:rsid w:val="00753902"/>
    <w:rsid w:val="00764DB5"/>
    <w:rsid w:val="00765968"/>
    <w:rsid w:val="007660DC"/>
    <w:rsid w:val="007705B2"/>
    <w:rsid w:val="0077226A"/>
    <w:rsid w:val="00774F8A"/>
    <w:rsid w:val="00775021"/>
    <w:rsid w:val="00797771"/>
    <w:rsid w:val="007A37E7"/>
    <w:rsid w:val="007B1F8E"/>
    <w:rsid w:val="007B3498"/>
    <w:rsid w:val="007B690E"/>
    <w:rsid w:val="007C13BE"/>
    <w:rsid w:val="007C627F"/>
    <w:rsid w:val="007C6B4E"/>
    <w:rsid w:val="007D4DC8"/>
    <w:rsid w:val="007E28E6"/>
    <w:rsid w:val="007E3C87"/>
    <w:rsid w:val="007F0AD9"/>
    <w:rsid w:val="007F5B38"/>
    <w:rsid w:val="00805DCB"/>
    <w:rsid w:val="0080614F"/>
    <w:rsid w:val="00820DE3"/>
    <w:rsid w:val="00825212"/>
    <w:rsid w:val="008258DA"/>
    <w:rsid w:val="00834244"/>
    <w:rsid w:val="00834C5C"/>
    <w:rsid w:val="00871907"/>
    <w:rsid w:val="00871A32"/>
    <w:rsid w:val="00873A29"/>
    <w:rsid w:val="008849FA"/>
    <w:rsid w:val="00887FEC"/>
    <w:rsid w:val="008A3F09"/>
    <w:rsid w:val="008B2829"/>
    <w:rsid w:val="008B2E7E"/>
    <w:rsid w:val="008B4CA9"/>
    <w:rsid w:val="008C4000"/>
    <w:rsid w:val="008C7AA0"/>
    <w:rsid w:val="008D0533"/>
    <w:rsid w:val="008D6BAC"/>
    <w:rsid w:val="008E3283"/>
    <w:rsid w:val="008E4C00"/>
    <w:rsid w:val="008F08F9"/>
    <w:rsid w:val="008F3F11"/>
    <w:rsid w:val="00902E58"/>
    <w:rsid w:val="00920CA4"/>
    <w:rsid w:val="00920CA6"/>
    <w:rsid w:val="0092567C"/>
    <w:rsid w:val="00930602"/>
    <w:rsid w:val="009307C3"/>
    <w:rsid w:val="00933EE6"/>
    <w:rsid w:val="009358C2"/>
    <w:rsid w:val="009428FB"/>
    <w:rsid w:val="00943A31"/>
    <w:rsid w:val="00956D8D"/>
    <w:rsid w:val="009574E7"/>
    <w:rsid w:val="00961BD1"/>
    <w:rsid w:val="009811E0"/>
    <w:rsid w:val="0099070B"/>
    <w:rsid w:val="009A2106"/>
    <w:rsid w:val="009A401D"/>
    <w:rsid w:val="009A7E32"/>
    <w:rsid w:val="009B2630"/>
    <w:rsid w:val="009B47D8"/>
    <w:rsid w:val="009B7A16"/>
    <w:rsid w:val="009B7DC5"/>
    <w:rsid w:val="009C50E8"/>
    <w:rsid w:val="009C549E"/>
    <w:rsid w:val="009C5DAE"/>
    <w:rsid w:val="009D1B4A"/>
    <w:rsid w:val="009D52DC"/>
    <w:rsid w:val="009E3DFF"/>
    <w:rsid w:val="009F0149"/>
    <w:rsid w:val="009F33EC"/>
    <w:rsid w:val="00A25141"/>
    <w:rsid w:val="00A2716B"/>
    <w:rsid w:val="00A27B60"/>
    <w:rsid w:val="00A32EDD"/>
    <w:rsid w:val="00A346CC"/>
    <w:rsid w:val="00A3771B"/>
    <w:rsid w:val="00A42089"/>
    <w:rsid w:val="00A44399"/>
    <w:rsid w:val="00A443DD"/>
    <w:rsid w:val="00A54E31"/>
    <w:rsid w:val="00A86220"/>
    <w:rsid w:val="00AA7B43"/>
    <w:rsid w:val="00AC07BF"/>
    <w:rsid w:val="00AC2EE9"/>
    <w:rsid w:val="00AE2D27"/>
    <w:rsid w:val="00AE5DEE"/>
    <w:rsid w:val="00AE5E22"/>
    <w:rsid w:val="00AF2BEB"/>
    <w:rsid w:val="00AF64F2"/>
    <w:rsid w:val="00AF7F35"/>
    <w:rsid w:val="00B00A44"/>
    <w:rsid w:val="00B1467C"/>
    <w:rsid w:val="00B156EE"/>
    <w:rsid w:val="00B442B8"/>
    <w:rsid w:val="00B47CD9"/>
    <w:rsid w:val="00B514E1"/>
    <w:rsid w:val="00B53DF0"/>
    <w:rsid w:val="00B568A5"/>
    <w:rsid w:val="00B56C89"/>
    <w:rsid w:val="00B6009D"/>
    <w:rsid w:val="00B642F2"/>
    <w:rsid w:val="00B66277"/>
    <w:rsid w:val="00B66AC5"/>
    <w:rsid w:val="00B746AA"/>
    <w:rsid w:val="00B74877"/>
    <w:rsid w:val="00B755C2"/>
    <w:rsid w:val="00B82E61"/>
    <w:rsid w:val="00B83765"/>
    <w:rsid w:val="00B9307C"/>
    <w:rsid w:val="00BA414E"/>
    <w:rsid w:val="00BA5DE7"/>
    <w:rsid w:val="00BA6298"/>
    <w:rsid w:val="00BA797C"/>
    <w:rsid w:val="00BB2C0C"/>
    <w:rsid w:val="00BB3DF6"/>
    <w:rsid w:val="00BB5F82"/>
    <w:rsid w:val="00BB653B"/>
    <w:rsid w:val="00BC1BFF"/>
    <w:rsid w:val="00BC551C"/>
    <w:rsid w:val="00BC6CFA"/>
    <w:rsid w:val="00BC7DF5"/>
    <w:rsid w:val="00BD7BFC"/>
    <w:rsid w:val="00BD7F11"/>
    <w:rsid w:val="00BE321C"/>
    <w:rsid w:val="00BE360A"/>
    <w:rsid w:val="00BE3D92"/>
    <w:rsid w:val="00BE5734"/>
    <w:rsid w:val="00BF691C"/>
    <w:rsid w:val="00C00A81"/>
    <w:rsid w:val="00C17403"/>
    <w:rsid w:val="00C21175"/>
    <w:rsid w:val="00C369F7"/>
    <w:rsid w:val="00C40046"/>
    <w:rsid w:val="00C40A14"/>
    <w:rsid w:val="00C46725"/>
    <w:rsid w:val="00C539AA"/>
    <w:rsid w:val="00C55E91"/>
    <w:rsid w:val="00C562BF"/>
    <w:rsid w:val="00C57423"/>
    <w:rsid w:val="00C57B01"/>
    <w:rsid w:val="00C64C14"/>
    <w:rsid w:val="00C70BEB"/>
    <w:rsid w:val="00C8632C"/>
    <w:rsid w:val="00CA2BFC"/>
    <w:rsid w:val="00CB089B"/>
    <w:rsid w:val="00CB42F9"/>
    <w:rsid w:val="00CC03F9"/>
    <w:rsid w:val="00CC09FF"/>
    <w:rsid w:val="00CC1CC1"/>
    <w:rsid w:val="00CD1B63"/>
    <w:rsid w:val="00CD49A5"/>
    <w:rsid w:val="00CE1D71"/>
    <w:rsid w:val="00CE62F4"/>
    <w:rsid w:val="00CF626A"/>
    <w:rsid w:val="00D17944"/>
    <w:rsid w:val="00D17CF7"/>
    <w:rsid w:val="00D325E7"/>
    <w:rsid w:val="00D330D5"/>
    <w:rsid w:val="00D346BD"/>
    <w:rsid w:val="00D3707B"/>
    <w:rsid w:val="00D4382C"/>
    <w:rsid w:val="00D517CD"/>
    <w:rsid w:val="00D5434D"/>
    <w:rsid w:val="00D61F7B"/>
    <w:rsid w:val="00D6753B"/>
    <w:rsid w:val="00D74C60"/>
    <w:rsid w:val="00D76124"/>
    <w:rsid w:val="00D84445"/>
    <w:rsid w:val="00D86FF2"/>
    <w:rsid w:val="00D926C4"/>
    <w:rsid w:val="00DA3E24"/>
    <w:rsid w:val="00DB3FC4"/>
    <w:rsid w:val="00DC0D48"/>
    <w:rsid w:val="00DC24D2"/>
    <w:rsid w:val="00DC367F"/>
    <w:rsid w:val="00DC41B5"/>
    <w:rsid w:val="00DC6B4A"/>
    <w:rsid w:val="00DD04FF"/>
    <w:rsid w:val="00DD4C26"/>
    <w:rsid w:val="00DE045C"/>
    <w:rsid w:val="00DE0982"/>
    <w:rsid w:val="00DE215F"/>
    <w:rsid w:val="00DE7070"/>
    <w:rsid w:val="00DF5BE5"/>
    <w:rsid w:val="00E001DB"/>
    <w:rsid w:val="00E11358"/>
    <w:rsid w:val="00E121FC"/>
    <w:rsid w:val="00E1345D"/>
    <w:rsid w:val="00E13B81"/>
    <w:rsid w:val="00E14997"/>
    <w:rsid w:val="00E32DFF"/>
    <w:rsid w:val="00E377D3"/>
    <w:rsid w:val="00E45E62"/>
    <w:rsid w:val="00E46628"/>
    <w:rsid w:val="00E5110D"/>
    <w:rsid w:val="00E56040"/>
    <w:rsid w:val="00E62086"/>
    <w:rsid w:val="00E62D4E"/>
    <w:rsid w:val="00E65995"/>
    <w:rsid w:val="00E67573"/>
    <w:rsid w:val="00E6761E"/>
    <w:rsid w:val="00E75122"/>
    <w:rsid w:val="00E7672D"/>
    <w:rsid w:val="00E93B7B"/>
    <w:rsid w:val="00EA46D8"/>
    <w:rsid w:val="00EA574D"/>
    <w:rsid w:val="00EA7EA6"/>
    <w:rsid w:val="00EB082A"/>
    <w:rsid w:val="00EB1781"/>
    <w:rsid w:val="00EB1C5B"/>
    <w:rsid w:val="00EB240B"/>
    <w:rsid w:val="00EB25BA"/>
    <w:rsid w:val="00EB524C"/>
    <w:rsid w:val="00EB6636"/>
    <w:rsid w:val="00EB6BD8"/>
    <w:rsid w:val="00EC30B0"/>
    <w:rsid w:val="00ED1B08"/>
    <w:rsid w:val="00ED6BDE"/>
    <w:rsid w:val="00ED7277"/>
    <w:rsid w:val="00ED7F05"/>
    <w:rsid w:val="00EE2FE0"/>
    <w:rsid w:val="00EE3B7D"/>
    <w:rsid w:val="00EE462C"/>
    <w:rsid w:val="00EF5891"/>
    <w:rsid w:val="00EF632D"/>
    <w:rsid w:val="00F02F67"/>
    <w:rsid w:val="00F07621"/>
    <w:rsid w:val="00F07A8E"/>
    <w:rsid w:val="00F10F5F"/>
    <w:rsid w:val="00F111BF"/>
    <w:rsid w:val="00F17E8E"/>
    <w:rsid w:val="00F20517"/>
    <w:rsid w:val="00F20916"/>
    <w:rsid w:val="00F30935"/>
    <w:rsid w:val="00F429CD"/>
    <w:rsid w:val="00F45F53"/>
    <w:rsid w:val="00F46531"/>
    <w:rsid w:val="00F5299E"/>
    <w:rsid w:val="00F73BE5"/>
    <w:rsid w:val="00F83188"/>
    <w:rsid w:val="00F838B7"/>
    <w:rsid w:val="00F935CA"/>
    <w:rsid w:val="00F93A1B"/>
    <w:rsid w:val="00FA5F35"/>
    <w:rsid w:val="00FA6771"/>
    <w:rsid w:val="00FA6C48"/>
    <w:rsid w:val="00FB1354"/>
    <w:rsid w:val="00FC2A88"/>
    <w:rsid w:val="00FC3032"/>
    <w:rsid w:val="00FD2A8B"/>
    <w:rsid w:val="00FE26C3"/>
    <w:rsid w:val="00FE696A"/>
    <w:rsid w:val="00FF1001"/>
    <w:rsid w:val="00FF16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3EA9D-1458-459B-8602-DD252EBD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3A"/>
    <w:pPr>
      <w:spacing w:after="120"/>
    </w:pPr>
    <w:rPr>
      <w:color w:val="1F3864"/>
      <w:sz w:val="22"/>
      <w:szCs w:val="22"/>
      <w:lang w:eastAsia="en-US"/>
    </w:rPr>
  </w:style>
  <w:style w:type="paragraph" w:styleId="1">
    <w:name w:val="heading 1"/>
    <w:basedOn w:val="a"/>
    <w:next w:val="a"/>
    <w:link w:val="1Char"/>
    <w:uiPriority w:val="9"/>
    <w:qFormat/>
    <w:rsid w:val="00050BDF"/>
    <w:pPr>
      <w:keepNext/>
      <w:keepLines/>
      <w:spacing w:after="0"/>
      <w:jc w:val="center"/>
      <w:outlineLvl w:val="0"/>
    </w:pPr>
    <w:rPr>
      <w:rFonts w:ascii="Calibri Light" w:eastAsia="Times New Roman" w:hAnsi="Calibri Light"/>
      <w:b/>
      <w:sz w:val="28"/>
      <w:szCs w:val="32"/>
    </w:rPr>
  </w:style>
  <w:style w:type="paragraph" w:styleId="2">
    <w:name w:val="heading 2"/>
    <w:basedOn w:val="a"/>
    <w:next w:val="a"/>
    <w:link w:val="2Char"/>
    <w:uiPriority w:val="9"/>
    <w:unhideWhenUsed/>
    <w:qFormat/>
    <w:rsid w:val="00035C54"/>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32B26"/>
    <w:pPr>
      <w:tabs>
        <w:tab w:val="center" w:pos="4153"/>
        <w:tab w:val="right" w:pos="8306"/>
      </w:tabs>
      <w:spacing w:after="0"/>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styleId="a7">
    <w:name w:val="List Paragraph"/>
    <w:basedOn w:val="a"/>
    <w:uiPriority w:val="34"/>
    <w:qFormat/>
    <w:rsid w:val="008B4CA9"/>
    <w:pPr>
      <w:ind w:left="720"/>
      <w:contextualSpacing/>
    </w:pPr>
  </w:style>
  <w:style w:type="character" w:styleId="a8">
    <w:name w:val="Placeholder Text"/>
    <w:basedOn w:val="a0"/>
    <w:uiPriority w:val="99"/>
    <w:semiHidden/>
    <w:rsid w:val="00930602"/>
    <w:rPr>
      <w:color w:val="808080"/>
    </w:rPr>
  </w:style>
  <w:style w:type="paragraph" w:styleId="a9">
    <w:name w:val="Title"/>
    <w:basedOn w:val="a"/>
    <w:next w:val="a"/>
    <w:link w:val="Char2"/>
    <w:uiPriority w:val="10"/>
    <w:qFormat/>
    <w:rsid w:val="00035C54"/>
    <w:pPr>
      <w:spacing w:after="0"/>
      <w:contextualSpacing/>
    </w:pPr>
    <w:rPr>
      <w:rFonts w:ascii="Calibri Light" w:eastAsia="Times New Roman" w:hAnsi="Calibri Light"/>
      <w:color w:val="auto"/>
      <w:spacing w:val="-10"/>
      <w:kern w:val="28"/>
      <w:sz w:val="56"/>
      <w:szCs w:val="56"/>
    </w:rPr>
  </w:style>
  <w:style w:type="character" w:customStyle="1" w:styleId="Char2">
    <w:name w:val="Τίτλος Char"/>
    <w:basedOn w:val="a0"/>
    <w:link w:val="a9"/>
    <w:uiPriority w:val="10"/>
    <w:rsid w:val="00035C54"/>
    <w:rPr>
      <w:rFonts w:ascii="Calibri Light" w:eastAsia="Times New Roman" w:hAnsi="Calibri Light" w:cs="Times New Roman"/>
      <w:spacing w:val="-10"/>
      <w:kern w:val="28"/>
      <w:sz w:val="56"/>
      <w:szCs w:val="56"/>
    </w:rPr>
  </w:style>
  <w:style w:type="character" w:customStyle="1" w:styleId="1Char">
    <w:name w:val="Επικεφαλίδα 1 Char"/>
    <w:basedOn w:val="a0"/>
    <w:link w:val="1"/>
    <w:uiPriority w:val="9"/>
    <w:rsid w:val="00050BDF"/>
    <w:rPr>
      <w:rFonts w:ascii="Calibri Light" w:eastAsia="Times New Roman" w:hAnsi="Calibri Light" w:cs="Times New Roman"/>
      <w:b/>
      <w:color w:val="1F3864"/>
      <w:sz w:val="28"/>
      <w:szCs w:val="32"/>
    </w:rPr>
  </w:style>
  <w:style w:type="character" w:customStyle="1" w:styleId="2Char">
    <w:name w:val="Επικεφαλίδα 2 Char"/>
    <w:basedOn w:val="a0"/>
    <w:link w:val="2"/>
    <w:uiPriority w:val="9"/>
    <w:rsid w:val="00035C54"/>
    <w:rPr>
      <w:rFonts w:ascii="Calibri Light" w:eastAsia="Times New Roman" w:hAnsi="Calibri Light" w:cs="Times New Roman"/>
      <w:color w:val="2E74B5"/>
      <w:sz w:val="26"/>
      <w:szCs w:val="26"/>
    </w:rPr>
  </w:style>
  <w:style w:type="character" w:styleId="aa">
    <w:name w:val="Strong"/>
    <w:basedOn w:val="a0"/>
    <w:uiPriority w:val="22"/>
    <w:qFormat/>
    <w:rsid w:val="00902E58"/>
    <w:rPr>
      <w:b/>
      <w:bCs/>
    </w:rPr>
  </w:style>
  <w:style w:type="paragraph" w:styleId="Web">
    <w:name w:val="Normal (Web)"/>
    <w:basedOn w:val="a"/>
    <w:uiPriority w:val="99"/>
    <w:unhideWhenUsed/>
    <w:rsid w:val="00B746AA"/>
    <w:pPr>
      <w:spacing w:before="100" w:beforeAutospacing="1" w:after="100" w:afterAutospacing="1"/>
    </w:pPr>
    <w:rPr>
      <w:rFonts w:ascii="Times New Roman" w:eastAsia="Times New Roman" w:hAnsi="Times New Roman"/>
      <w:color w:val="auto"/>
      <w:sz w:val="24"/>
      <w:szCs w:val="24"/>
      <w:lang w:eastAsia="el-GR"/>
    </w:rPr>
  </w:style>
  <w:style w:type="character" w:customStyle="1" w:styleId="apple-converted-space">
    <w:name w:val="apple-converted-space"/>
    <w:basedOn w:val="a0"/>
    <w:rsid w:val="005C00AF"/>
  </w:style>
  <w:style w:type="character" w:customStyle="1" w:styleId="ft10">
    <w:name w:val="ft10"/>
    <w:basedOn w:val="a0"/>
    <w:rsid w:val="005C00AF"/>
  </w:style>
  <w:style w:type="character" w:customStyle="1" w:styleId="ft1">
    <w:name w:val="ft1"/>
    <w:basedOn w:val="a0"/>
    <w:rsid w:val="005C00AF"/>
  </w:style>
  <w:style w:type="character" w:customStyle="1" w:styleId="ft17">
    <w:name w:val="ft17"/>
    <w:basedOn w:val="a0"/>
    <w:rsid w:val="00660472"/>
  </w:style>
  <w:style w:type="paragraph" w:customStyle="1" w:styleId="p0">
    <w:name w:val="p0"/>
    <w:basedOn w:val="a"/>
    <w:rsid w:val="00B00A44"/>
    <w:pPr>
      <w:spacing w:before="100" w:beforeAutospacing="1" w:after="100" w:afterAutospacing="1"/>
    </w:pPr>
    <w:rPr>
      <w:rFonts w:ascii="Times New Roman" w:eastAsia="Times New Roman" w:hAnsi="Times New Roman"/>
      <w:color w:val="auto"/>
      <w:sz w:val="24"/>
      <w:szCs w:val="24"/>
      <w:lang w:eastAsia="el-GR"/>
    </w:rPr>
  </w:style>
  <w:style w:type="paragraph" w:customStyle="1" w:styleId="p13">
    <w:name w:val="p13"/>
    <w:basedOn w:val="a"/>
    <w:rsid w:val="00E001DB"/>
    <w:pPr>
      <w:spacing w:before="100" w:beforeAutospacing="1" w:after="100" w:afterAutospacing="1"/>
    </w:pPr>
    <w:rPr>
      <w:rFonts w:ascii="Times New Roman" w:eastAsia="Times New Roman" w:hAnsi="Times New Roman"/>
      <w:color w:val="auto"/>
      <w:sz w:val="24"/>
      <w:szCs w:val="24"/>
      <w:lang w:eastAsia="el-GR"/>
    </w:rPr>
  </w:style>
  <w:style w:type="character" w:customStyle="1" w:styleId="ft20">
    <w:name w:val="ft20"/>
    <w:basedOn w:val="a0"/>
    <w:rsid w:val="00301265"/>
  </w:style>
  <w:style w:type="paragraph" w:customStyle="1" w:styleId="bodytext20">
    <w:name w:val="bodytext20"/>
    <w:basedOn w:val="a"/>
    <w:rsid w:val="00820DE3"/>
    <w:pPr>
      <w:spacing w:before="100" w:beforeAutospacing="1" w:after="100" w:afterAutospacing="1"/>
    </w:pPr>
    <w:rPr>
      <w:rFonts w:ascii="Times New Roman" w:eastAsia="Times New Roman" w:hAnsi="Times New Roman"/>
      <w:color w:val="auto"/>
      <w:sz w:val="24"/>
      <w:szCs w:val="24"/>
      <w:lang w:eastAsia="el-GR"/>
    </w:rPr>
  </w:style>
  <w:style w:type="paragraph" w:customStyle="1" w:styleId="bodytext3">
    <w:name w:val="bodytext3"/>
    <w:basedOn w:val="a"/>
    <w:rsid w:val="00820DE3"/>
    <w:pPr>
      <w:spacing w:before="100" w:beforeAutospacing="1" w:after="100" w:afterAutospacing="1"/>
    </w:pPr>
    <w:rPr>
      <w:rFonts w:ascii="Times New Roman" w:eastAsia="Times New Roman" w:hAnsi="Times New Roman"/>
      <w:color w:val="auto"/>
      <w:sz w:val="24"/>
      <w:szCs w:val="24"/>
      <w:lang w:eastAsia="el-GR"/>
    </w:rPr>
  </w:style>
  <w:style w:type="paragraph" w:styleId="3">
    <w:name w:val="Body Text 3"/>
    <w:basedOn w:val="a"/>
    <w:link w:val="3Char"/>
    <w:semiHidden/>
    <w:rsid w:val="00EB25BA"/>
    <w:pPr>
      <w:spacing w:after="0" w:line="360" w:lineRule="auto"/>
      <w:jc w:val="both"/>
    </w:pPr>
    <w:rPr>
      <w:rFonts w:ascii="Arial" w:eastAsia="Times New Roman" w:hAnsi="Arial" w:cs="Arial"/>
      <w:b/>
      <w:bCs/>
      <w:color w:val="auto"/>
      <w:sz w:val="24"/>
      <w:szCs w:val="20"/>
      <w:lang w:val="en-GB" w:eastAsia="el-GR"/>
    </w:rPr>
  </w:style>
  <w:style w:type="character" w:customStyle="1" w:styleId="3Char">
    <w:name w:val="Σώμα κείμενου 3 Char"/>
    <w:basedOn w:val="a0"/>
    <w:link w:val="3"/>
    <w:semiHidden/>
    <w:rsid w:val="00EB25BA"/>
    <w:rPr>
      <w:rFonts w:ascii="Arial" w:eastAsia="Times New Roman" w:hAnsi="Arial" w:cs="Arial"/>
      <w:b/>
      <w:bCs/>
      <w:sz w:val="24"/>
      <w:lang w:val="en-GB"/>
    </w:rPr>
  </w:style>
  <w:style w:type="paragraph" w:styleId="-HTML">
    <w:name w:val="HTML Preformatted"/>
    <w:basedOn w:val="a"/>
    <w:link w:val="-HTMLChar"/>
    <w:unhideWhenUsed/>
    <w:rsid w:val="004E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el-GR"/>
    </w:rPr>
  </w:style>
  <w:style w:type="character" w:customStyle="1" w:styleId="-HTMLChar">
    <w:name w:val="Προ-διαμορφωμένο HTML Char"/>
    <w:basedOn w:val="a0"/>
    <w:link w:val="-HTML"/>
    <w:rsid w:val="004E135B"/>
    <w:rPr>
      <w:rFonts w:ascii="Courier New" w:eastAsia="Times New Roman" w:hAnsi="Courier New" w:cs="Courier New"/>
    </w:rPr>
  </w:style>
  <w:style w:type="paragraph" w:styleId="ab">
    <w:name w:val="No Spacing"/>
    <w:uiPriority w:val="1"/>
    <w:qFormat/>
    <w:rsid w:val="00C40A14"/>
    <w:rPr>
      <w:color w:val="1F386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742">
      <w:bodyDiv w:val="1"/>
      <w:marLeft w:val="0"/>
      <w:marRight w:val="0"/>
      <w:marTop w:val="0"/>
      <w:marBottom w:val="0"/>
      <w:divBdr>
        <w:top w:val="none" w:sz="0" w:space="0" w:color="auto"/>
        <w:left w:val="none" w:sz="0" w:space="0" w:color="auto"/>
        <w:bottom w:val="none" w:sz="0" w:space="0" w:color="auto"/>
        <w:right w:val="none" w:sz="0" w:space="0" w:color="auto"/>
      </w:divBdr>
    </w:div>
    <w:div w:id="100152562">
      <w:bodyDiv w:val="1"/>
      <w:marLeft w:val="0"/>
      <w:marRight w:val="0"/>
      <w:marTop w:val="0"/>
      <w:marBottom w:val="0"/>
      <w:divBdr>
        <w:top w:val="none" w:sz="0" w:space="0" w:color="auto"/>
        <w:left w:val="none" w:sz="0" w:space="0" w:color="auto"/>
        <w:bottom w:val="none" w:sz="0" w:space="0" w:color="auto"/>
        <w:right w:val="none" w:sz="0" w:space="0" w:color="auto"/>
      </w:divBdr>
    </w:div>
    <w:div w:id="469593454">
      <w:bodyDiv w:val="1"/>
      <w:marLeft w:val="0"/>
      <w:marRight w:val="0"/>
      <w:marTop w:val="0"/>
      <w:marBottom w:val="0"/>
      <w:divBdr>
        <w:top w:val="none" w:sz="0" w:space="0" w:color="auto"/>
        <w:left w:val="none" w:sz="0" w:space="0" w:color="auto"/>
        <w:bottom w:val="none" w:sz="0" w:space="0" w:color="auto"/>
        <w:right w:val="none" w:sz="0" w:space="0" w:color="auto"/>
      </w:divBdr>
    </w:div>
    <w:div w:id="538516229">
      <w:bodyDiv w:val="1"/>
      <w:marLeft w:val="0"/>
      <w:marRight w:val="0"/>
      <w:marTop w:val="0"/>
      <w:marBottom w:val="0"/>
      <w:divBdr>
        <w:top w:val="none" w:sz="0" w:space="0" w:color="auto"/>
        <w:left w:val="none" w:sz="0" w:space="0" w:color="auto"/>
        <w:bottom w:val="none" w:sz="0" w:space="0" w:color="auto"/>
        <w:right w:val="none" w:sz="0" w:space="0" w:color="auto"/>
      </w:divBdr>
    </w:div>
    <w:div w:id="619384018">
      <w:bodyDiv w:val="1"/>
      <w:marLeft w:val="0"/>
      <w:marRight w:val="0"/>
      <w:marTop w:val="0"/>
      <w:marBottom w:val="0"/>
      <w:divBdr>
        <w:top w:val="none" w:sz="0" w:space="0" w:color="auto"/>
        <w:left w:val="none" w:sz="0" w:space="0" w:color="auto"/>
        <w:bottom w:val="none" w:sz="0" w:space="0" w:color="auto"/>
        <w:right w:val="none" w:sz="0" w:space="0" w:color="auto"/>
      </w:divBdr>
    </w:div>
    <w:div w:id="706832881">
      <w:bodyDiv w:val="1"/>
      <w:marLeft w:val="0"/>
      <w:marRight w:val="0"/>
      <w:marTop w:val="0"/>
      <w:marBottom w:val="0"/>
      <w:divBdr>
        <w:top w:val="none" w:sz="0" w:space="0" w:color="auto"/>
        <w:left w:val="none" w:sz="0" w:space="0" w:color="auto"/>
        <w:bottom w:val="none" w:sz="0" w:space="0" w:color="auto"/>
        <w:right w:val="none" w:sz="0" w:space="0" w:color="auto"/>
      </w:divBdr>
    </w:div>
    <w:div w:id="790396763">
      <w:bodyDiv w:val="1"/>
      <w:marLeft w:val="0"/>
      <w:marRight w:val="0"/>
      <w:marTop w:val="0"/>
      <w:marBottom w:val="0"/>
      <w:divBdr>
        <w:top w:val="none" w:sz="0" w:space="0" w:color="auto"/>
        <w:left w:val="none" w:sz="0" w:space="0" w:color="auto"/>
        <w:bottom w:val="none" w:sz="0" w:space="0" w:color="auto"/>
        <w:right w:val="none" w:sz="0" w:space="0" w:color="auto"/>
      </w:divBdr>
    </w:div>
    <w:div w:id="798693595">
      <w:bodyDiv w:val="1"/>
      <w:marLeft w:val="0"/>
      <w:marRight w:val="0"/>
      <w:marTop w:val="0"/>
      <w:marBottom w:val="0"/>
      <w:divBdr>
        <w:top w:val="none" w:sz="0" w:space="0" w:color="auto"/>
        <w:left w:val="none" w:sz="0" w:space="0" w:color="auto"/>
        <w:bottom w:val="none" w:sz="0" w:space="0" w:color="auto"/>
        <w:right w:val="none" w:sz="0" w:space="0" w:color="auto"/>
      </w:divBdr>
    </w:div>
    <w:div w:id="1357119805">
      <w:bodyDiv w:val="1"/>
      <w:marLeft w:val="0"/>
      <w:marRight w:val="0"/>
      <w:marTop w:val="0"/>
      <w:marBottom w:val="0"/>
      <w:divBdr>
        <w:top w:val="none" w:sz="0" w:space="0" w:color="auto"/>
        <w:left w:val="none" w:sz="0" w:space="0" w:color="auto"/>
        <w:bottom w:val="none" w:sz="0" w:space="0" w:color="auto"/>
        <w:right w:val="none" w:sz="0" w:space="0" w:color="auto"/>
      </w:divBdr>
    </w:div>
    <w:div w:id="1390180942">
      <w:bodyDiv w:val="1"/>
      <w:marLeft w:val="0"/>
      <w:marRight w:val="0"/>
      <w:marTop w:val="0"/>
      <w:marBottom w:val="0"/>
      <w:divBdr>
        <w:top w:val="none" w:sz="0" w:space="0" w:color="auto"/>
        <w:left w:val="none" w:sz="0" w:space="0" w:color="auto"/>
        <w:bottom w:val="none" w:sz="0" w:space="0" w:color="auto"/>
        <w:right w:val="none" w:sz="0" w:space="0" w:color="auto"/>
      </w:divBdr>
    </w:div>
    <w:div w:id="1417287600">
      <w:bodyDiv w:val="1"/>
      <w:marLeft w:val="0"/>
      <w:marRight w:val="0"/>
      <w:marTop w:val="0"/>
      <w:marBottom w:val="0"/>
      <w:divBdr>
        <w:top w:val="none" w:sz="0" w:space="0" w:color="auto"/>
        <w:left w:val="none" w:sz="0" w:space="0" w:color="auto"/>
        <w:bottom w:val="none" w:sz="0" w:space="0" w:color="auto"/>
        <w:right w:val="none" w:sz="0" w:space="0" w:color="auto"/>
      </w:divBdr>
    </w:div>
    <w:div w:id="1579555846">
      <w:bodyDiv w:val="1"/>
      <w:marLeft w:val="0"/>
      <w:marRight w:val="0"/>
      <w:marTop w:val="0"/>
      <w:marBottom w:val="0"/>
      <w:divBdr>
        <w:top w:val="none" w:sz="0" w:space="0" w:color="auto"/>
        <w:left w:val="none" w:sz="0" w:space="0" w:color="auto"/>
        <w:bottom w:val="none" w:sz="0" w:space="0" w:color="auto"/>
        <w:right w:val="none" w:sz="0" w:space="0" w:color="auto"/>
      </w:divBdr>
    </w:div>
    <w:div w:id="1949004842">
      <w:bodyDiv w:val="1"/>
      <w:marLeft w:val="0"/>
      <w:marRight w:val="0"/>
      <w:marTop w:val="0"/>
      <w:marBottom w:val="0"/>
      <w:divBdr>
        <w:top w:val="none" w:sz="0" w:space="0" w:color="auto"/>
        <w:left w:val="none" w:sz="0" w:space="0" w:color="auto"/>
        <w:bottom w:val="none" w:sz="0" w:space="0" w:color="auto"/>
        <w:right w:val="none" w:sz="0" w:space="0" w:color="auto"/>
      </w:divBdr>
    </w:div>
    <w:div w:id="20919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aad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ade.gr"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ade.gr" TargetMode="External"/><Relationship Id="rId14" Type="http://schemas.openxmlformats.org/officeDocument/2006/relationships/hyperlink" Target="http://www.aad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D1ACAB-0752-4B06-B76E-16E6C5D8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3746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4431</CharactersWithSpaces>
  <SharedDoc>false</SharedDoc>
  <HLinks>
    <vt:vector size="36" baseType="variant">
      <vt:variant>
        <vt:i4>4522078</vt:i4>
      </vt:variant>
      <vt:variant>
        <vt:i4>15</vt:i4>
      </vt:variant>
      <vt:variant>
        <vt:i4>0</vt:i4>
      </vt:variant>
      <vt:variant>
        <vt:i4>5</vt:i4>
      </vt:variant>
      <vt:variant>
        <vt:lpwstr>http://www.taxheaven.gr/laws/view/index/law/4172/year/2013/article/58/paragraph/2</vt:lpwstr>
      </vt:variant>
      <vt:variant>
        <vt:lpwstr/>
      </vt:variant>
      <vt:variant>
        <vt:i4>4325471</vt:i4>
      </vt:variant>
      <vt:variant>
        <vt:i4>12</vt:i4>
      </vt:variant>
      <vt:variant>
        <vt:i4>0</vt:i4>
      </vt:variant>
      <vt:variant>
        <vt:i4>5</vt:i4>
      </vt:variant>
      <vt:variant>
        <vt:lpwstr>http://www.taxheaven.gr/laws/view/index/law/4172/year/2013/article/29/paragraph/1</vt:lpwstr>
      </vt:variant>
      <vt:variant>
        <vt:lpwstr/>
      </vt:variant>
      <vt:variant>
        <vt:i4>4587530</vt:i4>
      </vt:variant>
      <vt:variant>
        <vt:i4>9</vt:i4>
      </vt:variant>
      <vt:variant>
        <vt:i4>0</vt:i4>
      </vt:variant>
      <vt:variant>
        <vt:i4>5</vt:i4>
      </vt:variant>
      <vt:variant>
        <vt:lpwstr>http://www.taxheaven.gr/laws/view/index/law/4172/year/2013/article/45</vt:lpwstr>
      </vt:variant>
      <vt:variant>
        <vt:lpwstr/>
      </vt:variant>
      <vt:variant>
        <vt:i4>4194314</vt:i4>
      </vt:variant>
      <vt:variant>
        <vt:i4>6</vt:i4>
      </vt:variant>
      <vt:variant>
        <vt:i4>0</vt:i4>
      </vt:variant>
      <vt:variant>
        <vt:i4>5</vt:i4>
      </vt:variant>
      <vt:variant>
        <vt:lpwstr>http://www.taxheaven.gr/laws/view/index/law/4172/year/2013/article/2</vt:lpwstr>
      </vt:variant>
      <vt:variant>
        <vt:lpwstr/>
      </vt:variant>
      <vt:variant>
        <vt:i4>4587530</vt:i4>
      </vt:variant>
      <vt:variant>
        <vt:i4>3</vt:i4>
      </vt:variant>
      <vt:variant>
        <vt:i4>0</vt:i4>
      </vt:variant>
      <vt:variant>
        <vt:i4>5</vt:i4>
      </vt:variant>
      <vt:variant>
        <vt:lpwstr>http://www.taxheaven.gr/laws/view/index/law/4172/year/2013/article/45</vt:lpwstr>
      </vt:variant>
      <vt:variant>
        <vt:lpwstr/>
      </vt:variant>
      <vt:variant>
        <vt:i4>4522078</vt:i4>
      </vt:variant>
      <vt:variant>
        <vt:i4>0</vt:i4>
      </vt:variant>
      <vt:variant>
        <vt:i4>0</vt:i4>
      </vt:variant>
      <vt:variant>
        <vt:i4>5</vt:i4>
      </vt:variant>
      <vt:variant>
        <vt:lpwstr>http://www.taxheaven.gr/laws/view/index/law/4172/year/2013/article/58/paragraph/1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Ρενος Καρασταθης</cp:lastModifiedBy>
  <cp:revision>3</cp:revision>
  <cp:lastPrinted>2017-11-30T10:32:00Z</cp:lastPrinted>
  <dcterms:created xsi:type="dcterms:W3CDTF">2017-11-30T14:36:00Z</dcterms:created>
  <dcterms:modified xsi:type="dcterms:W3CDTF">2017-11-30T14:36:00Z</dcterms:modified>
</cp:coreProperties>
</file>